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9431B">
      <w:pPr>
        <w:adjustRightInd w:val="0"/>
        <w:snapToGrid w:val="0"/>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《城口县国民经济和社会发展第十四个五年规划和二〇三五年远景目标纲要》解读</w:t>
      </w:r>
    </w:p>
    <w:p w14:paraId="58D55772">
      <w:pPr>
        <w:adjustRightInd w:val="0"/>
        <w:snapToGrid w:val="0"/>
        <w:ind w:firstLine="640" w:firstLineChars="200"/>
        <w:rPr>
          <w:rFonts w:ascii="Times New Roman" w:hAnsi="Times New Roman" w:eastAsia="方正仿宋_GBK" w:cs="Times New Roman"/>
          <w:sz w:val="32"/>
          <w:szCs w:val="32"/>
        </w:rPr>
      </w:pPr>
    </w:p>
    <w:p w14:paraId="24916254">
      <w:pPr>
        <w:widowControl w:val="0"/>
        <w:adjustRightInd w:val="0"/>
        <w:snapToGrid w:val="0"/>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“十四五”</w:t>
      </w:r>
      <w:r>
        <w:rPr>
          <w:rFonts w:ascii="Times New Roman" w:hAnsi="Times New Roman" w:eastAsia="方正黑体_GBK" w:cs="Times New Roman"/>
          <w:sz w:val="32"/>
          <w:szCs w:val="32"/>
        </w:rPr>
        <w:t>主要思路考虑</w:t>
      </w:r>
    </w:p>
    <w:p w14:paraId="0A5BD802">
      <w:pPr>
        <w:pStyle w:val="4"/>
        <w:adjustRightInd w:val="0"/>
        <w:snapToGrid w:val="0"/>
        <w:spacing w:after="0" w:line="560" w:lineRule="exact"/>
        <w:ind w:firstLine="640" w:firstLineChars="200"/>
        <w:rPr>
          <w:rFonts w:ascii="Times New Roman" w:hAnsi="Times New Roman" w:eastAsia="方正仿宋_GBK" w:cs="Times New Roman"/>
          <w:sz w:val="32"/>
          <w:szCs w:val="32"/>
        </w:rPr>
      </w:pPr>
      <w:r>
        <w:rPr>
          <w:rStyle w:val="25"/>
          <w:rFonts w:ascii="Times New Roman" w:hAnsi="Times New Roman" w:eastAsia="方正仿宋_GBK"/>
          <w:sz w:val="32"/>
          <w:szCs w:val="32"/>
        </w:rPr>
        <w:t>“十三五”时期，全县上下坚持以脱贫攻坚统揽经济社会发展全局，高质量实现脱贫摘帽，全面建成小康社会目标如期实现。</w:t>
      </w:r>
      <w:r>
        <w:rPr>
          <w:rFonts w:ascii="Times New Roman" w:hAnsi="Times New Roman" w:eastAsia="方正仿宋_GBK" w:cs="Times New Roman"/>
          <w:sz w:val="32"/>
          <w:szCs w:val="32"/>
        </w:rPr>
        <w:t>“十四五”时期进入生态文明新时代，“十四五”规划纲要中明确提出坚定不移贯彻习近平生态文明思想，落实绿色发展理念，</w:t>
      </w:r>
      <w:r>
        <w:rPr>
          <w:rStyle w:val="25"/>
          <w:rFonts w:ascii="Times New Roman" w:hAnsi="Times New Roman" w:eastAsia="方正黑体_GBK"/>
          <w:sz w:val="32"/>
          <w:szCs w:val="32"/>
        </w:rPr>
        <w:t>以生态优先绿色发展统揽经济社会发展全局</w:t>
      </w:r>
      <w:r>
        <w:rPr>
          <w:rFonts w:ascii="Times New Roman" w:hAnsi="Times New Roman" w:eastAsia="方正仿宋_GBK" w:cs="Times New Roman"/>
          <w:sz w:val="32"/>
          <w:szCs w:val="32"/>
        </w:rPr>
        <w:t>，全力推进生态产业化、产业生态化，使绿水青山产生巨大的生态效益、经济效益、社会效益，真正实现错位、互补发展。鲜明提出这一思路，有利于全县上下统一思想，起到举旗定向的作用。</w:t>
      </w:r>
    </w:p>
    <w:p w14:paraId="0BAD84EB">
      <w:pPr>
        <w:pStyle w:val="4"/>
        <w:adjustRightInd w:val="0"/>
        <w:snapToGrid w:val="0"/>
        <w:spacing w:after="0"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从功能定位看，</w:t>
      </w:r>
      <w:r>
        <w:rPr>
          <w:rFonts w:ascii="Times New Roman" w:hAnsi="Times New Roman" w:eastAsia="方正仿宋_GBK" w:cs="Times New Roman"/>
          <w:sz w:val="32"/>
          <w:szCs w:val="32"/>
        </w:rPr>
        <w:t>2010年国家在全国主体功能区划分时，将城口确定为国家限制开发的秦巴生物多样性生态功能区；2018年敏尔书记对城口提出要学好用好“两山论”，走深走实“两化路”的工作要求，并交办改善交通、保护生态、推动农文旅融合发展“三件大事”；</w:t>
      </w:r>
      <w:r>
        <w:rPr>
          <w:rFonts w:ascii="Times New Roman" w:hAnsi="Times New Roman" w:eastAsia="方正黑体_GBK" w:cs="Times New Roman"/>
          <w:sz w:val="32"/>
          <w:szCs w:val="32"/>
        </w:rPr>
        <w:t>2019年市委</w:t>
      </w:r>
      <w:r>
        <w:rPr>
          <w:rFonts w:hint="eastAsia" w:ascii="Times New Roman" w:hAnsi="Times New Roman" w:eastAsia="方正黑体_GBK" w:cs="Times New Roman"/>
          <w:sz w:val="32"/>
          <w:szCs w:val="32"/>
          <w:lang w:eastAsia="zh-CN"/>
        </w:rPr>
        <w:t>、</w:t>
      </w:r>
      <w:r>
        <w:rPr>
          <w:rFonts w:ascii="Times New Roman" w:hAnsi="Times New Roman" w:eastAsia="方正黑体_GBK" w:cs="Times New Roman"/>
          <w:sz w:val="32"/>
          <w:szCs w:val="32"/>
        </w:rPr>
        <w:t>市政府作出“一区两群”协调发展的战略布局，并赋予渝东北三峡库区城镇群“生态优先当示范，绿色发展当标杆”的战略定位</w:t>
      </w:r>
      <w:r>
        <w:rPr>
          <w:rFonts w:ascii="Times New Roman" w:hAnsi="Times New Roman" w:eastAsia="方正仿宋_GBK" w:cs="Times New Roman"/>
          <w:sz w:val="32"/>
          <w:szCs w:val="32"/>
        </w:rPr>
        <w:t>，城口作为渝东北三峡库区城镇群五片之一，必须是率先当示范、争标杆；2020年</w:t>
      </w:r>
      <w:r>
        <w:rPr>
          <w:rStyle w:val="25"/>
          <w:rFonts w:ascii="Times New Roman" w:hAnsi="Times New Roman" w:eastAsia="方正仿宋_GBK"/>
          <w:sz w:val="32"/>
          <w:szCs w:val="32"/>
        </w:rPr>
        <w:t>县委十三届八次、九次全会明确生态优先、绿色发展示范区建设总目标，</w:t>
      </w:r>
      <w:r>
        <w:rPr>
          <w:rFonts w:ascii="Times New Roman" w:hAnsi="Times New Roman" w:eastAsia="方正仿宋_GBK" w:cs="Times New Roman"/>
          <w:sz w:val="32"/>
          <w:szCs w:val="32"/>
        </w:rPr>
        <w:t>最根本的指向都是生态优先、绿色发展。</w:t>
      </w:r>
    </w:p>
    <w:p w14:paraId="026E44C8">
      <w:pPr>
        <w:widowControl w:val="0"/>
        <w:adjustRightInd w:val="0"/>
        <w:snapToGrid w:val="0"/>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从生态本底看，</w:t>
      </w:r>
      <w:r>
        <w:rPr>
          <w:rFonts w:ascii="Times New Roman" w:hAnsi="Times New Roman" w:eastAsia="方正仿宋_GBK" w:cs="Times New Roman"/>
          <w:sz w:val="32"/>
          <w:szCs w:val="32"/>
        </w:rPr>
        <w:t>城口位于大巴山南麓，35.2%的国土面积属于国家级自然保护区、60.67%的面积为生态保护红线，</w:t>
      </w:r>
      <w:r>
        <w:rPr>
          <w:rFonts w:ascii="Times New Roman" w:hAnsi="Times New Roman" w:eastAsia="方正仿宋_GBK" w:cs="Times New Roman"/>
          <w:kern w:val="0"/>
          <w:sz w:val="32"/>
          <w:szCs w:val="32"/>
        </w:rPr>
        <w:t>山水林田湖草生态资源丰富，</w:t>
      </w:r>
      <w:r>
        <w:rPr>
          <w:rFonts w:ascii="Times New Roman" w:hAnsi="Times New Roman" w:eastAsia="方正仿宋_GBK" w:cs="Times New Roman"/>
          <w:sz w:val="32"/>
          <w:szCs w:val="32"/>
        </w:rPr>
        <w:t>森林覆盖率达72.5%，空气质量优良天数常年保持在340天以上，夏季平均气温23.5摄氏度，生态环境综合指数位居全市10个重点生态功能区第一，是</w:t>
      </w:r>
      <w:r>
        <w:rPr>
          <w:rFonts w:ascii="Times New Roman" w:hAnsi="Times New Roman" w:eastAsia="方正仿宋_GBK" w:cs="Times New Roman"/>
          <w:kern w:val="0"/>
          <w:sz w:val="32"/>
          <w:szCs w:val="32"/>
        </w:rPr>
        <w:t>全市生态文明建设示范县</w:t>
      </w:r>
      <w:r>
        <w:rPr>
          <w:rFonts w:hint="eastAsia" w:ascii="Times New Roman" w:hAnsi="Times New Roman" w:eastAsia="方正仿宋_GBK" w:cs="Times New Roman"/>
          <w:kern w:val="0"/>
          <w:sz w:val="32"/>
          <w:szCs w:val="32"/>
        </w:rPr>
        <w:t>，是</w:t>
      </w:r>
      <w:r>
        <w:rPr>
          <w:rFonts w:ascii="Times New Roman" w:hAnsi="Times New Roman" w:eastAsia="方正仿宋_GBK" w:cs="Times New Roman"/>
          <w:kern w:val="0"/>
          <w:sz w:val="32"/>
          <w:szCs w:val="32"/>
        </w:rPr>
        <w:t>秦巴生物多样性生态功能区、</w:t>
      </w:r>
      <w:r>
        <w:rPr>
          <w:rFonts w:ascii="Times New Roman" w:hAnsi="Times New Roman" w:eastAsia="方正仿宋_GBK" w:cs="Times New Roman"/>
          <w:sz w:val="32"/>
          <w:szCs w:val="32"/>
        </w:rPr>
        <w:t>中国生态气候明珠，</w:t>
      </w:r>
      <w:r>
        <w:rPr>
          <w:rFonts w:ascii="Times New Roman" w:hAnsi="Times New Roman" w:eastAsia="方正仿宋_GBK" w:cs="Times New Roman"/>
          <w:kern w:val="0"/>
          <w:sz w:val="32"/>
          <w:szCs w:val="32"/>
        </w:rPr>
        <w:t>是长江上游重要生态屏障和南水北调重要水源地。生态是城口最大的优势，保护生态是城口最大的责任</w:t>
      </w:r>
      <w:r>
        <w:rPr>
          <w:rFonts w:ascii="Times New Roman" w:hAnsi="Times New Roman" w:eastAsia="方正仿宋_GBK" w:cs="Times New Roman"/>
          <w:sz w:val="32"/>
          <w:szCs w:val="32"/>
        </w:rPr>
        <w:t>。</w:t>
      </w:r>
    </w:p>
    <w:p w14:paraId="0D98C5D6">
      <w:pPr>
        <w:pStyle w:val="5"/>
        <w:adjustRightInd w:val="0"/>
        <w:snapToGrid w:val="0"/>
        <w:spacing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从发展实际看，</w:t>
      </w:r>
      <w:r>
        <w:rPr>
          <w:rFonts w:ascii="Times New Roman" w:hAnsi="Times New Roman" w:eastAsia="方正仿宋_GBK" w:cs="Times New Roman"/>
          <w:sz w:val="32"/>
          <w:szCs w:val="32"/>
        </w:rPr>
        <w:t>城口经济总量小、产业发展层次较低、基础设施短板明显，经济社会发展较其他区县差距较大，实现“弯道超车”、“换道超车”难度极大。同时，城口“绿水青山”富足，但“金山银山”转化不足，生态是最大的优势，也是最大的“命脉”，亟需实行“调头”思维，合理审视县域资源禀赋、现实条件，用好用活生态资源，加快推动错位发展、补位发展。</w:t>
      </w:r>
    </w:p>
    <w:p w14:paraId="0374C7DA">
      <w:pPr>
        <w:widowControl w:val="0"/>
        <w:adjustRightInd w:val="0"/>
        <w:snapToGrid w:val="0"/>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二、重点任务设置考虑</w:t>
      </w:r>
    </w:p>
    <w:p w14:paraId="759670D5">
      <w:pPr>
        <w:adjustRightInd w:val="0"/>
        <w:snapToGrid w:val="0"/>
        <w:ind w:firstLine="640" w:firstLineChars="200"/>
        <w:textAlignment w:val="baseline"/>
        <w:rPr>
          <w:rStyle w:val="25"/>
          <w:rFonts w:ascii="Times New Roman" w:hAnsi="Times New Roman" w:eastAsia="方正仿宋_GBK"/>
          <w:sz w:val="32"/>
          <w:szCs w:val="32"/>
        </w:rPr>
      </w:pPr>
      <w:r>
        <w:rPr>
          <w:rStyle w:val="25"/>
          <w:rFonts w:ascii="Times New Roman" w:hAnsi="Times New Roman" w:eastAsia="方正仿宋_GBK"/>
          <w:sz w:val="32"/>
          <w:szCs w:val="32"/>
        </w:rPr>
        <w:t>《规划纲要》全文共12篇52章114节、6.6万余字。第1篇“开启社会主义现代化新征程”阐述发展环境、指导方针、发展目标，第2—11篇阐述“十四五”时期经济社会发展的十大重点任务，第12篇阐述“健全规划的领导和保障机制”。</w:t>
      </w:r>
    </w:p>
    <w:p w14:paraId="52EDF801">
      <w:pPr>
        <w:widowControl w:val="0"/>
        <w:adjustRightInd w:val="0"/>
        <w:snapToGrid w:val="0"/>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第一，科学设定全县“十四五”发展目标</w:t>
      </w:r>
    </w:p>
    <w:p w14:paraId="2CC3F479">
      <w:pPr>
        <w:pStyle w:val="4"/>
        <w:adjustRightInd w:val="0"/>
        <w:snapToGrid w:val="0"/>
        <w:spacing w:after="0" w:line="560" w:lineRule="exact"/>
        <w:ind w:firstLine="640" w:firstLineChars="200"/>
        <w:rPr>
          <w:rFonts w:ascii="Times New Roman" w:hAnsi="Times New Roman" w:eastAsia="方正仿宋_GBK" w:cs="Times New Roman"/>
        </w:rPr>
      </w:pPr>
      <w:r>
        <w:rPr>
          <w:rFonts w:ascii="Times New Roman" w:hAnsi="Times New Roman" w:eastAsia="方正仿宋_GBK" w:cs="Times New Roman"/>
          <w:sz w:val="32"/>
          <w:szCs w:val="32"/>
        </w:rPr>
        <w:t>党的十九届五中全会明确了“十四五”时期“六个新”的奋斗目标，市委五届九次全会围绕这六个方面提出了全市的发展目标。</w:t>
      </w:r>
      <w:r>
        <w:rPr>
          <w:rFonts w:ascii="Times New Roman" w:hAnsi="Times New Roman" w:eastAsia="方正仿宋_GBK" w:cs="Times New Roman"/>
          <w:sz w:val="32"/>
        </w:rPr>
        <w:t>对标落实中央和市</w:t>
      </w:r>
      <w:r>
        <w:rPr>
          <w:rFonts w:ascii="Times New Roman" w:hAnsi="Times New Roman" w:eastAsia="方正仿宋_GBK" w:cs="Times New Roman"/>
          <w:sz w:val="32"/>
          <w:szCs w:val="32"/>
        </w:rPr>
        <w:t>委的目标和要求，县委十三届九次全会提出了“八个新”的奋斗目标。我们采取定性和定量相结合的方式，提出了我县“十四五”的主要目标。其中，</w:t>
      </w:r>
      <w:r>
        <w:rPr>
          <w:rFonts w:ascii="Times New Roman" w:hAnsi="Times New Roman" w:eastAsia="方正仿宋_GBK" w:cs="Times New Roman"/>
          <w:b/>
          <w:bCs/>
          <w:sz w:val="32"/>
          <w:szCs w:val="32"/>
        </w:rPr>
        <w:t>定性目标</w:t>
      </w:r>
      <w:r>
        <w:rPr>
          <w:rFonts w:ascii="Times New Roman" w:hAnsi="Times New Roman" w:eastAsia="方正仿宋_GBK" w:cs="Times New Roman"/>
          <w:sz w:val="32"/>
          <w:szCs w:val="32"/>
        </w:rPr>
        <w:t>与县委《建议》保持一致，即高质量发展迈出新步伐、基础设施互联互通实现新突破、山清水秀美丽之地开创新局面、生态经济谱写新篇章、创造高品质生活达到新水平、发展动能得到新增强、社会文明程度达到新高度、治理效能实现新提升8个方面的目标。</w:t>
      </w:r>
      <w:r>
        <w:rPr>
          <w:rFonts w:ascii="Times New Roman" w:hAnsi="Times New Roman" w:eastAsia="方正仿宋_GBK" w:cs="Times New Roman"/>
          <w:b/>
          <w:bCs/>
          <w:sz w:val="32"/>
          <w:szCs w:val="32"/>
        </w:rPr>
        <w:t>定量目标，</w:t>
      </w:r>
      <w:r>
        <w:rPr>
          <w:rFonts w:ascii="Times New Roman" w:hAnsi="Times New Roman" w:eastAsia="方正仿宋_GBK" w:cs="Times New Roman"/>
          <w:sz w:val="32"/>
          <w:szCs w:val="32"/>
        </w:rPr>
        <w:t>主要</w:t>
      </w:r>
      <w:r>
        <w:rPr>
          <w:rStyle w:val="25"/>
          <w:rFonts w:ascii="Times New Roman" w:hAnsi="Times New Roman" w:eastAsia="方正仿宋_GBK"/>
          <w:sz w:val="32"/>
          <w:szCs w:val="32"/>
        </w:rPr>
        <w:t>按照“积极稳妥、留有余地”原则，</w:t>
      </w:r>
      <w:r>
        <w:rPr>
          <w:rFonts w:ascii="Times New Roman" w:hAnsi="Times New Roman" w:eastAsia="方正仿宋_GBK" w:cs="Times New Roman"/>
          <w:sz w:val="32"/>
          <w:szCs w:val="32"/>
        </w:rPr>
        <w:t>重点对标市级发展指标以及全县发展定位、发展潜力和发展实际，</w:t>
      </w:r>
      <w:r>
        <w:rPr>
          <w:rStyle w:val="25"/>
          <w:rFonts w:ascii="Times New Roman" w:hAnsi="Times New Roman" w:eastAsia="方正仿宋_GBK"/>
          <w:sz w:val="32"/>
          <w:szCs w:val="32"/>
        </w:rPr>
        <w:t>既考虑可能、又引导预期，研究设置了推动高质量发展、创造高品质生活、山清水秀美丽之地建设、安全发展等4个方面24个具体指标。考虑到城口经济体量小，经济增长新动能还在加快培育中，以及</w:t>
      </w:r>
      <w:r>
        <w:rPr>
          <w:rFonts w:ascii="Times New Roman" w:hAnsi="Times New Roman" w:eastAsia="方正仿宋_GBK" w:cs="Times New Roman"/>
          <w:sz w:val="32"/>
          <w:szCs w:val="32"/>
        </w:rPr>
        <w:t>未来一个时期外部环境中不稳定不确定因素较多，存在不少可能冲击经济发展的风险隐患，同时对标国家“十四五”规划纲要中生产总值“保持在合理区间、各年度视情提出”的表述，经研究未在文稿中明确我县地区生产总值的具体增长目标。</w:t>
      </w:r>
    </w:p>
    <w:p w14:paraId="3864DBF7">
      <w:pPr>
        <w:widowControl w:val="0"/>
        <w:adjustRightInd w:val="0"/>
        <w:snapToGrid w:val="0"/>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第二，统筹提出全县“十四五”发展任务</w:t>
      </w:r>
    </w:p>
    <w:p w14:paraId="038BB153">
      <w:pPr>
        <w:adjustRightInd w:val="0"/>
        <w:snapToGrid w:val="0"/>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（一）坚持生态优先绿色发展，加快建设山清水秀美丽之地</w:t>
      </w:r>
    </w:p>
    <w:p w14:paraId="2DF7F25A">
      <w:pPr>
        <w:adjustRightInd w:val="0"/>
        <w:snapToGrid w:val="0"/>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紧扣敏尔书记“保护生态最大责任”交办，将“坚持生态优先绿色发展，加快建设山清水秀美丽之地”作为十大重点任务之首，力争全面建成国家生态文明建设示范县。</w:t>
      </w:r>
      <w:r>
        <w:rPr>
          <w:rFonts w:ascii="Times New Roman" w:hAnsi="Times New Roman" w:eastAsia="方正仿宋_GBK" w:cs="Times New Roman"/>
          <w:b/>
          <w:bCs/>
          <w:sz w:val="32"/>
          <w:szCs w:val="32"/>
          <w:lang w:bidi="zh-TW"/>
        </w:rPr>
        <w:t>①</w:t>
      </w:r>
      <w:r>
        <w:rPr>
          <w:rFonts w:ascii="Times New Roman" w:hAnsi="Times New Roman" w:eastAsia="方正仿宋_GBK" w:cs="Times New Roman"/>
          <w:sz w:val="32"/>
          <w:szCs w:val="32"/>
        </w:rPr>
        <w:t>为全面贯彻落实习近平生态文明思想和</w:t>
      </w:r>
      <w:r>
        <w:rPr>
          <w:rFonts w:hint="eastAsia" w:ascii="Times New Roman" w:hAnsi="Times New Roman" w:eastAsia="方正仿宋_GBK" w:cs="Times New Roman"/>
          <w:sz w:val="32"/>
          <w:szCs w:val="32"/>
        </w:rPr>
        <w:t>党的十九大精神</w:t>
      </w:r>
      <w:r>
        <w:rPr>
          <w:rFonts w:ascii="Times New Roman" w:hAnsi="Times New Roman" w:eastAsia="方正仿宋_GBK" w:cs="Times New Roman"/>
          <w:sz w:val="32"/>
          <w:szCs w:val="32"/>
        </w:rPr>
        <w:t>，坚定践行“绿水青山就是金山银山”理念，牢固树立生态文明观念，结合县委、县政府关于加快建设山清水秀美丽之地和“两山”“两化”先行示范区创建相关工作安排，</w:t>
      </w:r>
      <w:r>
        <w:rPr>
          <w:rFonts w:ascii="Times New Roman" w:hAnsi="Times New Roman" w:eastAsia="方正仿宋_GBK" w:cs="Times New Roman"/>
          <w:b/>
          <w:bCs/>
          <w:sz w:val="32"/>
          <w:szCs w:val="32"/>
        </w:rPr>
        <w:t>规划提出</w:t>
      </w:r>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提升全民生态文明素养，打造大巴山生态文化教育基地等重点任务。</w:t>
      </w:r>
      <w:r>
        <w:rPr>
          <w:rFonts w:ascii="Times New Roman" w:hAnsi="Times New Roman" w:eastAsia="方正仿宋_GBK" w:cs="Times New Roman"/>
          <w:b/>
          <w:bCs/>
          <w:sz w:val="32"/>
          <w:szCs w:val="32"/>
          <w:lang w:bidi="zh-TW"/>
        </w:rPr>
        <w:t>②</w:t>
      </w:r>
      <w:r>
        <w:rPr>
          <w:rFonts w:ascii="Times New Roman" w:hAnsi="Times New Roman" w:eastAsia="方正仿宋_GBK" w:cs="Times New Roman"/>
          <w:bCs/>
          <w:sz w:val="32"/>
          <w:szCs w:val="32"/>
        </w:rPr>
        <w:t>考虑到城口资源禀赋强、生态价值高，是全国重点生态功能区，且前期我县委托中咨公司、西南大学和山东临沂朱家林项目燕筑团队等已开展了大量“两山”“两化”前期工作，推动生态产品价值实现符合城口未来发展方向。</w:t>
      </w:r>
      <w:r>
        <w:rPr>
          <w:rFonts w:ascii="Times New Roman" w:hAnsi="Times New Roman" w:eastAsia="方正仿宋_GBK" w:cs="Times New Roman"/>
          <w:b/>
          <w:sz w:val="32"/>
          <w:szCs w:val="32"/>
        </w:rPr>
        <w:t>规划提出</w:t>
      </w:r>
      <w:r>
        <w:rPr>
          <w:rFonts w:hint="eastAsia" w:ascii="Times New Roman" w:hAnsi="Times New Roman" w:eastAsia="方正仿宋_GBK" w:cs="Times New Roman"/>
          <w:b/>
          <w:sz w:val="32"/>
          <w:szCs w:val="32"/>
        </w:rPr>
        <w:t>：</w:t>
      </w:r>
      <w:r>
        <w:rPr>
          <w:rFonts w:ascii="Times New Roman" w:hAnsi="Times New Roman" w:eastAsia="方正仿宋_GBK" w:cs="Times New Roman"/>
          <w:bCs/>
          <w:sz w:val="32"/>
          <w:szCs w:val="32"/>
        </w:rPr>
        <w:t>“推进生态资源价值转换”任务，拟积极</w:t>
      </w:r>
      <w:r>
        <w:rPr>
          <w:rFonts w:ascii="Times New Roman" w:hAnsi="Times New Roman" w:eastAsia="方正仿宋_GBK" w:cs="Times New Roman"/>
          <w:sz w:val="32"/>
          <w:szCs w:val="32"/>
        </w:rPr>
        <w:t>争取将城口纳入全市、全国生态产品价值实现机制试点范畴，打造成为生态产品价值实现机制示范基地。同时</w:t>
      </w:r>
      <w:r>
        <w:rPr>
          <w:rFonts w:ascii="Times New Roman" w:hAnsi="Times New Roman" w:eastAsia="方正仿宋_GBK" w:cs="Times New Roman"/>
          <w:bCs/>
          <w:sz w:val="32"/>
          <w:szCs w:val="32"/>
        </w:rPr>
        <w:t>，及早</w:t>
      </w:r>
      <w:r>
        <w:rPr>
          <w:rFonts w:ascii="Times New Roman" w:hAnsi="Times New Roman" w:eastAsia="方正仿宋_GBK" w:cs="Times New Roman"/>
          <w:sz w:val="32"/>
          <w:szCs w:val="32"/>
        </w:rPr>
        <w:t>推进生态资源家底普查、生态产品目录编制和生态产品价值实现规划编制等工作，</w:t>
      </w:r>
      <w:r>
        <w:rPr>
          <w:rFonts w:ascii="Times New Roman" w:hAnsi="Times New Roman" w:eastAsia="方正仿宋_GBK" w:cs="Times New Roman"/>
          <w:bCs/>
          <w:sz w:val="32"/>
          <w:szCs w:val="32"/>
        </w:rPr>
        <w:t>探索建立生态系统生产总值核算（GEP）体系、完善生态产品价值实现路径，</w:t>
      </w:r>
      <w:r>
        <w:rPr>
          <w:rFonts w:ascii="Times New Roman" w:hAnsi="Times New Roman" w:eastAsia="方正仿宋_GBK" w:cs="Times New Roman"/>
          <w:sz w:val="32"/>
          <w:szCs w:val="32"/>
        </w:rPr>
        <w:t>推动经济社会发展全面绿色转型。</w:t>
      </w:r>
      <w:r>
        <w:rPr>
          <w:rFonts w:ascii="Times New Roman" w:hAnsi="Times New Roman" w:eastAsia="方正仿宋_GBK" w:cs="Times New Roman"/>
          <w:b/>
          <w:bCs/>
          <w:sz w:val="32"/>
          <w:szCs w:val="32"/>
          <w:lang w:bidi="zh-TW"/>
        </w:rPr>
        <w:t>③</w:t>
      </w:r>
      <w:r>
        <w:rPr>
          <w:rFonts w:ascii="Times New Roman" w:hAnsi="Times New Roman" w:eastAsia="方正仿宋_GBK" w:cs="Times New Roman"/>
          <w:sz w:val="32"/>
          <w:szCs w:val="32"/>
        </w:rPr>
        <w:t>城口是长江上游生态屏障，是中国17个生物多样性保护关键区及世界自然基金会所确定的全球233个热点生态区之一，境内有大量珍稀濒危物种，是生物演变、生物遗传和生物多样性的基因库。结合《重庆市重要生态系统保护和修复重大工程总体规划（2021—2035年）》工作谋划</w:t>
      </w:r>
      <w:bookmarkStart w:id="1" w:name="_GoBack"/>
      <w:bookmarkEnd w:id="1"/>
      <w:r>
        <w:rPr>
          <w:rFonts w:ascii="Times New Roman" w:hAnsi="Times New Roman" w:eastAsia="方正仿宋_GBK" w:cs="Times New Roman"/>
          <w:sz w:val="32"/>
          <w:szCs w:val="32"/>
        </w:rPr>
        <w:t>，</w:t>
      </w:r>
      <w:r>
        <w:rPr>
          <w:rFonts w:ascii="Times New Roman" w:hAnsi="Times New Roman" w:eastAsia="方正仿宋_GBK" w:cs="Times New Roman"/>
          <w:b/>
          <w:bCs/>
          <w:sz w:val="32"/>
          <w:szCs w:val="32"/>
        </w:rPr>
        <w:t>规划提出</w:t>
      </w:r>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要</w:t>
      </w:r>
      <w:r>
        <w:rPr>
          <w:rFonts w:ascii="Times New Roman" w:hAnsi="Times New Roman" w:eastAsia="方正仿宋_GBK" w:cs="Times New Roman"/>
          <w:bCs/>
          <w:sz w:val="32"/>
          <w:szCs w:val="32"/>
        </w:rPr>
        <w:t>开展生物多样性调查和评估，建立生物多样性数据库和信息平台，构建生物多样性检测网络；要</w:t>
      </w:r>
      <w:r>
        <w:rPr>
          <w:rFonts w:ascii="Times New Roman" w:hAnsi="Times New Roman" w:eastAsia="方正仿宋_GBK" w:cs="Times New Roman"/>
          <w:sz w:val="32"/>
          <w:szCs w:val="32"/>
        </w:rPr>
        <w:t>实施流域水生态环境治理、大巴山生物多样性保护等生态系统保护和修复重大工程任务。</w:t>
      </w:r>
      <w:r>
        <w:rPr>
          <w:rFonts w:ascii="Times New Roman" w:hAnsi="Times New Roman" w:eastAsia="方正仿宋_GBK" w:cs="Times New Roman"/>
          <w:b/>
          <w:bCs/>
          <w:sz w:val="32"/>
          <w:szCs w:val="32"/>
        </w:rPr>
        <w:t>④</w:t>
      </w:r>
      <w:r>
        <w:rPr>
          <w:rFonts w:ascii="Times New Roman" w:hAnsi="Times New Roman" w:eastAsia="方正仿宋_GBK" w:cs="Times New Roman"/>
          <w:sz w:val="32"/>
          <w:szCs w:val="32"/>
        </w:rPr>
        <w:t>围绕贯彻“共抓大保护，不搞大开发”方针，强化“上游意识”，担起“上游责任”，把保护和修复生态环境放在首要位置，</w:t>
      </w:r>
      <w:r>
        <w:rPr>
          <w:rFonts w:ascii="Times New Roman" w:hAnsi="Times New Roman" w:eastAsia="方正仿宋_GBK" w:cs="Times New Roman"/>
          <w:b/>
          <w:bCs/>
          <w:sz w:val="32"/>
          <w:szCs w:val="32"/>
        </w:rPr>
        <w:t>规划提出</w:t>
      </w:r>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全力推进山水林田湖草生态系统保护修复，持续打好污染防治攻坚战，构建</w:t>
      </w:r>
      <w:r>
        <w:rPr>
          <w:rFonts w:ascii="Times New Roman" w:hAnsi="Times New Roman" w:eastAsia="方正仿宋_GBK" w:cs="Times New Roman"/>
          <w:bCs/>
          <w:sz w:val="32"/>
          <w:szCs w:val="32"/>
        </w:rPr>
        <w:t>“一屏”（即大巴山国家级自然保护区及重要山体）、“两带”（即任河流域带、前河流域带）、“多点”（即巴山湖国家湿地公园、九重山国家森林公园、饮用水源地等生态保护红线圈）生态空间安全格局等重点任务。</w:t>
      </w:r>
    </w:p>
    <w:p w14:paraId="2323F5F1">
      <w:pPr>
        <w:pStyle w:val="9"/>
        <w:adjustRightInd w:val="0"/>
        <w:spacing w:line="560" w:lineRule="exact"/>
        <w:ind w:firstLine="640" w:firstLineChars="200"/>
        <w:jc w:val="both"/>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抢抓战略新机遇，主动深度融入新发展格局</w:t>
      </w:r>
    </w:p>
    <w:p w14:paraId="55EFE88D">
      <w:pPr>
        <w:pStyle w:val="9"/>
        <w:adjustRightInd w:val="0"/>
        <w:spacing w:line="560" w:lineRule="exact"/>
        <w:ind w:firstLine="640" w:firstLineChars="200"/>
        <w:jc w:val="both"/>
        <w:rPr>
          <w:rFonts w:ascii="Times New Roman" w:hAnsi="Times New Roman" w:eastAsia="方正楷体_GBK" w:cs="Times New Roman"/>
          <w:sz w:val="32"/>
          <w:szCs w:val="32"/>
        </w:rPr>
      </w:pPr>
      <w:r>
        <w:rPr>
          <w:rFonts w:hint="eastAsia" w:ascii="方正仿宋_GBK" w:hAnsi="方正仿宋_GBK" w:eastAsia="方正仿宋_GBK" w:cs="方正仿宋_GBK"/>
          <w:sz w:val="32"/>
          <w:szCs w:val="32"/>
        </w:rPr>
        <w:t>围绕推动重大战略落地，整合“坚持扩大内需战略”“持续提高对外开放水平”“全力推进成渝地区双城经济圈建设和渝东北三峡库区城镇群建设”，将“抢抓战略新机遇，主动深度融入新发展格局”作为第二大重点任务。</w:t>
      </w:r>
      <w:r>
        <w:rPr>
          <w:rFonts w:hint="eastAsia" w:ascii="方正仿宋_GBK" w:hAnsi="方正仿宋_GBK" w:eastAsia="方正仿宋_GBK" w:cs="方正仿宋_GBK"/>
          <w:b/>
          <w:bCs/>
          <w:sz w:val="32"/>
          <w:szCs w:val="32"/>
        </w:rPr>
        <w:t>规划提出</w:t>
      </w:r>
      <w:r>
        <w:rPr>
          <w:rFonts w:hint="eastAsia" w:ascii="方正仿宋_GBK" w:hAnsi="方正仿宋_GBK" w:eastAsia="方正仿宋_GBK" w:cs="方正仿宋_GBK"/>
          <w:sz w:val="32"/>
          <w:szCs w:val="32"/>
        </w:rPr>
        <w:t>：</w:t>
      </w:r>
      <w:r>
        <w:rPr>
          <w:rFonts w:ascii="Times New Roman" w:hAnsi="Times New Roman" w:eastAsia="方正仿宋_GBK" w:cs="Times New Roman"/>
          <w:b/>
          <w:bCs/>
          <w:sz w:val="32"/>
          <w:szCs w:val="32"/>
        </w:rPr>
        <w:t>①</w:t>
      </w:r>
      <w:r>
        <w:rPr>
          <w:rFonts w:ascii="Times New Roman" w:hAnsi="Times New Roman" w:eastAsia="方正仿宋_GBK" w:cs="Times New Roman"/>
          <w:sz w:val="32"/>
          <w:szCs w:val="32"/>
        </w:rPr>
        <w:t>积极扩大有效投资、深化投融资体制改革创新等重点任务，拓展投资空间。目前全县“十四五”重大项目库已形成阶段性成果，储备库项目218个，总投资1249.81亿元；编制2021-2023三年滚动重大项目205个，项目总投资1047.47亿元；明确2021年度投资计划，计划实施基础设施、旅游发展、城市建设、重点产业、生态环保、社会民生建设等领域项目143个，总投资168.37亿元；实行县领导包重点项目机制，安排专班负责、坚持周调度，点对点、实打实解决问题，促进投资合理增长。</w:t>
      </w:r>
      <w:r>
        <w:rPr>
          <w:rFonts w:ascii="Times New Roman" w:hAnsi="Times New Roman" w:eastAsia="方正仿宋_GBK" w:cs="Times New Roman"/>
          <w:b/>
          <w:bCs/>
          <w:sz w:val="32"/>
          <w:szCs w:val="32"/>
        </w:rPr>
        <w:t>②</w:t>
      </w:r>
      <w:r>
        <w:rPr>
          <w:rFonts w:ascii="Times New Roman" w:hAnsi="Times New Roman" w:eastAsia="方正仿宋_GBK" w:cs="Times New Roman"/>
          <w:sz w:val="32"/>
          <w:szCs w:val="32"/>
        </w:rPr>
        <w:t>拓展优化消费空间和推动消费供给升级</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全面促进消费，提升经济增长拉动力</w:t>
      </w:r>
      <w:r>
        <w:rPr>
          <w:rFonts w:hint="eastAsia" w:ascii="Times New Roman" w:hAnsi="Times New Roman" w:eastAsia="方正仿宋_GBK" w:cs="Times New Roman"/>
          <w:sz w:val="32"/>
          <w:szCs w:val="32"/>
        </w:rPr>
        <w:t>。</w:t>
      </w:r>
      <w:r>
        <w:rPr>
          <w:rFonts w:ascii="Times New Roman" w:hAnsi="Times New Roman" w:eastAsia="方正仿宋_GBK" w:cs="Times New Roman"/>
          <w:b/>
          <w:bCs/>
          <w:sz w:val="32"/>
          <w:szCs w:val="32"/>
        </w:rPr>
        <w:t>③</w:t>
      </w:r>
      <w:r>
        <w:rPr>
          <w:rFonts w:ascii="Times New Roman" w:hAnsi="Times New Roman" w:eastAsia="方正仿宋_GBK" w:cs="Times New Roman"/>
          <w:bCs/>
          <w:sz w:val="32"/>
          <w:szCs w:val="32"/>
        </w:rPr>
        <w:t>以城（口）宣（汉）万（源）革命老区振兴发展示范区和渝东北三峡库区城镇群为平台，持续加强与毗邻地区的协作，合力推进基础设施建设、生态产业互融互补、生态环境共建共保、公共服务共建共享，</w:t>
      </w:r>
      <w:r>
        <w:rPr>
          <w:rFonts w:ascii="Times New Roman" w:hAnsi="Times New Roman" w:eastAsia="方正仿宋_GBK" w:cs="Times New Roman"/>
          <w:sz w:val="32"/>
          <w:szCs w:val="32"/>
        </w:rPr>
        <w:t>为推动渝东北川东北一体化发展，巩固秦巴山区脱贫攻坚成果和川陕革命老区振兴发展探索路径、提供经验。</w:t>
      </w:r>
    </w:p>
    <w:p w14:paraId="14F8B1EC">
      <w:pPr>
        <w:numPr>
          <w:ilvl w:val="0"/>
          <w:numId w:val="1"/>
        </w:numPr>
        <w:adjustRightInd w:val="0"/>
        <w:snapToGrid w:val="0"/>
        <w:ind w:firstLine="624"/>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全力推进基础设施建设，夯实高质量发展基础</w:t>
      </w:r>
    </w:p>
    <w:p w14:paraId="081C42A0">
      <w:pPr>
        <w:adjustRightInd w:val="0"/>
        <w:snapToGrid w:val="0"/>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紧扣敏尔书记“改善交通最紧迫任务”交办和“夯基础”攻坚任务，将“全力推进基础设施建设，夯实高质量发展基础”作为第三大重点任务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为县域经济社会发展提供基础保障和强力支撑</w:t>
      </w:r>
      <w:r>
        <w:rPr>
          <w:rStyle w:val="25"/>
          <w:rFonts w:ascii="Times New Roman" w:hAnsi="Times New Roman" w:eastAsia="方正楷体_GBK"/>
          <w:sz w:val="32"/>
          <w:szCs w:val="32"/>
        </w:rPr>
        <w:t>。</w:t>
      </w:r>
      <w:r>
        <w:rPr>
          <w:rFonts w:hint="eastAsia" w:ascii="Times New Roman" w:hAnsi="Times New Roman" w:eastAsia="方正仿宋_GBK" w:cs="Times New Roman"/>
          <w:b/>
          <w:bCs/>
          <w:sz w:val="32"/>
          <w:szCs w:val="32"/>
        </w:rPr>
        <w:t>规划提出</w:t>
      </w:r>
      <w:r>
        <w:rPr>
          <w:rFonts w:hint="eastAsia" w:ascii="Times New Roman" w:hAnsi="Times New Roman" w:eastAsia="方正仿宋_GBK" w:cs="Times New Roman"/>
          <w:sz w:val="32"/>
          <w:szCs w:val="32"/>
        </w:rPr>
        <w:t>：</w:t>
      </w:r>
      <w:r>
        <w:rPr>
          <w:rFonts w:ascii="Times New Roman" w:hAnsi="Times New Roman" w:eastAsia="方正仿宋_GBK" w:cs="Times New Roman"/>
          <w:b/>
          <w:bCs/>
          <w:sz w:val="32"/>
          <w:szCs w:val="32"/>
          <w:lang w:bidi="zh-TW"/>
        </w:rPr>
        <w:t>①</w:t>
      </w:r>
      <w:r>
        <w:rPr>
          <w:rFonts w:hint="eastAsia" w:ascii="Times New Roman" w:hAnsi="Times New Roman" w:eastAsia="方正仿宋_GBK" w:cs="Times New Roman"/>
          <w:sz w:val="32"/>
          <w:szCs w:val="32"/>
        </w:rPr>
        <w:t>交通方面，</w:t>
      </w:r>
      <w:r>
        <w:rPr>
          <w:rFonts w:ascii="Times New Roman" w:hAnsi="Times New Roman" w:eastAsia="方正仿宋_GBK" w:cs="Times New Roman"/>
          <w:bCs/>
          <w:sz w:val="32"/>
          <w:szCs w:val="32"/>
        </w:rPr>
        <w:t>全力推动</w:t>
      </w:r>
      <w:r>
        <w:rPr>
          <w:rFonts w:ascii="Times New Roman" w:hAnsi="Times New Roman" w:eastAsia="方正仿宋_GBK" w:cs="Times New Roman"/>
          <w:sz w:val="32"/>
          <w:szCs w:val="32"/>
          <w:lang w:bidi="zh-TW"/>
        </w:rPr>
        <w:t>G69</w:t>
      </w:r>
      <w:r>
        <w:rPr>
          <w:rFonts w:ascii="Times New Roman" w:hAnsi="Times New Roman" w:eastAsia="方正仿宋_GBK" w:cs="Times New Roman"/>
          <w:bCs/>
          <w:sz w:val="32"/>
          <w:szCs w:val="32"/>
        </w:rPr>
        <w:t>银百高速城口段建设，力争</w:t>
      </w:r>
      <w:r>
        <w:rPr>
          <w:rFonts w:ascii="Times New Roman" w:hAnsi="Times New Roman" w:eastAsia="方正仿宋_GBK" w:cs="Times New Roman"/>
          <w:sz w:val="32"/>
          <w:szCs w:val="32"/>
          <w:lang w:bidi="zh-TW"/>
        </w:rPr>
        <w:t>2022</w:t>
      </w:r>
      <w:r>
        <w:rPr>
          <w:rFonts w:ascii="Times New Roman" w:hAnsi="Times New Roman" w:eastAsia="方正仿宋_GBK" w:cs="Times New Roman"/>
          <w:bCs/>
          <w:sz w:val="32"/>
          <w:szCs w:val="32"/>
        </w:rPr>
        <w:t>年底通车；全力推动渝西高铁建设，力争“十四五”末期建成；积极争取推动城口至万源、城口至宣汉高速公路前期，力争</w:t>
      </w:r>
      <w:r>
        <w:rPr>
          <w:rFonts w:ascii="Times New Roman" w:hAnsi="Times New Roman" w:eastAsia="方正仿宋_GBK" w:cs="Times New Roman"/>
          <w:sz w:val="32"/>
          <w:szCs w:val="32"/>
          <w:lang w:bidi="zh-TW"/>
        </w:rPr>
        <w:t>“十四五”</w:t>
      </w:r>
      <w:r>
        <w:rPr>
          <w:rFonts w:ascii="Times New Roman" w:hAnsi="Times New Roman" w:eastAsia="方正仿宋_GBK" w:cs="Times New Roman"/>
          <w:bCs/>
          <w:sz w:val="32"/>
          <w:szCs w:val="32"/>
        </w:rPr>
        <w:t>启动建设；积极推动城口至巫溪高速公路前期。</w:t>
      </w:r>
      <w:r>
        <w:rPr>
          <w:rStyle w:val="25"/>
          <w:rFonts w:ascii="Times New Roman" w:hAnsi="Times New Roman" w:eastAsia="方正仿宋_GBK"/>
          <w:sz w:val="32"/>
          <w:szCs w:val="32"/>
        </w:rPr>
        <w:t>同时，交通内循环提升主要以带动产业发展、便捷居民生产生活为目标，加快推动县域内公路成环成网、互联互通。力争“十四五”末期，对外交通瓶颈得到根本性缓解，基本建成重庆向北重要交通节点和渝川陕毗邻区县综合交通枢纽。</w:t>
      </w:r>
      <w:r>
        <w:rPr>
          <w:rFonts w:ascii="Times New Roman" w:hAnsi="Times New Roman" w:eastAsia="方正仿宋_GBK" w:cs="Times New Roman"/>
          <w:b/>
          <w:bCs/>
          <w:sz w:val="32"/>
          <w:szCs w:val="32"/>
          <w:lang w:bidi="zh-TW"/>
        </w:rPr>
        <w:t>②</w:t>
      </w:r>
      <w:r>
        <w:rPr>
          <w:rFonts w:ascii="Times New Roman" w:hAnsi="Times New Roman" w:eastAsia="方正仿宋_GBK" w:cs="Times New Roman"/>
          <w:sz w:val="32"/>
          <w:szCs w:val="32"/>
        </w:rPr>
        <w:t>优化能源结构</w:t>
      </w:r>
      <w:r>
        <w:rPr>
          <w:rFonts w:hint="eastAsia" w:ascii="Times New Roman" w:hAnsi="Times New Roman" w:eastAsia="方正仿宋_GBK" w:cs="Times New Roman"/>
          <w:sz w:val="32"/>
          <w:szCs w:val="32"/>
        </w:rPr>
        <w:t>方面</w:t>
      </w:r>
      <w:r>
        <w:rPr>
          <w:rFonts w:ascii="Times New Roman" w:hAnsi="Times New Roman" w:eastAsia="方正仿宋_GBK" w:cs="Times New Roman"/>
          <w:sz w:val="32"/>
          <w:szCs w:val="32"/>
        </w:rPr>
        <w:t>，大力</w:t>
      </w:r>
      <w:r>
        <w:rPr>
          <w:rFonts w:ascii="Times New Roman" w:hAnsi="Times New Roman" w:eastAsia="方正仿宋_GBK" w:cs="Times New Roman"/>
          <w:kern w:val="0"/>
          <w:sz w:val="32"/>
          <w:szCs w:val="32"/>
        </w:rPr>
        <w:t>发展风电、光伏等清洁</w:t>
      </w:r>
      <w:r>
        <w:rPr>
          <w:rFonts w:hint="eastAsia" w:ascii="Times New Roman" w:hAnsi="Times New Roman" w:eastAsia="方正仿宋_GBK" w:cs="Times New Roman"/>
          <w:kern w:val="0"/>
          <w:sz w:val="32"/>
          <w:szCs w:val="32"/>
        </w:rPr>
        <w:t>能源</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配套建设</w:t>
      </w:r>
      <w:r>
        <w:rPr>
          <w:rFonts w:ascii="Times New Roman" w:hAnsi="Times New Roman" w:eastAsia="方正仿宋_GBK" w:cs="Times New Roman"/>
          <w:kern w:val="0"/>
          <w:sz w:val="32"/>
          <w:szCs w:val="32"/>
        </w:rPr>
        <w:t>城口</w:t>
      </w:r>
      <w:r>
        <w:rPr>
          <w:rFonts w:ascii="Times New Roman" w:hAnsi="Times New Roman" w:eastAsia="方正仿宋_GBK" w:cs="Times New Roman"/>
          <w:sz w:val="32"/>
          <w:szCs w:val="32"/>
        </w:rPr>
        <w:t>至开州</w:t>
      </w:r>
      <w:r>
        <w:rPr>
          <w:rFonts w:ascii="Times New Roman" w:hAnsi="Times New Roman" w:eastAsia="方正仿宋_GBK" w:cs="Times New Roman"/>
          <w:sz w:val="32"/>
          <w:szCs w:val="32"/>
          <w:lang w:bidi="zh-TW"/>
        </w:rPr>
        <w:t>220</w:t>
      </w:r>
      <w:r>
        <w:rPr>
          <w:rFonts w:ascii="Times New Roman" w:hAnsi="Times New Roman" w:eastAsia="方正仿宋_GBK" w:cs="Times New Roman"/>
          <w:sz w:val="32"/>
          <w:szCs w:val="32"/>
        </w:rPr>
        <w:t>千伏电网、前河110千伏变电站（扩容）及附属工程等重点任务，</w:t>
      </w:r>
      <w:r>
        <w:rPr>
          <w:rFonts w:hint="eastAsia" w:ascii="Times New Roman" w:hAnsi="Times New Roman" w:eastAsia="方正仿宋_GBK" w:cs="Times New Roman"/>
          <w:sz w:val="32"/>
          <w:szCs w:val="32"/>
        </w:rPr>
        <w:t>建成大巴山新能源基地</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加快建成万源至城口天然气长输管网，</w:t>
      </w:r>
      <w:r>
        <w:rPr>
          <w:rFonts w:ascii="Times New Roman" w:hAnsi="Times New Roman" w:eastAsia="方正仿宋_GBK" w:cs="Times New Roman"/>
          <w:sz w:val="32"/>
          <w:szCs w:val="32"/>
        </w:rPr>
        <w:t>完善能源输送通道网络，加快构建覆盖城乡、稳定安全的天然气供应网络。</w:t>
      </w:r>
      <w:r>
        <w:rPr>
          <w:rFonts w:ascii="Times New Roman" w:hAnsi="Times New Roman" w:eastAsia="方正仿宋_GBK" w:cs="Times New Roman"/>
          <w:b/>
          <w:bCs/>
          <w:sz w:val="32"/>
          <w:szCs w:val="32"/>
        </w:rPr>
        <w:t>④</w:t>
      </w:r>
      <w:r>
        <w:rPr>
          <w:rFonts w:hint="eastAsia" w:ascii="Times New Roman" w:hAnsi="Times New Roman" w:eastAsia="方正仿宋_GBK" w:cs="Times New Roman"/>
          <w:sz w:val="32"/>
          <w:szCs w:val="32"/>
        </w:rPr>
        <w:t>水利方面，</w:t>
      </w:r>
      <w:r>
        <w:rPr>
          <w:rFonts w:ascii="Times New Roman" w:hAnsi="Times New Roman" w:eastAsia="方正仿宋_GBK" w:cs="Times New Roman"/>
          <w:bCs/>
          <w:sz w:val="32"/>
          <w:szCs w:val="32"/>
        </w:rPr>
        <w:t>推进以任河、前河两大流域为重点的水生态环境治理，加强骨干水源建设，</w:t>
      </w:r>
      <w:r>
        <w:rPr>
          <w:rFonts w:ascii="Times New Roman" w:hAnsi="Times New Roman" w:eastAsia="方正仿宋_GBK" w:cs="Times New Roman"/>
          <w:sz w:val="32"/>
          <w:szCs w:val="32"/>
        </w:rPr>
        <w:t>实施饮水安全巩固提升工程等</w:t>
      </w:r>
      <w:r>
        <w:rPr>
          <w:rFonts w:hint="eastAsia" w:ascii="Times New Roman" w:hAnsi="Times New Roman" w:eastAsia="方正仿宋_GBK" w:cs="Times New Roman"/>
          <w:sz w:val="32"/>
          <w:szCs w:val="32"/>
        </w:rPr>
        <w:t>，</w:t>
      </w:r>
      <w:r>
        <w:rPr>
          <w:rFonts w:ascii="Times New Roman" w:hAnsi="Times New Roman" w:eastAsia="方正仿宋_GBK" w:cs="Times New Roman"/>
          <w:bCs/>
          <w:sz w:val="32"/>
          <w:szCs w:val="32"/>
        </w:rPr>
        <w:t>全面</w:t>
      </w:r>
      <w:r>
        <w:rPr>
          <w:rFonts w:ascii="Times New Roman" w:hAnsi="Times New Roman" w:eastAsia="方正仿宋_GBK" w:cs="Times New Roman"/>
          <w:sz w:val="32"/>
          <w:szCs w:val="32"/>
        </w:rPr>
        <w:t>提升水安全保障能力和</w:t>
      </w:r>
      <w:r>
        <w:rPr>
          <w:rFonts w:ascii="Times New Roman" w:hAnsi="Times New Roman" w:eastAsia="方正仿宋_GBK" w:cs="Times New Roman"/>
          <w:bCs/>
          <w:sz w:val="32"/>
          <w:szCs w:val="32"/>
        </w:rPr>
        <w:t>水旱灾害防御能力。</w:t>
      </w:r>
      <w:r>
        <w:rPr>
          <w:rFonts w:ascii="Times New Roman" w:hAnsi="Times New Roman" w:eastAsia="方正仿宋_GBK" w:cs="Times New Roman"/>
          <w:b/>
          <w:bCs/>
          <w:sz w:val="32"/>
          <w:szCs w:val="32"/>
        </w:rPr>
        <w:t>⑤</w:t>
      </w:r>
      <w:r>
        <w:rPr>
          <w:rFonts w:hint="eastAsia" w:ascii="Times New Roman" w:hAnsi="Times New Roman" w:eastAsia="方正仿宋_GBK" w:cs="Times New Roman"/>
          <w:sz w:val="32"/>
          <w:szCs w:val="32"/>
        </w:rPr>
        <w:t>信息化基础设施方面，</w:t>
      </w:r>
      <w:r>
        <w:rPr>
          <w:rFonts w:ascii="Times New Roman" w:hAnsi="Times New Roman" w:eastAsia="方正仿宋_GBK" w:cs="Times New Roman"/>
          <w:sz w:val="32"/>
          <w:szCs w:val="32"/>
        </w:rPr>
        <w:t>扎实推进</w:t>
      </w:r>
      <w:r>
        <w:rPr>
          <w:rFonts w:ascii="Times New Roman" w:hAnsi="Times New Roman" w:eastAsia="方正仿宋_GBK" w:cs="Times New Roman"/>
          <w:sz w:val="32"/>
          <w:szCs w:val="32"/>
          <w:lang w:bidi="zh-TW"/>
        </w:rPr>
        <w:t>5G、</w:t>
      </w:r>
      <w:r>
        <w:rPr>
          <w:rFonts w:ascii="Times New Roman" w:hAnsi="Times New Roman" w:eastAsia="方正仿宋_GBK" w:cs="Times New Roman"/>
          <w:sz w:val="32"/>
          <w:szCs w:val="32"/>
        </w:rPr>
        <w:t>千兆光纤等新型网络基础设施建设，加快新型智慧城市建设和农村信息基础设施建设，补齐公共服务、基础设施、社会治理等领域数字化信息化短板等。</w:t>
      </w:r>
    </w:p>
    <w:p w14:paraId="1FC99C73">
      <w:pPr>
        <w:numPr>
          <w:ilvl w:val="0"/>
          <w:numId w:val="1"/>
        </w:numPr>
        <w:overflowPunct w:val="0"/>
        <w:adjustRightInd w:val="0"/>
        <w:snapToGrid w:val="0"/>
        <w:ind w:firstLine="624"/>
        <w:rPr>
          <w:rFonts w:ascii="Times New Roman" w:hAnsi="Times New Roman" w:eastAsia="方正楷体_GBK" w:cs="Times New Roman"/>
          <w:sz w:val="32"/>
          <w:szCs w:val="32"/>
        </w:rPr>
      </w:pPr>
      <w:r>
        <w:rPr>
          <w:rFonts w:ascii="Times New Roman" w:hAnsi="Times New Roman" w:eastAsia="方正楷体_GBK" w:cs="Times New Roman"/>
          <w:sz w:val="32"/>
          <w:szCs w:val="32"/>
        </w:rPr>
        <w:t>发展现代产业体系，推动经济体系优化升级</w:t>
      </w:r>
    </w:p>
    <w:p w14:paraId="496FB5DA">
      <w:pPr>
        <w:overflowPunct w:val="0"/>
        <w:adjustRightInd w:val="0"/>
        <w:snapToGrid w:val="0"/>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紧扣敏尔书记“农文旅融合发展是城口最大的潜力”交办和“生态+”“+生态”思路，将“发展现代产业体系，推动经济体系优化升级”作为第四大重点任务。</w:t>
      </w:r>
      <w:r>
        <w:rPr>
          <w:rFonts w:hint="eastAsia" w:ascii="Times New Roman" w:hAnsi="Times New Roman" w:eastAsia="方正仿宋_GBK" w:cs="Times New Roman"/>
          <w:b/>
          <w:bCs/>
          <w:sz w:val="32"/>
          <w:szCs w:val="32"/>
        </w:rPr>
        <w:t>规划提出</w:t>
      </w:r>
      <w:r>
        <w:rPr>
          <w:rFonts w:ascii="Times New Roman" w:hAnsi="Times New Roman" w:eastAsia="方正仿宋_GBK" w:cs="Times New Roman"/>
          <w:b/>
          <w:bCs/>
          <w:sz w:val="32"/>
          <w:szCs w:val="32"/>
        </w:rPr>
        <w:t>：</w:t>
      </w:r>
      <w:r>
        <w:rPr>
          <w:rFonts w:ascii="Times New Roman" w:hAnsi="Times New Roman" w:eastAsia="方正仿宋_GBK" w:cs="Times New Roman"/>
          <w:b/>
          <w:sz w:val="32"/>
          <w:szCs w:val="32"/>
        </w:rPr>
        <w:t>①</w:t>
      </w:r>
      <w:r>
        <w:rPr>
          <w:rFonts w:ascii="Times New Roman" w:hAnsi="Times New Roman" w:eastAsia="方正仿宋_GBK" w:cs="Times New Roman"/>
          <w:bCs/>
          <w:sz w:val="32"/>
          <w:szCs w:val="32"/>
        </w:rPr>
        <w:t>坚定不移走生态优先绿色发展新路，</w:t>
      </w:r>
      <w:r>
        <w:rPr>
          <w:rFonts w:ascii="Times New Roman" w:hAnsi="Times New Roman" w:eastAsia="方正仿宋_GBK" w:cs="Times New Roman"/>
          <w:sz w:val="32"/>
          <w:szCs w:val="32"/>
        </w:rPr>
        <w:t>始终保持学好用好“两山论”、走深走实“两化路”的战略定力，</w:t>
      </w:r>
      <w:r>
        <w:rPr>
          <w:rStyle w:val="25"/>
          <w:rFonts w:ascii="Times New Roman" w:hAnsi="Times New Roman" w:eastAsia="方正仿宋_GBK"/>
          <w:sz w:val="32"/>
          <w:szCs w:val="32"/>
        </w:rPr>
        <w:t>将</w:t>
      </w:r>
      <w:r>
        <w:rPr>
          <w:rStyle w:val="25"/>
          <w:rFonts w:ascii="Times New Roman" w:hAnsi="Times New Roman" w:eastAsia="方正仿宋_GBK"/>
          <w:b/>
          <w:bCs/>
          <w:sz w:val="32"/>
          <w:szCs w:val="32"/>
        </w:rPr>
        <w:t>农文旅融合发展作为推进生态产业发展的引领产业</w:t>
      </w:r>
      <w:r>
        <w:rPr>
          <w:rFonts w:ascii="Times New Roman" w:hAnsi="Times New Roman" w:eastAsia="方正仿宋_GBK" w:cs="Times New Roman"/>
          <w:bCs/>
          <w:sz w:val="32"/>
          <w:szCs w:val="32"/>
        </w:rPr>
        <w:t>，</w:t>
      </w:r>
      <w:r>
        <w:rPr>
          <w:rStyle w:val="25"/>
          <w:rFonts w:ascii="Times New Roman" w:hAnsi="Times New Roman" w:eastAsia="方正仿宋_GBK"/>
          <w:sz w:val="32"/>
          <w:szCs w:val="32"/>
        </w:rPr>
        <w:t>着力推动形成思路融合、业态融合、项目融合、工作融合、力量融合的农文旅融合发展格局，全力推动</w:t>
      </w:r>
      <w:r>
        <w:rPr>
          <w:rFonts w:ascii="Times New Roman" w:hAnsi="Times New Roman" w:eastAsia="方正仿宋_GBK" w:cs="Times New Roman"/>
          <w:bCs/>
          <w:sz w:val="32"/>
          <w:szCs w:val="32"/>
        </w:rPr>
        <w:t>农文旅融合高端化价值化发展。</w:t>
      </w:r>
      <w:r>
        <w:rPr>
          <w:rFonts w:ascii="Times New Roman" w:hAnsi="Times New Roman" w:eastAsia="方正仿宋_GBK" w:cs="Times New Roman"/>
          <w:sz w:val="32"/>
          <w:szCs w:val="32"/>
          <w:lang w:bidi="zh-TW"/>
        </w:rPr>
        <w:t>坚持</w:t>
      </w:r>
      <w:r>
        <w:rPr>
          <w:rFonts w:ascii="Times New Roman" w:hAnsi="Times New Roman" w:eastAsia="方正仿宋_GBK" w:cs="Times New Roman"/>
          <w:bCs/>
          <w:sz w:val="32"/>
          <w:szCs w:val="32"/>
        </w:rPr>
        <w:t>以“农”为基础、以“文”为灵魂、以“旅”为载体，延长农业产业链、价值链，彰显文化内涵，培育壮大旅游支柱产业，探索推进全域农文旅融合发展。</w:t>
      </w:r>
      <w:r>
        <w:rPr>
          <w:rFonts w:ascii="Times New Roman" w:hAnsi="Times New Roman" w:eastAsia="方正仿宋_GBK" w:cs="Times New Roman"/>
          <w:b/>
          <w:sz w:val="32"/>
          <w:szCs w:val="32"/>
        </w:rPr>
        <w:t>②</w:t>
      </w:r>
      <w:r>
        <w:rPr>
          <w:rFonts w:ascii="Times New Roman" w:hAnsi="Times New Roman" w:eastAsia="方正仿宋_GBK" w:cs="Times New Roman"/>
          <w:bCs/>
          <w:sz w:val="32"/>
          <w:szCs w:val="32"/>
        </w:rPr>
        <w:t>大力发展种菌种药、养鸡养猪“两种两养”</w:t>
      </w:r>
      <w:r>
        <w:rPr>
          <w:rFonts w:ascii="Times New Roman" w:hAnsi="Times New Roman" w:eastAsia="方正仿宋_GBK" w:cs="Times New Roman"/>
          <w:sz w:val="32"/>
          <w:szCs w:val="32"/>
        </w:rPr>
        <w:t>特色产业，建设乡村产业提升示范基地，提高农业组织化程度；积极培育中药材、老腊肉、山地鸡、食用菌、大木漆、鸡鸣禅茶和核桃等全产业链项目，强化品种品牌品质建设，推动山地特色生态农业提质发展。</w:t>
      </w:r>
      <w:r>
        <w:rPr>
          <w:rFonts w:ascii="Times New Roman" w:hAnsi="Times New Roman" w:eastAsia="方正仿宋_GBK" w:cs="Times New Roman"/>
          <w:b/>
          <w:bCs/>
          <w:sz w:val="32"/>
          <w:szCs w:val="32"/>
        </w:rPr>
        <w:t>例如，</w:t>
      </w:r>
      <w:r>
        <w:rPr>
          <w:rFonts w:ascii="Times New Roman" w:hAnsi="Times New Roman" w:eastAsia="方正仿宋_GBK" w:cs="Times New Roman"/>
          <w:sz w:val="32"/>
          <w:szCs w:val="32"/>
        </w:rPr>
        <w:t>全力构建和振兴大木漆全产业链。城口是全国大木漆主要生产基地，大木漆资源丰富，品质良好，声名远播，法国文森漆等知名艺术家入驻城口，城口“山神漆器”成为名优旅游商品。大木漆产业包括种植—割漆—漆艺—漆器等多产业链环节，构建大木漆全产业链可以实现“接二连三”，为乡村振兴艺术赋能，推动大木漆从廉价资源输出到艺术价值升级。</w:t>
      </w:r>
      <w:r>
        <w:rPr>
          <w:rFonts w:ascii="Times New Roman" w:hAnsi="Times New Roman" w:eastAsia="方正仿宋_GBK" w:cs="Times New Roman"/>
          <w:b/>
          <w:sz w:val="32"/>
          <w:szCs w:val="32"/>
          <w:lang w:val="zh-CN"/>
        </w:rPr>
        <w:t>③</w:t>
      </w:r>
      <w:bookmarkStart w:id="0" w:name="_Hlk64612675"/>
      <w:r>
        <w:rPr>
          <w:rFonts w:hint="eastAsia" w:ascii="Times New Roman" w:hAnsi="Times New Roman" w:eastAsia="方正仿宋_GBK" w:cs="Times New Roman"/>
          <w:bCs/>
          <w:sz w:val="32"/>
          <w:szCs w:val="32"/>
          <w:lang w:val="zh-CN"/>
        </w:rPr>
        <w:t>加快推进</w:t>
      </w:r>
      <w:r>
        <w:rPr>
          <w:rFonts w:ascii="Times New Roman" w:hAnsi="Times New Roman" w:eastAsia="方正仿宋_GBK" w:cs="Times New Roman"/>
          <w:kern w:val="0"/>
          <w:sz w:val="32"/>
          <w:szCs w:val="32"/>
        </w:rPr>
        <w:t>页岩陶粒等</w:t>
      </w:r>
      <w:r>
        <w:rPr>
          <w:rFonts w:ascii="Times New Roman" w:hAnsi="Times New Roman" w:eastAsia="方正仿宋_GBK" w:cs="Times New Roman"/>
          <w:sz w:val="32"/>
          <w:szCs w:val="32"/>
        </w:rPr>
        <w:t>新型绿色建筑材料</w:t>
      </w:r>
      <w:r>
        <w:rPr>
          <w:rFonts w:hint="eastAsia" w:ascii="Times New Roman" w:hAnsi="Times New Roman" w:eastAsia="方正仿宋_GBK" w:cs="Times New Roman"/>
          <w:sz w:val="32"/>
          <w:szCs w:val="32"/>
        </w:rPr>
        <w:t>项目建设、</w:t>
      </w:r>
      <w:r>
        <w:rPr>
          <w:rFonts w:ascii="Times New Roman" w:hAnsi="Times New Roman" w:eastAsia="方正仿宋_GBK" w:cs="Times New Roman"/>
          <w:sz w:val="32"/>
          <w:szCs w:val="32"/>
        </w:rPr>
        <w:t>中药材种植——精深加工——中药提取——生物制药产业链</w:t>
      </w:r>
      <w:r>
        <w:rPr>
          <w:rFonts w:hint="eastAsia" w:ascii="Times New Roman" w:hAnsi="Times New Roman" w:eastAsia="方正仿宋_GBK" w:cs="Times New Roman"/>
          <w:sz w:val="32"/>
          <w:szCs w:val="32"/>
        </w:rPr>
        <w:t>培育</w:t>
      </w:r>
      <w:r>
        <w:rPr>
          <w:rFonts w:ascii="Times New Roman" w:hAnsi="Times New Roman" w:eastAsia="方正仿宋_GBK" w:cs="Times New Roman"/>
          <w:sz w:val="32"/>
          <w:szCs w:val="32"/>
        </w:rPr>
        <w:t>和全薯食品、茶叶压片糖、食用菌、野生核桃油等特色食品加工以及旅游</w:t>
      </w:r>
      <w:r>
        <w:rPr>
          <w:rFonts w:hint="eastAsia" w:ascii="Times New Roman" w:hAnsi="Times New Roman" w:eastAsia="方正仿宋_GBK" w:cs="Times New Roman"/>
          <w:sz w:val="32"/>
          <w:szCs w:val="32"/>
        </w:rPr>
        <w:t>产品</w:t>
      </w:r>
      <w:r>
        <w:rPr>
          <w:rFonts w:ascii="Times New Roman" w:hAnsi="Times New Roman" w:eastAsia="方正仿宋_GBK" w:cs="Times New Roman"/>
          <w:sz w:val="32"/>
          <w:szCs w:val="32"/>
        </w:rPr>
        <w:t>等消费品工业</w:t>
      </w:r>
      <w:r>
        <w:rPr>
          <w:rFonts w:hint="eastAsia" w:ascii="Times New Roman" w:hAnsi="Times New Roman" w:eastAsia="方正仿宋_GBK" w:cs="Times New Roman"/>
          <w:sz w:val="32"/>
          <w:szCs w:val="32"/>
        </w:rPr>
        <w:t>发展</w:t>
      </w:r>
      <w:r>
        <w:rPr>
          <w:rFonts w:ascii="Times New Roman" w:hAnsi="Times New Roman" w:eastAsia="方正仿宋_GBK" w:cs="Times New Roman"/>
          <w:sz w:val="32"/>
          <w:szCs w:val="32"/>
        </w:rPr>
        <w:t>，不断积蓄</w:t>
      </w:r>
      <w:r>
        <w:rPr>
          <w:rFonts w:ascii="Times New Roman" w:hAnsi="Times New Roman" w:eastAsia="方正仿宋_GBK" w:cs="Times New Roman"/>
          <w:kern w:val="0"/>
          <w:sz w:val="32"/>
          <w:szCs w:val="32"/>
        </w:rPr>
        <w:t>绿色发展动能，</w:t>
      </w:r>
      <w:r>
        <w:rPr>
          <w:rFonts w:ascii="Times New Roman" w:hAnsi="Times New Roman" w:eastAsia="方正仿宋_GBK" w:cs="Times New Roman"/>
          <w:sz w:val="32"/>
          <w:szCs w:val="32"/>
        </w:rPr>
        <w:t>推动工业转型发展</w:t>
      </w:r>
      <w:r>
        <w:rPr>
          <w:rFonts w:ascii="Times New Roman" w:hAnsi="Times New Roman" w:eastAsia="方正仿宋_GBK" w:cs="Times New Roman"/>
          <w:bCs/>
          <w:sz w:val="32"/>
          <w:szCs w:val="32"/>
        </w:rPr>
        <w:t>。</w:t>
      </w:r>
      <w:bookmarkEnd w:id="0"/>
      <w:r>
        <w:rPr>
          <w:rFonts w:ascii="Times New Roman" w:hAnsi="Times New Roman" w:eastAsia="方正仿宋_GBK" w:cs="Times New Roman"/>
          <w:b/>
          <w:sz w:val="32"/>
          <w:szCs w:val="32"/>
        </w:rPr>
        <w:t>④</w:t>
      </w:r>
      <w:r>
        <w:rPr>
          <w:rFonts w:ascii="Times New Roman" w:hAnsi="Times New Roman" w:eastAsia="方正仿宋_GBK" w:cs="Times New Roman"/>
          <w:sz w:val="32"/>
          <w:szCs w:val="32"/>
        </w:rPr>
        <w:t>大力发展康养服务业、现代边贸物流；加强乡镇便民生活服务圈建设，推进乡村商贸服务业发展；推动育幼、旅游、家政、物业等生活性服务业便利化、精细化、品质化发展等任务，以更好满足人民群众对美好生活的向往和日益增长的物质文化需求。</w:t>
      </w:r>
    </w:p>
    <w:p w14:paraId="154CC11B">
      <w:pPr>
        <w:pStyle w:val="4"/>
        <w:adjustRightInd w:val="0"/>
        <w:snapToGrid w:val="0"/>
        <w:spacing w:after="0" w:line="560" w:lineRule="exact"/>
        <w:ind w:left="624"/>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（五）统筹乡村振兴和城市提升，全力推进城乡融合</w:t>
      </w:r>
    </w:p>
    <w:p w14:paraId="217780BF">
      <w:pPr>
        <w:pStyle w:val="4"/>
        <w:adjustRightInd w:val="0"/>
        <w:snapToGrid w:val="0"/>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聚焦城乡区域协调发展，整合“巩固拓展脱贫攻坚成果”“乡村振兴”“新型城镇化建设”，将“统筹乡村振兴和城市提升，全力推进城乡融合”作为第五大重点任务。</w:t>
      </w:r>
      <w:r>
        <w:rPr>
          <w:rFonts w:hint="eastAsia" w:ascii="Times New Roman" w:hAnsi="Times New Roman" w:eastAsia="方正仿宋_GBK" w:cs="Times New Roman"/>
          <w:b/>
          <w:bCs/>
          <w:sz w:val="32"/>
          <w:szCs w:val="32"/>
        </w:rPr>
        <w:t>规划提出</w:t>
      </w:r>
      <w:r>
        <w:rPr>
          <w:rFonts w:ascii="Times New Roman" w:hAnsi="Times New Roman" w:eastAsia="方正仿宋_GBK" w:cs="Times New Roman"/>
          <w:sz w:val="32"/>
          <w:szCs w:val="32"/>
        </w:rPr>
        <w:t>：</w:t>
      </w:r>
      <w:r>
        <w:rPr>
          <w:rFonts w:ascii="Times New Roman" w:hAnsi="Times New Roman" w:eastAsia="方正仿宋_GBK" w:cs="Times New Roman"/>
          <w:b/>
          <w:sz w:val="32"/>
          <w:szCs w:val="32"/>
        </w:rPr>
        <w:t>①</w:t>
      </w:r>
      <w:r>
        <w:rPr>
          <w:rStyle w:val="25"/>
          <w:rFonts w:hint="eastAsia" w:ascii="Times New Roman" w:hAnsi="Times New Roman" w:eastAsia="方正仿宋_GBK"/>
          <w:sz w:val="32"/>
          <w:szCs w:val="32"/>
        </w:rPr>
        <w:t>坚持</w:t>
      </w:r>
      <w:r>
        <w:rPr>
          <w:rStyle w:val="25"/>
          <w:rFonts w:ascii="Times New Roman" w:hAnsi="Times New Roman" w:eastAsia="方正仿宋_GBK"/>
          <w:sz w:val="32"/>
          <w:szCs w:val="32"/>
        </w:rPr>
        <w:t>“中优、东拓、北融、南联”</w:t>
      </w:r>
      <w:r>
        <w:rPr>
          <w:rStyle w:val="25"/>
          <w:rFonts w:hint="eastAsia" w:ascii="Times New Roman" w:hAnsi="Times New Roman" w:eastAsia="方正仿宋_GBK"/>
          <w:sz w:val="32"/>
          <w:szCs w:val="32"/>
        </w:rPr>
        <w:t>的总体思路</w:t>
      </w:r>
      <w:r>
        <w:rPr>
          <w:rStyle w:val="25"/>
          <w:rFonts w:ascii="Times New Roman" w:hAnsi="Times New Roman" w:eastAsia="方正仿宋_GBK"/>
          <w:sz w:val="32"/>
          <w:szCs w:val="32"/>
        </w:rPr>
        <w:t>，优先推动城区“东拓”，</w:t>
      </w:r>
      <w:r>
        <w:rPr>
          <w:rFonts w:ascii="Times New Roman" w:hAnsi="Times New Roman" w:eastAsia="方正仿宋_GBK" w:cs="Times New Roman"/>
          <w:sz w:val="32"/>
          <w:szCs w:val="32"/>
        </w:rPr>
        <w:t>高标准推进东部</w:t>
      </w:r>
      <w:r>
        <w:rPr>
          <w:rFonts w:hint="eastAsia" w:ascii="Times New Roman" w:hAnsi="Times New Roman" w:eastAsia="方正仿宋_GBK" w:cs="Times New Roman"/>
          <w:sz w:val="32"/>
          <w:szCs w:val="32"/>
        </w:rPr>
        <w:t>更新区</w:t>
      </w:r>
      <w:r>
        <w:rPr>
          <w:rFonts w:ascii="Times New Roman" w:hAnsi="Times New Roman" w:eastAsia="方正仿宋_GBK" w:cs="Times New Roman"/>
          <w:sz w:val="32"/>
          <w:szCs w:val="32"/>
        </w:rPr>
        <w:t>建设，促进县城任河两岸互联互通，拓展县城人口、产业承载能力，</w:t>
      </w:r>
      <w:r>
        <w:rPr>
          <w:rStyle w:val="25"/>
          <w:rFonts w:ascii="Times New Roman" w:hAnsi="Times New Roman" w:eastAsia="方正仿宋_GBK"/>
          <w:sz w:val="32"/>
          <w:szCs w:val="32"/>
        </w:rPr>
        <w:t>带动任河上游一体化发展的同时，拓展城区范围，完善城区服务功能，为“两高”时代到来释放发展潜力奠定基础。</w:t>
      </w:r>
      <w:r>
        <w:rPr>
          <w:rFonts w:ascii="Times New Roman" w:hAnsi="Times New Roman" w:eastAsia="方正仿宋_GBK" w:cs="Times New Roman"/>
          <w:b/>
          <w:sz w:val="32"/>
          <w:szCs w:val="32"/>
        </w:rPr>
        <w:t>②</w:t>
      </w:r>
      <w:r>
        <w:rPr>
          <w:rFonts w:ascii="Times New Roman" w:hAnsi="Times New Roman" w:eastAsia="方正仿宋_GBK" w:cs="Times New Roman"/>
          <w:sz w:val="32"/>
          <w:szCs w:val="32"/>
        </w:rPr>
        <w:t>加强县城老旧小区改造和社区营造激发老城区活力，加快任河南北两岸改造、任河大桥建设等完善城市功能，拓展公园绿地和群众广场等，加快公共空间优化升级，全方位补齐县城城镇化短板弱项，</w:t>
      </w:r>
      <w:r>
        <w:rPr>
          <w:rStyle w:val="25"/>
          <w:rFonts w:ascii="Times New Roman" w:hAnsi="Times New Roman" w:eastAsia="方正仿宋_GBK"/>
          <w:sz w:val="32"/>
          <w:szCs w:val="32"/>
        </w:rPr>
        <w:t>强化县城在核心城镇圈的主导作用。</w:t>
      </w:r>
      <w:r>
        <w:rPr>
          <w:rFonts w:ascii="Times New Roman" w:hAnsi="Times New Roman" w:eastAsia="方正仿宋_GBK" w:cs="Times New Roman"/>
          <w:b/>
          <w:sz w:val="32"/>
          <w:szCs w:val="32"/>
          <w:lang w:val="zh-CN"/>
        </w:rPr>
        <w:t>③</w:t>
      </w:r>
      <w:r>
        <w:rPr>
          <w:rFonts w:ascii="Times New Roman" w:hAnsi="Times New Roman" w:eastAsia="方正仿宋_GBK" w:cs="Times New Roman"/>
          <w:bCs/>
          <w:sz w:val="32"/>
          <w:szCs w:val="32"/>
        </w:rPr>
        <w:t>严格落实“四个不摘”要求，健全</w:t>
      </w:r>
      <w:r>
        <w:rPr>
          <w:rFonts w:hint="eastAsia" w:ascii="Times New Roman" w:hAnsi="Times New Roman" w:eastAsia="方正仿宋_GBK" w:cs="Times New Roman"/>
          <w:bCs/>
          <w:sz w:val="32"/>
          <w:szCs w:val="32"/>
          <w:lang w:eastAsia="zh-CN"/>
        </w:rPr>
        <w:t>防止返贫</w:t>
      </w:r>
      <w:r>
        <w:rPr>
          <w:rFonts w:ascii="Times New Roman" w:hAnsi="Times New Roman" w:eastAsia="方正仿宋_GBK" w:cs="Times New Roman"/>
          <w:bCs/>
          <w:sz w:val="32"/>
          <w:szCs w:val="32"/>
        </w:rPr>
        <w:t>动态监测和帮扶机制，</w:t>
      </w:r>
      <w:r>
        <w:rPr>
          <w:rFonts w:ascii="Times New Roman" w:hAnsi="Times New Roman" w:eastAsia="方正仿宋_GBK" w:cs="Times New Roman"/>
          <w:sz w:val="32"/>
          <w:szCs w:val="32"/>
        </w:rPr>
        <w:t>坚决守住脱贫攻坚成果、做好巩固拓展脱贫攻坚成果同乡村振兴有效衔接；按照产业兴旺、生态宜居、乡风文明、治理有效、生活富裕总要求，大力实施乡村建设行动，全面推进乡村振兴等重点任务。</w:t>
      </w:r>
    </w:p>
    <w:p w14:paraId="49A2F361">
      <w:pPr>
        <w:pStyle w:val="4"/>
        <w:adjustRightInd w:val="0"/>
        <w:snapToGrid w:val="0"/>
        <w:spacing w:after="0"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（六）</w:t>
      </w:r>
      <w:r>
        <w:rPr>
          <w:rFonts w:ascii="Times New Roman" w:hAnsi="Times New Roman" w:eastAsia="方正楷体_GBK" w:cs="Times New Roman"/>
          <w:sz w:val="32"/>
          <w:szCs w:val="32"/>
        </w:rPr>
        <w:t>落实创新驱动发展战略，持续增强经济社会发展动力</w:t>
      </w:r>
    </w:p>
    <w:p w14:paraId="3676F5B9">
      <w:pPr>
        <w:pStyle w:val="4"/>
        <w:adjustRightInd w:val="0"/>
        <w:snapToGrid w:val="0"/>
        <w:spacing w:after="0" w:line="560" w:lineRule="exact"/>
        <w:ind w:firstLine="640" w:firstLineChars="200"/>
        <w:rPr>
          <w:rFonts w:ascii="Times New Roman" w:hAnsi="Times New Roman" w:eastAsia="方正楷体_GBK" w:cs="Times New Roman"/>
          <w:b/>
          <w:bCs/>
          <w:sz w:val="32"/>
          <w:szCs w:val="32"/>
        </w:rPr>
      </w:pPr>
      <w:r>
        <w:rPr>
          <w:rFonts w:ascii="Times New Roman" w:hAnsi="Times New Roman" w:eastAsia="方正仿宋_GBK" w:cs="Times New Roman"/>
          <w:sz w:val="32"/>
          <w:szCs w:val="32"/>
        </w:rPr>
        <w:t>考虑到城口经济社会发展相对滞后，产业科技含量低、科研机构少、科技创新人才缺乏、创新资源聚集不够，推动科技创新基础不牢固，特别将创新工作排在居中位置，作为中间支撑。</w:t>
      </w:r>
      <w:r>
        <w:rPr>
          <w:rFonts w:hint="eastAsia" w:ascii="Times New Roman" w:hAnsi="Times New Roman" w:eastAsia="方正仿宋_GBK" w:cs="Times New Roman"/>
          <w:b/>
          <w:bCs/>
          <w:sz w:val="32"/>
          <w:szCs w:val="32"/>
        </w:rPr>
        <w:t>规划提出</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抓好创新型企业培育、产学研创新平台建设，加强产业引领创新型人才、应用型干部人才和民生事业专业人才的培养和引进等具体任务。</w:t>
      </w:r>
    </w:p>
    <w:p w14:paraId="51E02665">
      <w:pPr>
        <w:pStyle w:val="4"/>
        <w:adjustRightInd w:val="0"/>
        <w:snapToGrid w:val="0"/>
        <w:spacing w:after="0"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（七）</w:t>
      </w:r>
      <w:r>
        <w:rPr>
          <w:rFonts w:ascii="Times New Roman" w:hAnsi="Times New Roman" w:eastAsia="方正楷体_GBK" w:cs="Times New Roman"/>
          <w:sz w:val="32"/>
          <w:szCs w:val="32"/>
        </w:rPr>
        <w:t>“努力创造高品质生活，提高社会建设水平</w:t>
      </w:r>
    </w:p>
    <w:p w14:paraId="695A4AC7">
      <w:pPr>
        <w:pStyle w:val="4"/>
        <w:adjustRightInd w:val="0"/>
        <w:snapToGrid w:val="0"/>
        <w:spacing w:after="0"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主要是对标对表上级要求，结合县域实际，</w:t>
      </w:r>
      <w:r>
        <w:rPr>
          <w:rFonts w:hint="eastAsia" w:ascii="Times New Roman" w:hAnsi="Times New Roman" w:eastAsia="方正仿宋_GBK" w:cs="Times New Roman"/>
          <w:b/>
          <w:bCs/>
          <w:sz w:val="32"/>
          <w:szCs w:val="32"/>
        </w:rPr>
        <w:t>规划提出：</w:t>
      </w:r>
      <w:r>
        <w:rPr>
          <w:rFonts w:ascii="Times New Roman" w:hAnsi="Times New Roman" w:eastAsia="方正仿宋_GBK" w:cs="Times New Roman"/>
          <w:sz w:val="32"/>
          <w:szCs w:val="32"/>
        </w:rPr>
        <w:t>常态化抓好人民就业增收、教育卫生补短板、社会保障体系建设、人口老龄化应对、重点群体发展以及社会治理等任务。其中：</w:t>
      </w:r>
      <w:r>
        <w:rPr>
          <w:rFonts w:ascii="Times New Roman" w:hAnsi="Times New Roman" w:eastAsia="方正仿宋_GBK" w:cs="Times New Roman"/>
          <w:b/>
          <w:bCs/>
          <w:kern w:val="0"/>
          <w:sz w:val="32"/>
          <w:szCs w:val="32"/>
        </w:rPr>
        <w:t>①</w:t>
      </w:r>
      <w:r>
        <w:rPr>
          <w:rFonts w:ascii="Times New Roman" w:hAnsi="Times New Roman" w:eastAsia="方正仿宋_GBK" w:cs="Times New Roman"/>
          <w:sz w:val="32"/>
          <w:szCs w:val="32"/>
        </w:rPr>
        <w:t>考虑到我县</w:t>
      </w:r>
      <w:r>
        <w:rPr>
          <w:rFonts w:ascii="Times New Roman" w:hAnsi="Times New Roman" w:eastAsia="方正仿宋_GBK" w:cs="Times New Roman"/>
          <w:kern w:val="0"/>
          <w:sz w:val="32"/>
          <w:szCs w:val="32"/>
        </w:rPr>
        <w:t>医疗设备落后、专业人才紧缺、</w:t>
      </w:r>
      <w:r>
        <w:rPr>
          <w:rFonts w:ascii="Times New Roman" w:hAnsi="Times New Roman" w:eastAsia="方正仿宋_GBK" w:cs="Times New Roman"/>
          <w:sz w:val="32"/>
          <w:szCs w:val="32"/>
        </w:rPr>
        <w:t>区域重点学科和临床重点专科建设欠缺，乡镇卫生院业务用房不足、功能配套不完备、信息化水平较低，城区</w:t>
      </w:r>
      <w:r>
        <w:rPr>
          <w:rFonts w:ascii="Times New Roman" w:hAnsi="Times New Roman" w:eastAsia="方正仿宋_GBK" w:cs="Times New Roman"/>
          <w:kern w:val="0"/>
          <w:sz w:val="32"/>
          <w:szCs w:val="32"/>
        </w:rPr>
        <w:t>学校大班额现象明显、</w:t>
      </w:r>
      <w:r>
        <w:rPr>
          <w:rFonts w:ascii="Times New Roman" w:hAnsi="Times New Roman" w:eastAsia="方正仿宋_GBK" w:cs="Times New Roman"/>
          <w:sz w:val="32"/>
          <w:szCs w:val="32"/>
        </w:rPr>
        <w:t>学位刚需突出，以教育、卫生为主的民生事业是城口经济社会发展的短板。</w:t>
      </w:r>
      <w:r>
        <w:rPr>
          <w:rFonts w:ascii="Times New Roman" w:hAnsi="Times New Roman" w:eastAsia="方正仿宋_GBK" w:cs="Times New Roman"/>
          <w:b/>
          <w:bCs/>
          <w:sz w:val="32"/>
          <w:szCs w:val="32"/>
        </w:rPr>
        <w:t>规划提出</w:t>
      </w:r>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全方位加强基础教育、职业教育、民办教育和教育信息化以及全面加强公共卫生服务体系建设，全面提高医疗服务水平等具体任务。具体包括加快推进城口高级中学、妇幼保健院儿童保健部迁建、县中医院迁建、乡镇卫生院改扩建等重点民生项目建设。</w:t>
      </w:r>
      <w:r>
        <w:rPr>
          <w:rFonts w:ascii="Times New Roman" w:hAnsi="Times New Roman" w:eastAsia="方正仿宋_GBK" w:cs="Times New Roman"/>
          <w:b/>
          <w:bCs/>
          <w:sz w:val="32"/>
          <w:szCs w:val="32"/>
        </w:rPr>
        <w:t>②</w:t>
      </w:r>
      <w:r>
        <w:rPr>
          <w:rFonts w:ascii="Times New Roman" w:hAnsi="Times New Roman" w:eastAsia="方正仿宋_GBK" w:cs="Times New Roman"/>
          <w:sz w:val="32"/>
          <w:szCs w:val="32"/>
        </w:rPr>
        <w:t>“十三五”时期，我县“党建+三治”融合推进，党建工作、脱贫攻坚、基层治理、新时代文明实践中心建设实现“一网管理”，社会治理水平加快提升。为进一步加强和创新社会治理，我们以推进县域社会治理现代化试点工作为抓手</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b/>
          <w:bCs/>
          <w:sz w:val="32"/>
          <w:szCs w:val="32"/>
        </w:rPr>
        <w:t>规划</w:t>
      </w:r>
      <w:r>
        <w:rPr>
          <w:rFonts w:ascii="Times New Roman" w:hAnsi="Times New Roman" w:eastAsia="方正仿宋_GBK" w:cs="Times New Roman"/>
          <w:b/>
          <w:bCs/>
          <w:sz w:val="32"/>
          <w:szCs w:val="32"/>
        </w:rPr>
        <w:t>提出</w:t>
      </w:r>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强化政治引领、强化自治基础、强化法治保障、强化德治教化、强化智治支撑五个方面的工作任务，拟进一步健全完善共建共治共享的基层社会治理体系。</w:t>
      </w:r>
    </w:p>
    <w:p w14:paraId="4EC21E76">
      <w:pPr>
        <w:widowControl w:val="0"/>
        <w:adjustRightInd w:val="0"/>
        <w:snapToGrid w:val="0"/>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（八）</w:t>
      </w:r>
      <w:r>
        <w:rPr>
          <w:rFonts w:ascii="Times New Roman" w:hAnsi="Times New Roman" w:eastAsia="方正楷体_GBK" w:cs="Times New Roman"/>
          <w:sz w:val="32"/>
          <w:szCs w:val="32"/>
        </w:rPr>
        <w:t>大力发展文化事业和文化产业，提高社会文明程度</w:t>
      </w:r>
    </w:p>
    <w:p w14:paraId="4B03032A">
      <w:pPr>
        <w:widowControl w:val="0"/>
        <w:adjustRightInd w:val="0"/>
        <w:snapToGrid w:val="0"/>
        <w:ind w:firstLine="640" w:firstLineChars="200"/>
        <w:rPr>
          <w:rFonts w:ascii="Times New Roman" w:hAnsi="Times New Roman" w:eastAsia="方正楷体_GBK" w:cs="Times New Roman"/>
          <w:b/>
          <w:bCs/>
          <w:sz w:val="32"/>
          <w:szCs w:val="32"/>
        </w:rPr>
      </w:pPr>
      <w:r>
        <w:rPr>
          <w:rFonts w:ascii="Times New Roman" w:hAnsi="Times New Roman" w:eastAsia="方正仿宋_GBK" w:cs="Times New Roman"/>
          <w:sz w:val="32"/>
          <w:szCs w:val="32"/>
        </w:rPr>
        <w:t>对标对表上级要求，结合县域实际，</w:t>
      </w:r>
      <w:r>
        <w:rPr>
          <w:rFonts w:hint="eastAsia" w:ascii="Times New Roman" w:hAnsi="Times New Roman" w:eastAsia="方正仿宋_GBK" w:cs="Times New Roman"/>
          <w:b/>
          <w:bCs/>
          <w:sz w:val="32"/>
          <w:szCs w:val="32"/>
        </w:rPr>
        <w:t>规划提出：</w:t>
      </w:r>
      <w:r>
        <w:rPr>
          <w:rFonts w:hint="eastAsia" w:ascii="Times New Roman" w:hAnsi="Times New Roman" w:eastAsia="方正仿宋_GBK" w:cs="Times New Roman"/>
          <w:sz w:val="32"/>
          <w:szCs w:val="32"/>
          <w:lang w:eastAsia="zh-CN"/>
        </w:rPr>
        <w:t>学习贯彻习近平新时代中国特色社会主义思想主题教育</w:t>
      </w:r>
      <w:r>
        <w:rPr>
          <w:rFonts w:ascii="Times New Roman" w:hAnsi="Times New Roman" w:eastAsia="方正仿宋_GBK" w:cs="Times New Roman"/>
          <w:sz w:val="32"/>
          <w:szCs w:val="32"/>
        </w:rPr>
        <w:t>，常态化抓好社会主义精神文明建设、加强公共文化服务体系建设、健全文化产业体系等具体任务。其中，围绕国家建设“长征国家文化公园”“川陕苏区红色文化公园”契机，</w:t>
      </w:r>
      <w:r>
        <w:rPr>
          <w:rFonts w:hint="eastAsia" w:ascii="Times New Roman" w:hAnsi="Times New Roman" w:eastAsia="方正仿宋_GBK" w:cs="Times New Roman"/>
          <w:b/>
          <w:bCs/>
          <w:sz w:val="32"/>
          <w:szCs w:val="32"/>
        </w:rPr>
        <w:t>规划</w:t>
      </w:r>
      <w:r>
        <w:rPr>
          <w:rFonts w:ascii="Times New Roman" w:hAnsi="Times New Roman" w:eastAsia="方正仿宋_GBK" w:cs="Times New Roman"/>
          <w:b/>
          <w:bCs/>
          <w:sz w:val="32"/>
          <w:szCs w:val="32"/>
        </w:rPr>
        <w:t>提出</w:t>
      </w:r>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重点做好红色文化旧址保护、红色文化场馆建设、红色文化旅游教育，加快推进国家长征文化公园（重庆段·城口）建设等具体任务。</w:t>
      </w:r>
    </w:p>
    <w:p w14:paraId="0141147C">
      <w:pPr>
        <w:pStyle w:val="4"/>
        <w:adjustRightInd w:val="0"/>
        <w:snapToGrid w:val="0"/>
        <w:spacing w:after="0"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（九）</w:t>
      </w:r>
      <w:r>
        <w:rPr>
          <w:rFonts w:ascii="Times New Roman" w:hAnsi="Times New Roman" w:eastAsia="方正楷体_GBK" w:cs="Times New Roman"/>
          <w:sz w:val="32"/>
          <w:szCs w:val="32"/>
        </w:rPr>
        <w:t>在更高起点推进全面深化改革，构建规范有序的社会主义市场经济体制</w:t>
      </w:r>
    </w:p>
    <w:p w14:paraId="33DF646A">
      <w:pPr>
        <w:pStyle w:val="4"/>
        <w:adjustRightInd w:val="0"/>
        <w:snapToGrid w:val="0"/>
        <w:spacing w:after="0"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对标对表上级要求，结合县域实际，</w:t>
      </w:r>
      <w:r>
        <w:rPr>
          <w:rFonts w:hint="eastAsia" w:ascii="Times New Roman" w:hAnsi="Times New Roman" w:eastAsia="方正仿宋_GBK" w:cs="Times New Roman"/>
          <w:b/>
          <w:bCs/>
          <w:sz w:val="32"/>
          <w:szCs w:val="32"/>
        </w:rPr>
        <w:t>规划提出：</w:t>
      </w:r>
      <w:r>
        <w:rPr>
          <w:rFonts w:ascii="Times New Roman" w:hAnsi="Times New Roman" w:eastAsia="方正仿宋_GBK" w:cs="Times New Roman"/>
          <w:sz w:val="32"/>
          <w:szCs w:val="32"/>
        </w:rPr>
        <w:t>常态化抓好各类市场主体活力激发、高质量发展政策体系和现代财税金融体制落实、高标准市场体系建设以及营商环境优化提升等重点任务。</w:t>
      </w:r>
    </w:p>
    <w:p w14:paraId="463E5A6E">
      <w:pPr>
        <w:pStyle w:val="4"/>
        <w:adjustRightInd w:val="0"/>
        <w:snapToGrid w:val="0"/>
        <w:spacing w:after="0"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（十）</w:t>
      </w:r>
      <w:r>
        <w:rPr>
          <w:rFonts w:ascii="Times New Roman" w:hAnsi="Times New Roman" w:eastAsia="方正楷体_GBK" w:cs="Times New Roman"/>
          <w:sz w:val="32"/>
          <w:szCs w:val="32"/>
        </w:rPr>
        <w:t>统筹发展和安全，守住安全发展底线</w:t>
      </w:r>
    </w:p>
    <w:p w14:paraId="6A1CBADE">
      <w:pPr>
        <w:pStyle w:val="4"/>
        <w:adjustRightInd w:val="0"/>
        <w:snapToGrid w:val="0"/>
        <w:spacing w:after="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旨在牢固树立安全发展理念，把安全发展贯穿发展各领域全过程，提高重点领域防范抵御风险能力，常态化抓好国家安全、经济安全、公共安全以及社会稳定和安全等具体任务，确保全县人民安居乐业。</w:t>
      </w:r>
    </w:p>
    <w:p w14:paraId="738D82A4">
      <w:pPr>
        <w:widowControl w:val="0"/>
        <w:adjustRightInd w:val="0"/>
        <w:snapToGrid w:val="0"/>
        <w:ind w:firstLine="640" w:firstLineChars="200"/>
        <w:rPr>
          <w:rStyle w:val="25"/>
          <w:rFonts w:ascii="Times New Roman" w:hAnsi="Times New Roman" w:eastAsia="方正仿宋_GBK"/>
          <w:bCs/>
          <w:sz w:val="32"/>
          <w:szCs w:val="32"/>
          <w:lang w:val="zh-TW" w:bidi="zh-TW"/>
        </w:rPr>
      </w:pPr>
    </w:p>
    <w:p w14:paraId="256ED627">
      <w:pPr>
        <w:widowControl w:val="0"/>
        <w:adjustRightInd w:val="0"/>
        <w:snapToGrid w:val="0"/>
        <w:ind w:firstLine="640" w:firstLineChars="200"/>
        <w:rPr>
          <w:rStyle w:val="25"/>
          <w:rFonts w:ascii="Times New Roman" w:hAnsi="Times New Roman" w:eastAsia="方正仿宋_GBK"/>
          <w:bCs/>
          <w:sz w:val="32"/>
          <w:szCs w:val="32"/>
          <w:lang w:val="zh-TW" w:bidi="zh-TW"/>
        </w:rPr>
      </w:pPr>
      <w:r>
        <w:rPr>
          <w:rStyle w:val="25"/>
          <w:rFonts w:ascii="Times New Roman" w:hAnsi="Times New Roman" w:eastAsia="方正仿宋_GBK"/>
          <w:bCs/>
          <w:sz w:val="32"/>
          <w:szCs w:val="32"/>
          <w:lang w:val="zh-TW" w:bidi="zh-TW"/>
        </w:rPr>
        <w:t>附件：</w:t>
      </w:r>
      <w:r>
        <w:rPr>
          <w:rStyle w:val="25"/>
          <w:rFonts w:ascii="Times New Roman" w:hAnsi="Times New Roman" w:eastAsia="方正仿宋_GBK"/>
          <w:bCs/>
          <w:sz w:val="32"/>
          <w:szCs w:val="32"/>
          <w:lang w:bidi="zh-TW"/>
        </w:rPr>
        <w:t>1.城口县</w:t>
      </w:r>
      <w:r>
        <w:rPr>
          <w:rStyle w:val="25"/>
          <w:rFonts w:ascii="Times New Roman" w:hAnsi="Times New Roman" w:eastAsia="方正仿宋_GBK"/>
          <w:bCs/>
          <w:sz w:val="32"/>
          <w:szCs w:val="32"/>
          <w:lang w:val="zh-TW" w:bidi="zh-TW"/>
        </w:rPr>
        <w:t>“十三五”规划主要发展指标完成情况表</w:t>
      </w:r>
    </w:p>
    <w:p w14:paraId="00F81FD7">
      <w:pPr>
        <w:widowControl w:val="0"/>
        <w:adjustRightInd w:val="0"/>
        <w:snapToGrid w:val="0"/>
        <w:ind w:firstLine="1600" w:firstLineChars="500"/>
        <w:rPr>
          <w:rFonts w:ascii="Times New Roman" w:hAnsi="Times New Roman" w:eastAsia="方正黑体_GBK" w:cs="Times New Roman"/>
          <w:bCs/>
          <w:sz w:val="28"/>
          <w:szCs w:val="28"/>
        </w:rPr>
      </w:pPr>
      <w:r>
        <w:rPr>
          <w:rStyle w:val="25"/>
          <w:rFonts w:ascii="Times New Roman" w:hAnsi="Times New Roman" w:eastAsia="方正仿宋_GBK"/>
          <w:bCs/>
          <w:sz w:val="32"/>
          <w:szCs w:val="32"/>
          <w:lang w:bidi="zh-TW"/>
        </w:rPr>
        <w:t>2.城口县</w:t>
      </w:r>
      <w:r>
        <w:rPr>
          <w:rStyle w:val="25"/>
          <w:rFonts w:ascii="Times New Roman" w:hAnsi="Times New Roman" w:eastAsia="方正仿宋_GBK"/>
          <w:bCs/>
          <w:sz w:val="32"/>
          <w:szCs w:val="32"/>
          <w:lang w:val="zh-TW" w:bidi="zh-TW"/>
        </w:rPr>
        <w:t>“十四五”经济社会发展主要指标预期</w:t>
      </w:r>
    </w:p>
    <w:p w14:paraId="45BF55E4">
      <w:pPr>
        <w:pStyle w:val="11"/>
        <w:overflowPunct w:val="0"/>
        <w:adjustRightInd w:val="0"/>
        <w:snapToGrid w:val="0"/>
        <w:spacing w:after="0" w:line="560" w:lineRule="exact"/>
        <w:ind w:firstLine="0"/>
        <w:rPr>
          <w:rFonts w:eastAsia="方正黑体_GBK" w:cs="Times New Roman"/>
          <w:bCs/>
          <w:sz w:val="28"/>
          <w:szCs w:val="28"/>
        </w:rPr>
      </w:pPr>
    </w:p>
    <w:p w14:paraId="7C3CBB14">
      <w:pPr>
        <w:pStyle w:val="11"/>
        <w:overflowPunct w:val="0"/>
        <w:adjustRightInd w:val="0"/>
        <w:snapToGrid w:val="0"/>
        <w:spacing w:after="0" w:line="560" w:lineRule="exact"/>
        <w:ind w:firstLine="0"/>
        <w:rPr>
          <w:rFonts w:eastAsia="方正黑体_GBK" w:cs="Times New Roman"/>
          <w:bCs/>
          <w:sz w:val="28"/>
          <w:szCs w:val="28"/>
        </w:rPr>
      </w:pPr>
    </w:p>
    <w:p w14:paraId="0CBC984B">
      <w:pPr>
        <w:pStyle w:val="11"/>
        <w:overflowPunct w:val="0"/>
        <w:adjustRightInd w:val="0"/>
        <w:snapToGrid w:val="0"/>
        <w:spacing w:after="0" w:line="560" w:lineRule="exact"/>
        <w:ind w:firstLine="0"/>
        <w:rPr>
          <w:rFonts w:eastAsia="方正黑体_GBK" w:cs="Times New Roman"/>
          <w:bCs/>
          <w:sz w:val="28"/>
          <w:szCs w:val="28"/>
        </w:rPr>
      </w:pPr>
    </w:p>
    <w:p w14:paraId="1B891C81">
      <w:pPr>
        <w:pStyle w:val="11"/>
        <w:overflowPunct w:val="0"/>
        <w:adjustRightInd w:val="0"/>
        <w:snapToGrid w:val="0"/>
        <w:spacing w:after="0" w:line="560" w:lineRule="exact"/>
        <w:ind w:firstLine="0"/>
        <w:rPr>
          <w:rFonts w:eastAsia="方正黑体_GBK" w:cs="Times New Roman"/>
          <w:bCs/>
          <w:sz w:val="28"/>
          <w:szCs w:val="28"/>
        </w:rPr>
      </w:pPr>
    </w:p>
    <w:p w14:paraId="7D81F6BC">
      <w:pPr>
        <w:pStyle w:val="11"/>
        <w:overflowPunct w:val="0"/>
        <w:adjustRightInd w:val="0"/>
        <w:snapToGrid w:val="0"/>
        <w:spacing w:after="0" w:line="560" w:lineRule="exact"/>
        <w:ind w:firstLine="0"/>
        <w:rPr>
          <w:rFonts w:eastAsia="方正黑体_GBK" w:cs="Times New Roman"/>
          <w:bCs/>
          <w:sz w:val="28"/>
          <w:szCs w:val="28"/>
        </w:rPr>
      </w:pPr>
    </w:p>
    <w:p w14:paraId="76F2913A">
      <w:pPr>
        <w:pStyle w:val="11"/>
        <w:overflowPunct w:val="0"/>
        <w:adjustRightInd w:val="0"/>
        <w:snapToGrid w:val="0"/>
        <w:spacing w:after="0" w:line="560" w:lineRule="exact"/>
        <w:ind w:firstLine="0"/>
        <w:rPr>
          <w:rFonts w:eastAsia="方正黑体_GBK" w:cs="Times New Roman"/>
          <w:bCs/>
          <w:sz w:val="28"/>
          <w:szCs w:val="28"/>
        </w:rPr>
      </w:pPr>
    </w:p>
    <w:p w14:paraId="1A777A35">
      <w:pPr>
        <w:pStyle w:val="11"/>
        <w:overflowPunct w:val="0"/>
        <w:adjustRightInd w:val="0"/>
        <w:snapToGrid w:val="0"/>
        <w:spacing w:after="0" w:line="560" w:lineRule="exact"/>
        <w:ind w:firstLine="0"/>
        <w:rPr>
          <w:rFonts w:eastAsia="方正黑体_GBK" w:cs="Times New Roman"/>
          <w:bCs/>
          <w:sz w:val="28"/>
          <w:szCs w:val="28"/>
        </w:rPr>
      </w:pPr>
    </w:p>
    <w:p w14:paraId="63C0A775">
      <w:pPr>
        <w:pStyle w:val="11"/>
        <w:overflowPunct w:val="0"/>
        <w:adjustRightInd w:val="0"/>
        <w:snapToGrid w:val="0"/>
        <w:spacing w:after="0" w:line="560" w:lineRule="exact"/>
        <w:ind w:firstLine="0"/>
        <w:rPr>
          <w:rFonts w:eastAsia="方正黑体_GBK" w:cs="Times New Roman"/>
          <w:bCs/>
          <w:sz w:val="28"/>
          <w:szCs w:val="28"/>
        </w:rPr>
      </w:pPr>
    </w:p>
    <w:p w14:paraId="7A19E56C">
      <w:pPr>
        <w:pStyle w:val="11"/>
        <w:overflowPunct w:val="0"/>
        <w:adjustRightInd w:val="0"/>
        <w:snapToGrid w:val="0"/>
        <w:spacing w:after="0" w:line="560" w:lineRule="exact"/>
        <w:ind w:firstLine="0"/>
        <w:rPr>
          <w:rFonts w:eastAsia="方正黑体_GBK" w:cs="Times New Roman"/>
          <w:bCs/>
          <w:sz w:val="28"/>
          <w:szCs w:val="28"/>
        </w:rPr>
      </w:pPr>
    </w:p>
    <w:p w14:paraId="2487C65E">
      <w:pPr>
        <w:pStyle w:val="11"/>
        <w:overflowPunct w:val="0"/>
        <w:adjustRightInd w:val="0"/>
        <w:snapToGrid w:val="0"/>
        <w:spacing w:after="0" w:line="560" w:lineRule="exact"/>
        <w:ind w:firstLine="0"/>
        <w:rPr>
          <w:rFonts w:eastAsia="方正黑体_GBK" w:cs="Times New Roman"/>
          <w:bCs/>
          <w:sz w:val="28"/>
          <w:szCs w:val="28"/>
        </w:rPr>
      </w:pPr>
    </w:p>
    <w:p w14:paraId="2B6EE911">
      <w:pPr>
        <w:pStyle w:val="11"/>
        <w:overflowPunct w:val="0"/>
        <w:adjustRightInd w:val="0"/>
        <w:snapToGrid w:val="0"/>
        <w:spacing w:after="0" w:line="560" w:lineRule="exact"/>
        <w:ind w:firstLine="0"/>
        <w:rPr>
          <w:rFonts w:eastAsia="方正黑体_GBK" w:cs="Times New Roman"/>
          <w:bCs/>
          <w:sz w:val="28"/>
          <w:szCs w:val="28"/>
        </w:rPr>
      </w:pPr>
    </w:p>
    <w:p w14:paraId="26717DDD">
      <w:pPr>
        <w:pStyle w:val="11"/>
        <w:overflowPunct w:val="0"/>
        <w:adjustRightInd w:val="0"/>
        <w:snapToGrid w:val="0"/>
        <w:spacing w:after="0" w:line="560" w:lineRule="exact"/>
        <w:ind w:firstLine="0"/>
        <w:rPr>
          <w:rFonts w:eastAsia="方正黑体_GBK" w:cs="Times New Roman"/>
          <w:bCs/>
          <w:sz w:val="28"/>
          <w:szCs w:val="28"/>
        </w:rPr>
      </w:pPr>
    </w:p>
    <w:p w14:paraId="70E5BA06">
      <w:pPr>
        <w:pStyle w:val="11"/>
        <w:overflowPunct w:val="0"/>
        <w:adjustRightInd w:val="0"/>
        <w:snapToGrid w:val="0"/>
        <w:spacing w:after="0" w:line="560" w:lineRule="exact"/>
        <w:ind w:firstLine="0"/>
        <w:rPr>
          <w:rFonts w:eastAsia="方正黑体_GBK" w:cs="Times New Roman"/>
          <w:bCs/>
          <w:sz w:val="28"/>
          <w:szCs w:val="28"/>
        </w:rPr>
      </w:pPr>
    </w:p>
    <w:p w14:paraId="6860AD2B">
      <w:pPr>
        <w:pStyle w:val="11"/>
        <w:overflowPunct w:val="0"/>
        <w:adjustRightInd w:val="0"/>
        <w:snapToGrid w:val="0"/>
        <w:spacing w:after="0" w:line="560" w:lineRule="exact"/>
        <w:ind w:firstLine="0"/>
        <w:rPr>
          <w:rFonts w:eastAsia="方正黑体_GBK" w:cs="Times New Roman"/>
          <w:bCs/>
          <w:sz w:val="28"/>
          <w:szCs w:val="28"/>
        </w:rPr>
      </w:pPr>
    </w:p>
    <w:p w14:paraId="7D5F7519">
      <w:pPr>
        <w:pStyle w:val="11"/>
        <w:overflowPunct w:val="0"/>
        <w:adjustRightInd w:val="0"/>
        <w:snapToGrid w:val="0"/>
        <w:spacing w:after="0" w:line="560" w:lineRule="exact"/>
        <w:ind w:firstLine="0"/>
        <w:rPr>
          <w:rFonts w:eastAsia="方正黑体_GBK" w:cs="Times New Roman"/>
          <w:bCs/>
          <w:sz w:val="28"/>
          <w:szCs w:val="28"/>
        </w:rPr>
      </w:pPr>
    </w:p>
    <w:p w14:paraId="0AED7067">
      <w:pPr>
        <w:pStyle w:val="11"/>
        <w:overflowPunct w:val="0"/>
        <w:adjustRightInd w:val="0"/>
        <w:snapToGrid w:val="0"/>
        <w:spacing w:after="0" w:line="560" w:lineRule="exact"/>
        <w:ind w:firstLine="0"/>
        <w:rPr>
          <w:rFonts w:eastAsia="方正黑体_GBK" w:cs="Times New Roman"/>
          <w:bCs/>
          <w:sz w:val="28"/>
          <w:szCs w:val="28"/>
        </w:rPr>
      </w:pPr>
      <w:r>
        <w:rPr>
          <w:rFonts w:eastAsia="方正黑体_GBK" w:cs="Times New Roman"/>
          <w:bCs/>
          <w:sz w:val="28"/>
          <w:szCs w:val="28"/>
        </w:rPr>
        <w:t>附件1</w:t>
      </w:r>
    </w:p>
    <w:p w14:paraId="66B9DA38">
      <w:pPr>
        <w:pStyle w:val="11"/>
        <w:overflowPunct w:val="0"/>
        <w:adjustRightInd w:val="0"/>
        <w:snapToGrid w:val="0"/>
        <w:spacing w:after="0" w:line="560" w:lineRule="exact"/>
        <w:ind w:firstLine="0"/>
        <w:jc w:val="center"/>
        <w:rPr>
          <w:rFonts w:eastAsia="方正黑体_GBK" w:cs="Times New Roman"/>
          <w:bCs/>
          <w:sz w:val="36"/>
          <w:szCs w:val="36"/>
        </w:rPr>
      </w:pPr>
      <w:r>
        <w:rPr>
          <w:rFonts w:eastAsia="方正黑体_GBK" w:cs="Times New Roman"/>
          <w:bCs/>
          <w:sz w:val="36"/>
          <w:szCs w:val="36"/>
        </w:rPr>
        <w:t>城口县“十三五”规划主要发展指标完成情况表</w:t>
      </w:r>
    </w:p>
    <w:tbl>
      <w:tblPr>
        <w:tblStyle w:val="13"/>
        <w:tblW w:w="548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5"/>
        <w:gridCol w:w="5026"/>
        <w:gridCol w:w="1363"/>
        <w:gridCol w:w="1398"/>
        <w:gridCol w:w="1349"/>
      </w:tblGrid>
      <w:tr w14:paraId="13FE8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400" w:type="pct"/>
            <w:tcBorders>
              <w:top w:val="single" w:color="auto" w:sz="4" w:space="0"/>
              <w:left w:val="single" w:color="auto" w:sz="4" w:space="0"/>
              <w:bottom w:val="single" w:color="auto" w:sz="4" w:space="0"/>
              <w:right w:val="single" w:color="auto" w:sz="4" w:space="0"/>
            </w:tcBorders>
            <w:vAlign w:val="center"/>
          </w:tcPr>
          <w:p w14:paraId="5D85DAF5">
            <w:pPr>
              <w:pStyle w:val="11"/>
              <w:overflowPunct w:val="0"/>
              <w:adjustRightInd w:val="0"/>
              <w:snapToGrid w:val="0"/>
              <w:spacing w:after="0" w:line="400" w:lineRule="exact"/>
              <w:ind w:firstLine="0"/>
              <w:jc w:val="center"/>
              <w:rPr>
                <w:rFonts w:eastAsia="方正黑体_GBK" w:cs="Times New Roman"/>
                <w:sz w:val="28"/>
                <w:szCs w:val="28"/>
              </w:rPr>
            </w:pPr>
            <w:r>
              <w:rPr>
                <w:rFonts w:eastAsia="方正黑体_GBK" w:cs="Times New Roman"/>
                <w:sz w:val="28"/>
                <w:szCs w:val="28"/>
              </w:rPr>
              <w:t>序号</w:t>
            </w:r>
          </w:p>
        </w:tc>
        <w:tc>
          <w:tcPr>
            <w:tcW w:w="2529" w:type="pct"/>
            <w:tcBorders>
              <w:top w:val="single" w:color="auto" w:sz="4" w:space="0"/>
              <w:left w:val="single" w:color="auto" w:sz="4" w:space="0"/>
              <w:bottom w:val="single" w:color="auto" w:sz="4" w:space="0"/>
              <w:right w:val="single" w:color="auto" w:sz="4" w:space="0"/>
            </w:tcBorders>
            <w:vAlign w:val="center"/>
          </w:tcPr>
          <w:p w14:paraId="40966664">
            <w:pPr>
              <w:pStyle w:val="11"/>
              <w:overflowPunct w:val="0"/>
              <w:adjustRightInd w:val="0"/>
              <w:snapToGrid w:val="0"/>
              <w:spacing w:after="0" w:line="400" w:lineRule="exact"/>
              <w:ind w:firstLine="0"/>
              <w:jc w:val="center"/>
              <w:rPr>
                <w:rFonts w:eastAsia="方正黑体_GBK" w:cs="Times New Roman"/>
                <w:sz w:val="28"/>
                <w:szCs w:val="28"/>
              </w:rPr>
            </w:pPr>
            <w:r>
              <w:rPr>
                <w:rFonts w:eastAsia="方正黑体_GBK" w:cs="Times New Roman"/>
                <w:sz w:val="28"/>
                <w:szCs w:val="28"/>
              </w:rPr>
              <w:t>指标名称</w:t>
            </w:r>
          </w:p>
        </w:tc>
        <w:tc>
          <w:tcPr>
            <w:tcW w:w="686" w:type="pct"/>
            <w:tcBorders>
              <w:top w:val="single" w:color="auto" w:sz="4" w:space="0"/>
              <w:left w:val="single" w:color="auto" w:sz="4" w:space="0"/>
              <w:bottom w:val="single" w:color="auto" w:sz="4" w:space="0"/>
              <w:right w:val="single" w:color="auto" w:sz="4" w:space="0"/>
            </w:tcBorders>
            <w:vAlign w:val="center"/>
          </w:tcPr>
          <w:p w14:paraId="5BA1D7A4">
            <w:pPr>
              <w:pStyle w:val="11"/>
              <w:overflowPunct w:val="0"/>
              <w:adjustRightInd w:val="0"/>
              <w:snapToGrid w:val="0"/>
              <w:spacing w:after="0" w:line="400" w:lineRule="exact"/>
              <w:ind w:firstLine="0"/>
              <w:jc w:val="center"/>
              <w:rPr>
                <w:rFonts w:eastAsia="方正黑体_GBK" w:cs="Times New Roman"/>
                <w:sz w:val="28"/>
                <w:szCs w:val="28"/>
              </w:rPr>
            </w:pPr>
            <w:r>
              <w:rPr>
                <w:rFonts w:eastAsia="方正黑体_GBK" w:cs="Times New Roman"/>
                <w:sz w:val="28"/>
                <w:szCs w:val="28"/>
              </w:rPr>
              <w:t>指标属性</w:t>
            </w:r>
          </w:p>
        </w:tc>
        <w:tc>
          <w:tcPr>
            <w:tcW w:w="704" w:type="pct"/>
            <w:tcBorders>
              <w:top w:val="single" w:color="auto" w:sz="4" w:space="0"/>
              <w:left w:val="single" w:color="auto" w:sz="4" w:space="0"/>
              <w:bottom w:val="single" w:color="auto" w:sz="4" w:space="0"/>
              <w:right w:val="single" w:color="auto" w:sz="4" w:space="0"/>
            </w:tcBorders>
            <w:vAlign w:val="center"/>
          </w:tcPr>
          <w:p w14:paraId="23053E7C">
            <w:pPr>
              <w:pStyle w:val="11"/>
              <w:overflowPunct w:val="0"/>
              <w:adjustRightInd w:val="0"/>
              <w:snapToGrid w:val="0"/>
              <w:spacing w:after="0" w:line="400" w:lineRule="exact"/>
              <w:ind w:firstLine="0"/>
              <w:jc w:val="center"/>
              <w:rPr>
                <w:rFonts w:eastAsia="方正黑体_GBK" w:cs="Times New Roman"/>
                <w:sz w:val="28"/>
                <w:szCs w:val="28"/>
              </w:rPr>
            </w:pPr>
            <w:r>
              <w:rPr>
                <w:rFonts w:eastAsia="方正黑体_GBK" w:cs="Times New Roman"/>
                <w:sz w:val="28"/>
                <w:szCs w:val="28"/>
              </w:rPr>
              <w:t>2020年</w:t>
            </w:r>
          </w:p>
          <w:p w14:paraId="0F6FBF88">
            <w:pPr>
              <w:pStyle w:val="11"/>
              <w:overflowPunct w:val="0"/>
              <w:adjustRightInd w:val="0"/>
              <w:snapToGrid w:val="0"/>
              <w:spacing w:after="0" w:line="400" w:lineRule="exact"/>
              <w:ind w:firstLine="0"/>
              <w:jc w:val="center"/>
              <w:rPr>
                <w:rFonts w:eastAsia="方正黑体_GBK" w:cs="Times New Roman"/>
                <w:sz w:val="28"/>
                <w:szCs w:val="28"/>
              </w:rPr>
            </w:pPr>
            <w:r>
              <w:rPr>
                <w:rFonts w:eastAsia="方正黑体_GBK" w:cs="Times New Roman"/>
                <w:sz w:val="28"/>
                <w:szCs w:val="28"/>
              </w:rPr>
              <w:t>规划目标</w:t>
            </w:r>
          </w:p>
        </w:tc>
        <w:tc>
          <w:tcPr>
            <w:tcW w:w="679" w:type="pct"/>
            <w:tcBorders>
              <w:top w:val="single" w:color="auto" w:sz="4" w:space="0"/>
              <w:left w:val="single" w:color="auto" w:sz="4" w:space="0"/>
              <w:bottom w:val="single" w:color="auto" w:sz="4" w:space="0"/>
              <w:right w:val="single" w:color="auto" w:sz="4" w:space="0"/>
            </w:tcBorders>
            <w:vAlign w:val="center"/>
          </w:tcPr>
          <w:p w14:paraId="09723416">
            <w:pPr>
              <w:pStyle w:val="11"/>
              <w:overflowPunct w:val="0"/>
              <w:adjustRightInd w:val="0"/>
              <w:snapToGrid w:val="0"/>
              <w:spacing w:after="0" w:line="400" w:lineRule="exact"/>
              <w:ind w:firstLine="0"/>
              <w:jc w:val="center"/>
              <w:rPr>
                <w:rFonts w:eastAsia="方正黑体_GBK" w:cs="Times New Roman"/>
                <w:sz w:val="28"/>
                <w:szCs w:val="28"/>
              </w:rPr>
            </w:pPr>
            <w:r>
              <w:rPr>
                <w:rFonts w:eastAsia="方正黑体_GBK" w:cs="Times New Roman"/>
                <w:sz w:val="28"/>
                <w:szCs w:val="28"/>
              </w:rPr>
              <w:t>2020年</w:t>
            </w:r>
          </w:p>
          <w:p w14:paraId="2E4A76B5">
            <w:pPr>
              <w:pStyle w:val="11"/>
              <w:overflowPunct w:val="0"/>
              <w:adjustRightInd w:val="0"/>
              <w:snapToGrid w:val="0"/>
              <w:spacing w:after="0" w:line="400" w:lineRule="exact"/>
              <w:ind w:firstLine="0"/>
              <w:jc w:val="center"/>
              <w:rPr>
                <w:rFonts w:eastAsia="方正黑体_GBK" w:cs="Times New Roman"/>
                <w:sz w:val="28"/>
                <w:szCs w:val="28"/>
              </w:rPr>
            </w:pPr>
            <w:r>
              <w:rPr>
                <w:rFonts w:eastAsia="方正黑体_GBK" w:cs="Times New Roman"/>
                <w:sz w:val="28"/>
                <w:szCs w:val="28"/>
              </w:rPr>
              <w:t>实现情况</w:t>
            </w:r>
          </w:p>
        </w:tc>
      </w:tr>
      <w:tr w14:paraId="3FA55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36C97C04">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w:t>
            </w:r>
          </w:p>
        </w:tc>
        <w:tc>
          <w:tcPr>
            <w:tcW w:w="2529" w:type="pct"/>
            <w:tcBorders>
              <w:top w:val="single" w:color="auto" w:sz="4" w:space="0"/>
              <w:left w:val="single" w:color="auto" w:sz="4" w:space="0"/>
              <w:bottom w:val="single" w:color="auto" w:sz="4" w:space="0"/>
              <w:right w:val="single" w:color="auto" w:sz="4" w:space="0"/>
            </w:tcBorders>
            <w:vAlign w:val="center"/>
          </w:tcPr>
          <w:p w14:paraId="4DE22012">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地区生产总值年均增速（%）</w:t>
            </w:r>
          </w:p>
        </w:tc>
        <w:tc>
          <w:tcPr>
            <w:tcW w:w="686" w:type="pct"/>
            <w:tcBorders>
              <w:top w:val="single" w:color="auto" w:sz="4" w:space="0"/>
              <w:left w:val="single" w:color="auto" w:sz="4" w:space="0"/>
              <w:bottom w:val="single" w:color="auto" w:sz="4" w:space="0"/>
              <w:right w:val="single" w:color="auto" w:sz="4" w:space="0"/>
            </w:tcBorders>
            <w:vAlign w:val="center"/>
          </w:tcPr>
          <w:p w14:paraId="510F3C94">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3308B908">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7*</w:t>
            </w:r>
          </w:p>
        </w:tc>
        <w:tc>
          <w:tcPr>
            <w:tcW w:w="679" w:type="pct"/>
            <w:tcBorders>
              <w:top w:val="single" w:color="auto" w:sz="4" w:space="0"/>
              <w:left w:val="single" w:color="auto" w:sz="4" w:space="0"/>
              <w:bottom w:val="single" w:color="auto" w:sz="4" w:space="0"/>
              <w:right w:val="single" w:color="auto" w:sz="4" w:space="0"/>
            </w:tcBorders>
            <w:vAlign w:val="center"/>
          </w:tcPr>
          <w:p w14:paraId="689692A1">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5.4*</w:t>
            </w:r>
          </w:p>
        </w:tc>
      </w:tr>
      <w:tr w14:paraId="00F90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2A400070">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w:t>
            </w:r>
          </w:p>
        </w:tc>
        <w:tc>
          <w:tcPr>
            <w:tcW w:w="2529" w:type="pct"/>
            <w:tcBorders>
              <w:top w:val="single" w:color="auto" w:sz="4" w:space="0"/>
              <w:left w:val="single" w:color="auto" w:sz="4" w:space="0"/>
              <w:bottom w:val="single" w:color="auto" w:sz="4" w:space="0"/>
              <w:right w:val="single" w:color="auto" w:sz="4" w:space="0"/>
            </w:tcBorders>
            <w:vAlign w:val="center"/>
          </w:tcPr>
          <w:p w14:paraId="55E06D82">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常住居民人均可支配收入年均增速（%）</w:t>
            </w:r>
          </w:p>
        </w:tc>
        <w:tc>
          <w:tcPr>
            <w:tcW w:w="686" w:type="pct"/>
            <w:tcBorders>
              <w:top w:val="single" w:color="auto" w:sz="4" w:space="0"/>
              <w:left w:val="single" w:color="auto" w:sz="4" w:space="0"/>
              <w:bottom w:val="single" w:color="auto" w:sz="4" w:space="0"/>
              <w:right w:val="single" w:color="auto" w:sz="4" w:space="0"/>
            </w:tcBorders>
            <w:vAlign w:val="center"/>
          </w:tcPr>
          <w:p w14:paraId="45C6F69B">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6AC8466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12*</w:t>
            </w:r>
          </w:p>
        </w:tc>
        <w:tc>
          <w:tcPr>
            <w:tcW w:w="679" w:type="pct"/>
            <w:tcBorders>
              <w:top w:val="single" w:color="auto" w:sz="4" w:space="0"/>
              <w:left w:val="single" w:color="auto" w:sz="4" w:space="0"/>
              <w:bottom w:val="single" w:color="auto" w:sz="4" w:space="0"/>
              <w:right w:val="single" w:color="auto" w:sz="4" w:space="0"/>
            </w:tcBorders>
            <w:vAlign w:val="center"/>
          </w:tcPr>
          <w:p w14:paraId="2788B962">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9.9*</w:t>
            </w:r>
          </w:p>
        </w:tc>
      </w:tr>
      <w:tr w14:paraId="4E127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63F33812">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3</w:t>
            </w:r>
          </w:p>
        </w:tc>
        <w:tc>
          <w:tcPr>
            <w:tcW w:w="2529" w:type="pct"/>
            <w:tcBorders>
              <w:top w:val="single" w:color="auto" w:sz="4" w:space="0"/>
              <w:left w:val="single" w:color="auto" w:sz="4" w:space="0"/>
              <w:bottom w:val="single" w:color="auto" w:sz="4" w:space="0"/>
              <w:right w:val="single" w:color="auto" w:sz="4" w:space="0"/>
            </w:tcBorders>
            <w:vAlign w:val="center"/>
          </w:tcPr>
          <w:p w14:paraId="68CDC46B">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全社会完成固定资产投资增速（%）</w:t>
            </w:r>
          </w:p>
        </w:tc>
        <w:tc>
          <w:tcPr>
            <w:tcW w:w="686" w:type="pct"/>
            <w:tcBorders>
              <w:top w:val="single" w:color="auto" w:sz="4" w:space="0"/>
              <w:left w:val="single" w:color="auto" w:sz="4" w:space="0"/>
              <w:bottom w:val="single" w:color="auto" w:sz="4" w:space="0"/>
              <w:right w:val="single" w:color="auto" w:sz="4" w:space="0"/>
            </w:tcBorders>
            <w:vAlign w:val="center"/>
          </w:tcPr>
          <w:p w14:paraId="33A2352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23E4CC31">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4</w:t>
            </w:r>
          </w:p>
        </w:tc>
        <w:tc>
          <w:tcPr>
            <w:tcW w:w="679" w:type="pct"/>
            <w:tcBorders>
              <w:top w:val="single" w:color="auto" w:sz="4" w:space="0"/>
              <w:left w:val="single" w:color="auto" w:sz="4" w:space="0"/>
              <w:bottom w:val="single" w:color="auto" w:sz="4" w:space="0"/>
              <w:right w:val="single" w:color="auto" w:sz="4" w:space="0"/>
            </w:tcBorders>
            <w:vAlign w:val="center"/>
          </w:tcPr>
          <w:p w14:paraId="60F89295">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7.5</w:t>
            </w:r>
          </w:p>
        </w:tc>
      </w:tr>
      <w:tr w14:paraId="2F3CF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1582995E">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4</w:t>
            </w:r>
          </w:p>
        </w:tc>
        <w:tc>
          <w:tcPr>
            <w:tcW w:w="2529" w:type="pct"/>
            <w:tcBorders>
              <w:top w:val="single" w:color="auto" w:sz="4" w:space="0"/>
              <w:left w:val="single" w:color="auto" w:sz="4" w:space="0"/>
              <w:bottom w:val="single" w:color="auto" w:sz="4" w:space="0"/>
              <w:right w:val="single" w:color="auto" w:sz="4" w:space="0"/>
            </w:tcBorders>
            <w:vAlign w:val="center"/>
          </w:tcPr>
          <w:p w14:paraId="48D5DC5E">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社会消费品零售总额增速（%）</w:t>
            </w:r>
          </w:p>
        </w:tc>
        <w:tc>
          <w:tcPr>
            <w:tcW w:w="686" w:type="pct"/>
            <w:tcBorders>
              <w:top w:val="single" w:color="auto" w:sz="4" w:space="0"/>
              <w:left w:val="single" w:color="auto" w:sz="4" w:space="0"/>
              <w:bottom w:val="single" w:color="auto" w:sz="4" w:space="0"/>
              <w:right w:val="single" w:color="auto" w:sz="4" w:space="0"/>
            </w:tcBorders>
            <w:vAlign w:val="center"/>
          </w:tcPr>
          <w:p w14:paraId="26A3F244">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17CC20C5">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8</w:t>
            </w:r>
          </w:p>
        </w:tc>
        <w:tc>
          <w:tcPr>
            <w:tcW w:w="679" w:type="pct"/>
            <w:tcBorders>
              <w:top w:val="single" w:color="auto" w:sz="4" w:space="0"/>
              <w:left w:val="single" w:color="auto" w:sz="4" w:space="0"/>
              <w:bottom w:val="single" w:color="auto" w:sz="4" w:space="0"/>
              <w:right w:val="single" w:color="auto" w:sz="4" w:space="0"/>
            </w:tcBorders>
            <w:vAlign w:val="center"/>
          </w:tcPr>
          <w:p w14:paraId="207BDC14">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-0.2</w:t>
            </w:r>
          </w:p>
        </w:tc>
      </w:tr>
      <w:tr w14:paraId="7EFA0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50C722D7">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5</w:t>
            </w:r>
          </w:p>
        </w:tc>
        <w:tc>
          <w:tcPr>
            <w:tcW w:w="2529" w:type="pct"/>
            <w:tcBorders>
              <w:top w:val="single" w:color="auto" w:sz="4" w:space="0"/>
              <w:left w:val="single" w:color="auto" w:sz="4" w:space="0"/>
              <w:bottom w:val="single" w:color="auto" w:sz="4" w:space="0"/>
              <w:right w:val="single" w:color="auto" w:sz="4" w:space="0"/>
            </w:tcBorders>
            <w:vAlign w:val="center"/>
          </w:tcPr>
          <w:p w14:paraId="12159985">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服务业增加值占GDP比重（%）</w:t>
            </w:r>
          </w:p>
        </w:tc>
        <w:tc>
          <w:tcPr>
            <w:tcW w:w="686" w:type="pct"/>
            <w:tcBorders>
              <w:top w:val="single" w:color="auto" w:sz="4" w:space="0"/>
              <w:left w:val="single" w:color="auto" w:sz="4" w:space="0"/>
              <w:bottom w:val="single" w:color="auto" w:sz="4" w:space="0"/>
              <w:right w:val="single" w:color="auto" w:sz="4" w:space="0"/>
            </w:tcBorders>
            <w:vAlign w:val="center"/>
          </w:tcPr>
          <w:p w14:paraId="3CE5FAB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626534EE">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45</w:t>
            </w:r>
          </w:p>
        </w:tc>
        <w:tc>
          <w:tcPr>
            <w:tcW w:w="679" w:type="pct"/>
            <w:tcBorders>
              <w:top w:val="single" w:color="auto" w:sz="4" w:space="0"/>
              <w:left w:val="single" w:color="auto" w:sz="4" w:space="0"/>
              <w:bottom w:val="single" w:color="auto" w:sz="4" w:space="0"/>
              <w:right w:val="single" w:color="auto" w:sz="4" w:space="0"/>
            </w:tcBorders>
            <w:vAlign w:val="center"/>
          </w:tcPr>
          <w:p w14:paraId="748D128F">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59.9</w:t>
            </w:r>
          </w:p>
        </w:tc>
      </w:tr>
      <w:tr w14:paraId="088D1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1C0FF01D">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6</w:t>
            </w:r>
          </w:p>
        </w:tc>
        <w:tc>
          <w:tcPr>
            <w:tcW w:w="2529" w:type="pct"/>
            <w:tcBorders>
              <w:top w:val="single" w:color="auto" w:sz="4" w:space="0"/>
              <w:left w:val="single" w:color="auto" w:sz="4" w:space="0"/>
              <w:bottom w:val="single" w:color="auto" w:sz="4" w:space="0"/>
              <w:right w:val="single" w:color="auto" w:sz="4" w:space="0"/>
            </w:tcBorders>
            <w:vAlign w:val="center"/>
          </w:tcPr>
          <w:p w14:paraId="5047DB35">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新型产业产值占工业总产值比重（%）</w:t>
            </w:r>
          </w:p>
        </w:tc>
        <w:tc>
          <w:tcPr>
            <w:tcW w:w="686" w:type="pct"/>
            <w:tcBorders>
              <w:top w:val="single" w:color="auto" w:sz="4" w:space="0"/>
              <w:left w:val="single" w:color="auto" w:sz="4" w:space="0"/>
              <w:bottom w:val="single" w:color="auto" w:sz="4" w:space="0"/>
              <w:right w:val="single" w:color="auto" w:sz="4" w:space="0"/>
            </w:tcBorders>
            <w:vAlign w:val="center"/>
          </w:tcPr>
          <w:p w14:paraId="1E2ED500">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14A3AD8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25</w:t>
            </w:r>
          </w:p>
        </w:tc>
        <w:tc>
          <w:tcPr>
            <w:tcW w:w="679" w:type="pct"/>
            <w:tcBorders>
              <w:top w:val="single" w:color="auto" w:sz="4" w:space="0"/>
              <w:left w:val="single" w:color="auto" w:sz="4" w:space="0"/>
              <w:bottom w:val="single" w:color="auto" w:sz="4" w:space="0"/>
              <w:right w:val="single" w:color="auto" w:sz="4" w:space="0"/>
            </w:tcBorders>
            <w:vAlign w:val="center"/>
          </w:tcPr>
          <w:p w14:paraId="351E4534">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25</w:t>
            </w:r>
          </w:p>
        </w:tc>
      </w:tr>
      <w:tr w14:paraId="454F9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20FADB70">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7</w:t>
            </w:r>
          </w:p>
        </w:tc>
        <w:tc>
          <w:tcPr>
            <w:tcW w:w="2529" w:type="pct"/>
            <w:tcBorders>
              <w:top w:val="single" w:color="auto" w:sz="4" w:space="0"/>
              <w:left w:val="single" w:color="auto" w:sz="4" w:space="0"/>
              <w:bottom w:val="single" w:color="auto" w:sz="4" w:space="0"/>
              <w:right w:val="single" w:color="auto" w:sz="4" w:space="0"/>
            </w:tcBorders>
            <w:vAlign w:val="center"/>
          </w:tcPr>
          <w:p w14:paraId="309E64E9">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互联网普及率</w:t>
            </w:r>
          </w:p>
        </w:tc>
        <w:tc>
          <w:tcPr>
            <w:tcW w:w="686" w:type="pct"/>
            <w:tcBorders>
              <w:top w:val="single" w:color="auto" w:sz="4" w:space="0"/>
              <w:left w:val="single" w:color="auto" w:sz="4" w:space="0"/>
              <w:bottom w:val="single" w:color="auto" w:sz="4" w:space="0"/>
              <w:right w:val="single" w:color="auto" w:sz="4" w:space="0"/>
            </w:tcBorders>
            <w:vAlign w:val="center"/>
          </w:tcPr>
          <w:p w14:paraId="5BBCD4A0">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3CD27BC6">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80</w:t>
            </w:r>
          </w:p>
        </w:tc>
        <w:tc>
          <w:tcPr>
            <w:tcW w:w="679" w:type="pct"/>
            <w:tcBorders>
              <w:top w:val="single" w:color="auto" w:sz="4" w:space="0"/>
              <w:left w:val="single" w:color="auto" w:sz="4" w:space="0"/>
              <w:bottom w:val="single" w:color="auto" w:sz="4" w:space="0"/>
              <w:right w:val="single" w:color="auto" w:sz="4" w:space="0"/>
            </w:tcBorders>
            <w:vAlign w:val="center"/>
          </w:tcPr>
          <w:p w14:paraId="7F0BDF32">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85</w:t>
            </w:r>
          </w:p>
        </w:tc>
      </w:tr>
      <w:tr w14:paraId="53B93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7F106F31">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8</w:t>
            </w:r>
          </w:p>
        </w:tc>
        <w:tc>
          <w:tcPr>
            <w:tcW w:w="2529" w:type="pct"/>
            <w:tcBorders>
              <w:top w:val="single" w:color="auto" w:sz="4" w:space="0"/>
              <w:left w:val="single" w:color="auto" w:sz="4" w:space="0"/>
              <w:bottom w:val="single" w:color="auto" w:sz="4" w:space="0"/>
              <w:right w:val="single" w:color="auto" w:sz="4" w:space="0"/>
            </w:tcBorders>
            <w:vAlign w:val="center"/>
          </w:tcPr>
          <w:p w14:paraId="2D2F36D5">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常住人口城镇化率（%）</w:t>
            </w:r>
          </w:p>
        </w:tc>
        <w:tc>
          <w:tcPr>
            <w:tcW w:w="686" w:type="pct"/>
            <w:tcBorders>
              <w:top w:val="single" w:color="auto" w:sz="4" w:space="0"/>
              <w:left w:val="single" w:color="auto" w:sz="4" w:space="0"/>
              <w:bottom w:val="single" w:color="auto" w:sz="4" w:space="0"/>
              <w:right w:val="single" w:color="auto" w:sz="4" w:space="0"/>
            </w:tcBorders>
            <w:vAlign w:val="center"/>
          </w:tcPr>
          <w:p w14:paraId="61FFFB05">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33002891">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39</w:t>
            </w:r>
          </w:p>
        </w:tc>
        <w:tc>
          <w:tcPr>
            <w:tcW w:w="679" w:type="pct"/>
            <w:tcBorders>
              <w:top w:val="single" w:color="auto" w:sz="4" w:space="0"/>
              <w:left w:val="single" w:color="auto" w:sz="4" w:space="0"/>
              <w:bottom w:val="single" w:color="auto" w:sz="4" w:space="0"/>
              <w:right w:val="single" w:color="auto" w:sz="4" w:space="0"/>
            </w:tcBorders>
            <w:vAlign w:val="center"/>
          </w:tcPr>
          <w:p w14:paraId="4739D68A">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39</w:t>
            </w:r>
          </w:p>
        </w:tc>
      </w:tr>
      <w:tr w14:paraId="6629D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4570814C">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9</w:t>
            </w:r>
          </w:p>
        </w:tc>
        <w:tc>
          <w:tcPr>
            <w:tcW w:w="2529" w:type="pct"/>
            <w:tcBorders>
              <w:top w:val="single" w:color="auto" w:sz="4" w:space="0"/>
              <w:left w:val="single" w:color="auto" w:sz="4" w:space="0"/>
              <w:bottom w:val="single" w:color="auto" w:sz="4" w:space="0"/>
              <w:right w:val="single" w:color="auto" w:sz="4" w:space="0"/>
            </w:tcBorders>
            <w:vAlign w:val="center"/>
          </w:tcPr>
          <w:p w14:paraId="3E957606">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城乡居民人均可支配收入比</w:t>
            </w:r>
          </w:p>
        </w:tc>
        <w:tc>
          <w:tcPr>
            <w:tcW w:w="686" w:type="pct"/>
            <w:tcBorders>
              <w:top w:val="single" w:color="auto" w:sz="4" w:space="0"/>
              <w:left w:val="single" w:color="auto" w:sz="4" w:space="0"/>
              <w:bottom w:val="single" w:color="auto" w:sz="4" w:space="0"/>
              <w:right w:val="single" w:color="auto" w:sz="4" w:space="0"/>
            </w:tcBorders>
            <w:vAlign w:val="center"/>
          </w:tcPr>
          <w:p w14:paraId="2AD6A3D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5D9E46A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2.67:1</w:t>
            </w:r>
          </w:p>
        </w:tc>
        <w:tc>
          <w:tcPr>
            <w:tcW w:w="679" w:type="pct"/>
            <w:tcBorders>
              <w:top w:val="single" w:color="auto" w:sz="4" w:space="0"/>
              <w:left w:val="single" w:color="auto" w:sz="4" w:space="0"/>
              <w:bottom w:val="single" w:color="auto" w:sz="4" w:space="0"/>
              <w:right w:val="single" w:color="auto" w:sz="4" w:space="0"/>
            </w:tcBorders>
            <w:vAlign w:val="center"/>
          </w:tcPr>
          <w:p w14:paraId="61F86813">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2.71:1</w:t>
            </w:r>
          </w:p>
        </w:tc>
      </w:tr>
      <w:tr w14:paraId="59102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31BF854A">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10</w:t>
            </w:r>
          </w:p>
        </w:tc>
        <w:tc>
          <w:tcPr>
            <w:tcW w:w="2529" w:type="pct"/>
            <w:tcBorders>
              <w:top w:val="single" w:color="auto" w:sz="4" w:space="0"/>
              <w:left w:val="single" w:color="auto" w:sz="4" w:space="0"/>
              <w:bottom w:val="single" w:color="auto" w:sz="4" w:space="0"/>
              <w:right w:val="single" w:color="auto" w:sz="4" w:space="0"/>
            </w:tcBorders>
            <w:vAlign w:val="center"/>
          </w:tcPr>
          <w:p w14:paraId="095A0E46">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文化产业增加值占GDP比重（%）</w:t>
            </w:r>
          </w:p>
        </w:tc>
        <w:tc>
          <w:tcPr>
            <w:tcW w:w="686" w:type="pct"/>
            <w:tcBorders>
              <w:top w:val="single" w:color="auto" w:sz="4" w:space="0"/>
              <w:left w:val="single" w:color="auto" w:sz="4" w:space="0"/>
              <w:bottom w:val="single" w:color="auto" w:sz="4" w:space="0"/>
              <w:right w:val="single" w:color="auto" w:sz="4" w:space="0"/>
            </w:tcBorders>
            <w:vAlign w:val="center"/>
          </w:tcPr>
          <w:p w14:paraId="5A5D80AF">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61B3F7B7">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w:t>
            </w:r>
          </w:p>
        </w:tc>
        <w:tc>
          <w:tcPr>
            <w:tcW w:w="679" w:type="pct"/>
            <w:tcBorders>
              <w:top w:val="single" w:color="auto" w:sz="4" w:space="0"/>
              <w:left w:val="single" w:color="auto" w:sz="4" w:space="0"/>
              <w:bottom w:val="single" w:color="auto" w:sz="4" w:space="0"/>
              <w:right w:val="single" w:color="auto" w:sz="4" w:space="0"/>
            </w:tcBorders>
            <w:vAlign w:val="center"/>
          </w:tcPr>
          <w:p w14:paraId="3AD1FFE5">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1.3</w:t>
            </w:r>
          </w:p>
        </w:tc>
      </w:tr>
      <w:tr w14:paraId="04E21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vMerge w:val="restart"/>
            <w:tcBorders>
              <w:top w:val="single" w:color="auto" w:sz="4" w:space="0"/>
              <w:left w:val="single" w:color="auto" w:sz="4" w:space="0"/>
              <w:bottom w:val="single" w:color="auto" w:sz="4" w:space="0"/>
              <w:right w:val="single" w:color="auto" w:sz="4" w:space="0"/>
            </w:tcBorders>
            <w:vAlign w:val="center"/>
          </w:tcPr>
          <w:p w14:paraId="0529EE1A">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11</w:t>
            </w:r>
          </w:p>
        </w:tc>
        <w:tc>
          <w:tcPr>
            <w:tcW w:w="2529" w:type="pct"/>
            <w:tcBorders>
              <w:top w:val="single" w:color="auto" w:sz="4" w:space="0"/>
              <w:left w:val="single" w:color="auto" w:sz="4" w:space="0"/>
              <w:bottom w:val="single" w:color="auto" w:sz="4" w:space="0"/>
              <w:right w:val="single" w:color="auto" w:sz="4" w:space="0"/>
            </w:tcBorders>
            <w:vAlign w:val="center"/>
          </w:tcPr>
          <w:p w14:paraId="6EEF78F5">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森林增长</w:t>
            </w:r>
          </w:p>
        </w:tc>
        <w:tc>
          <w:tcPr>
            <w:tcW w:w="686" w:type="pct"/>
            <w:tcBorders>
              <w:top w:val="single" w:color="auto" w:sz="4" w:space="0"/>
              <w:left w:val="single" w:color="auto" w:sz="4" w:space="0"/>
              <w:bottom w:val="single" w:color="auto" w:sz="4" w:space="0"/>
              <w:right w:val="single" w:color="auto" w:sz="4" w:space="0"/>
            </w:tcBorders>
            <w:vAlign w:val="center"/>
          </w:tcPr>
          <w:p w14:paraId="01C874D5">
            <w:pPr>
              <w:pStyle w:val="11"/>
              <w:overflowPunct w:val="0"/>
              <w:adjustRightInd w:val="0"/>
              <w:snapToGrid w:val="0"/>
              <w:spacing w:after="0" w:line="440" w:lineRule="exact"/>
              <w:ind w:firstLine="0"/>
              <w:jc w:val="center"/>
              <w:rPr>
                <w:rFonts w:eastAsia="方正仿宋_GBK" w:cs="Times New Roman"/>
                <w:sz w:val="28"/>
                <w:szCs w:val="28"/>
              </w:rPr>
            </w:pPr>
          </w:p>
        </w:tc>
        <w:tc>
          <w:tcPr>
            <w:tcW w:w="704" w:type="pct"/>
            <w:tcBorders>
              <w:top w:val="single" w:color="auto" w:sz="4" w:space="0"/>
              <w:left w:val="single" w:color="auto" w:sz="4" w:space="0"/>
              <w:bottom w:val="single" w:color="auto" w:sz="4" w:space="0"/>
              <w:right w:val="single" w:color="auto" w:sz="4" w:space="0"/>
            </w:tcBorders>
            <w:vAlign w:val="center"/>
          </w:tcPr>
          <w:p w14:paraId="659E62C6">
            <w:pPr>
              <w:pStyle w:val="11"/>
              <w:overflowPunct w:val="0"/>
              <w:adjustRightInd w:val="0"/>
              <w:snapToGrid w:val="0"/>
              <w:spacing w:after="0" w:line="440" w:lineRule="exact"/>
              <w:ind w:firstLine="0"/>
              <w:jc w:val="center"/>
              <w:rPr>
                <w:rFonts w:eastAsia="方正仿宋_GBK" w:cs="Times New Roman"/>
                <w:sz w:val="28"/>
                <w:szCs w:val="28"/>
              </w:rPr>
            </w:pPr>
          </w:p>
        </w:tc>
        <w:tc>
          <w:tcPr>
            <w:tcW w:w="679" w:type="pct"/>
            <w:tcBorders>
              <w:top w:val="single" w:color="auto" w:sz="4" w:space="0"/>
              <w:left w:val="single" w:color="auto" w:sz="4" w:space="0"/>
              <w:bottom w:val="single" w:color="auto" w:sz="4" w:space="0"/>
              <w:right w:val="single" w:color="auto" w:sz="4" w:space="0"/>
            </w:tcBorders>
            <w:vAlign w:val="center"/>
          </w:tcPr>
          <w:p w14:paraId="2BC9A757">
            <w:pPr>
              <w:pStyle w:val="11"/>
              <w:overflowPunct w:val="0"/>
              <w:adjustRightInd w:val="0"/>
              <w:snapToGrid w:val="0"/>
              <w:spacing w:after="0" w:line="440" w:lineRule="exact"/>
              <w:ind w:firstLine="0"/>
              <w:jc w:val="center"/>
              <w:rPr>
                <w:rFonts w:eastAsia="方正仿宋_GBK" w:cs="Times New Roman"/>
                <w:sz w:val="28"/>
                <w:szCs w:val="28"/>
              </w:rPr>
            </w:pPr>
          </w:p>
        </w:tc>
      </w:tr>
      <w:tr w14:paraId="0A8C8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059BE735">
            <w:pPr>
              <w:jc w:val="left"/>
              <w:rPr>
                <w:rFonts w:ascii="Times New Roman" w:hAnsi="Times New Roman" w:eastAsia="方正仿宋_GBK" w:cs="Times New Roman"/>
                <w:sz w:val="28"/>
                <w:szCs w:val="28"/>
              </w:rPr>
            </w:pPr>
          </w:p>
        </w:tc>
        <w:tc>
          <w:tcPr>
            <w:tcW w:w="2529" w:type="pct"/>
            <w:tcBorders>
              <w:top w:val="single" w:color="auto" w:sz="4" w:space="0"/>
              <w:left w:val="single" w:color="auto" w:sz="4" w:space="0"/>
              <w:bottom w:val="single" w:color="auto" w:sz="4" w:space="0"/>
              <w:right w:val="single" w:color="auto" w:sz="4" w:space="0"/>
            </w:tcBorders>
            <w:vAlign w:val="center"/>
          </w:tcPr>
          <w:p w14:paraId="24C79CDA">
            <w:pPr>
              <w:pStyle w:val="11"/>
              <w:overflowPunct w:val="0"/>
              <w:adjustRightInd w:val="0"/>
              <w:snapToGrid w:val="0"/>
              <w:spacing w:after="0" w:line="440" w:lineRule="exact"/>
              <w:ind w:firstLine="560" w:firstLineChars="200"/>
              <w:rPr>
                <w:rFonts w:eastAsia="方正仿宋_GBK" w:cs="Times New Roman"/>
                <w:sz w:val="28"/>
                <w:szCs w:val="28"/>
              </w:rPr>
            </w:pPr>
            <w:r>
              <w:rPr>
                <w:rFonts w:eastAsia="方正仿宋_GBK" w:cs="Times New Roman"/>
                <w:sz w:val="28"/>
                <w:szCs w:val="28"/>
              </w:rPr>
              <w:t>#森林覆盖率</w:t>
            </w:r>
          </w:p>
        </w:tc>
        <w:tc>
          <w:tcPr>
            <w:tcW w:w="686" w:type="pct"/>
            <w:tcBorders>
              <w:top w:val="single" w:color="auto" w:sz="4" w:space="0"/>
              <w:left w:val="single" w:color="auto" w:sz="4" w:space="0"/>
              <w:bottom w:val="single" w:color="auto" w:sz="4" w:space="0"/>
              <w:right w:val="single" w:color="auto" w:sz="4" w:space="0"/>
            </w:tcBorders>
            <w:vAlign w:val="center"/>
          </w:tcPr>
          <w:p w14:paraId="784F65F4">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5348D23E">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70.0</w:t>
            </w:r>
          </w:p>
        </w:tc>
        <w:tc>
          <w:tcPr>
            <w:tcW w:w="679" w:type="pct"/>
            <w:tcBorders>
              <w:top w:val="single" w:color="auto" w:sz="4" w:space="0"/>
              <w:left w:val="single" w:color="auto" w:sz="4" w:space="0"/>
              <w:bottom w:val="single" w:color="auto" w:sz="4" w:space="0"/>
              <w:right w:val="single" w:color="auto" w:sz="4" w:space="0"/>
            </w:tcBorders>
            <w:vAlign w:val="center"/>
          </w:tcPr>
          <w:p w14:paraId="757B2F43">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72.5</w:t>
            </w:r>
          </w:p>
        </w:tc>
      </w:tr>
      <w:tr w14:paraId="240B6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5936193D">
            <w:pPr>
              <w:jc w:val="left"/>
              <w:rPr>
                <w:rFonts w:ascii="Times New Roman" w:hAnsi="Times New Roman" w:eastAsia="方正仿宋_GBK" w:cs="Times New Roman"/>
                <w:sz w:val="28"/>
                <w:szCs w:val="28"/>
              </w:rPr>
            </w:pPr>
          </w:p>
        </w:tc>
        <w:tc>
          <w:tcPr>
            <w:tcW w:w="2529" w:type="pct"/>
            <w:tcBorders>
              <w:top w:val="single" w:color="auto" w:sz="4" w:space="0"/>
              <w:left w:val="single" w:color="auto" w:sz="4" w:space="0"/>
              <w:bottom w:val="single" w:color="auto" w:sz="4" w:space="0"/>
              <w:right w:val="single" w:color="auto" w:sz="4" w:space="0"/>
            </w:tcBorders>
            <w:vAlign w:val="center"/>
          </w:tcPr>
          <w:p w14:paraId="462058EF">
            <w:pPr>
              <w:pStyle w:val="11"/>
              <w:overflowPunct w:val="0"/>
              <w:adjustRightInd w:val="0"/>
              <w:snapToGrid w:val="0"/>
              <w:spacing w:after="0" w:line="440" w:lineRule="exact"/>
              <w:ind w:firstLine="560" w:firstLineChars="200"/>
              <w:rPr>
                <w:rFonts w:eastAsia="方正仿宋_GBK" w:cs="Times New Roman"/>
                <w:sz w:val="28"/>
                <w:szCs w:val="28"/>
              </w:rPr>
            </w:pPr>
            <w:r>
              <w:rPr>
                <w:rFonts w:eastAsia="方正仿宋_GBK" w:cs="Times New Roman"/>
                <w:sz w:val="28"/>
                <w:szCs w:val="28"/>
              </w:rPr>
              <w:t>#森林蓄积量</w:t>
            </w:r>
          </w:p>
        </w:tc>
        <w:tc>
          <w:tcPr>
            <w:tcW w:w="686" w:type="pct"/>
            <w:tcBorders>
              <w:top w:val="single" w:color="auto" w:sz="4" w:space="0"/>
              <w:left w:val="single" w:color="auto" w:sz="4" w:space="0"/>
              <w:bottom w:val="single" w:color="auto" w:sz="4" w:space="0"/>
              <w:right w:val="single" w:color="auto" w:sz="4" w:space="0"/>
            </w:tcBorders>
            <w:vAlign w:val="center"/>
          </w:tcPr>
          <w:p w14:paraId="74A31667">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20378A6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1630</w:t>
            </w:r>
          </w:p>
        </w:tc>
        <w:tc>
          <w:tcPr>
            <w:tcW w:w="679" w:type="pct"/>
            <w:tcBorders>
              <w:top w:val="single" w:color="auto" w:sz="4" w:space="0"/>
              <w:left w:val="single" w:color="auto" w:sz="4" w:space="0"/>
              <w:bottom w:val="single" w:color="auto" w:sz="4" w:space="0"/>
              <w:right w:val="single" w:color="auto" w:sz="4" w:space="0"/>
            </w:tcBorders>
            <w:vAlign w:val="center"/>
          </w:tcPr>
          <w:p w14:paraId="60BD25A3">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1650</w:t>
            </w:r>
          </w:p>
        </w:tc>
      </w:tr>
      <w:tr w14:paraId="42FA2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vMerge w:val="restart"/>
            <w:tcBorders>
              <w:top w:val="single" w:color="auto" w:sz="4" w:space="0"/>
              <w:left w:val="single" w:color="auto" w:sz="4" w:space="0"/>
              <w:bottom w:val="single" w:color="auto" w:sz="4" w:space="0"/>
              <w:right w:val="single" w:color="auto" w:sz="4" w:space="0"/>
            </w:tcBorders>
            <w:vAlign w:val="center"/>
          </w:tcPr>
          <w:p w14:paraId="66B6ADE6">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12</w:t>
            </w:r>
          </w:p>
        </w:tc>
        <w:tc>
          <w:tcPr>
            <w:tcW w:w="2529" w:type="pct"/>
            <w:tcBorders>
              <w:top w:val="single" w:color="auto" w:sz="4" w:space="0"/>
              <w:left w:val="single" w:color="auto" w:sz="4" w:space="0"/>
              <w:bottom w:val="single" w:color="auto" w:sz="4" w:space="0"/>
              <w:right w:val="single" w:color="auto" w:sz="4" w:space="0"/>
            </w:tcBorders>
            <w:vAlign w:val="center"/>
          </w:tcPr>
          <w:p w14:paraId="3DEE5FA8">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空气质量</w:t>
            </w:r>
          </w:p>
        </w:tc>
        <w:tc>
          <w:tcPr>
            <w:tcW w:w="686" w:type="pct"/>
            <w:tcBorders>
              <w:top w:val="single" w:color="auto" w:sz="4" w:space="0"/>
              <w:left w:val="single" w:color="auto" w:sz="4" w:space="0"/>
              <w:bottom w:val="single" w:color="auto" w:sz="4" w:space="0"/>
              <w:right w:val="single" w:color="auto" w:sz="4" w:space="0"/>
            </w:tcBorders>
            <w:vAlign w:val="center"/>
          </w:tcPr>
          <w:p w14:paraId="3F4D21FE">
            <w:pPr>
              <w:pStyle w:val="11"/>
              <w:overflowPunct w:val="0"/>
              <w:adjustRightInd w:val="0"/>
              <w:snapToGrid w:val="0"/>
              <w:spacing w:after="0" w:line="440" w:lineRule="exact"/>
              <w:ind w:firstLine="0"/>
              <w:jc w:val="center"/>
              <w:rPr>
                <w:rFonts w:eastAsia="方正仿宋_GBK" w:cs="Times New Roman"/>
                <w:sz w:val="28"/>
                <w:szCs w:val="28"/>
              </w:rPr>
            </w:pPr>
          </w:p>
        </w:tc>
        <w:tc>
          <w:tcPr>
            <w:tcW w:w="704" w:type="pct"/>
            <w:tcBorders>
              <w:top w:val="single" w:color="auto" w:sz="4" w:space="0"/>
              <w:left w:val="single" w:color="auto" w:sz="4" w:space="0"/>
              <w:bottom w:val="single" w:color="auto" w:sz="4" w:space="0"/>
              <w:right w:val="single" w:color="auto" w:sz="4" w:space="0"/>
            </w:tcBorders>
            <w:vAlign w:val="center"/>
          </w:tcPr>
          <w:p w14:paraId="40F4D376">
            <w:pPr>
              <w:pStyle w:val="11"/>
              <w:overflowPunct w:val="0"/>
              <w:adjustRightInd w:val="0"/>
              <w:snapToGrid w:val="0"/>
              <w:spacing w:after="0" w:line="440" w:lineRule="exact"/>
              <w:ind w:firstLine="0"/>
              <w:jc w:val="center"/>
              <w:rPr>
                <w:rFonts w:eastAsia="方正仿宋_GBK" w:cs="Times New Roman"/>
                <w:sz w:val="28"/>
                <w:szCs w:val="28"/>
              </w:rPr>
            </w:pPr>
          </w:p>
        </w:tc>
        <w:tc>
          <w:tcPr>
            <w:tcW w:w="679" w:type="pct"/>
            <w:tcBorders>
              <w:top w:val="single" w:color="auto" w:sz="4" w:space="0"/>
              <w:left w:val="single" w:color="auto" w:sz="4" w:space="0"/>
              <w:bottom w:val="single" w:color="auto" w:sz="4" w:space="0"/>
              <w:right w:val="single" w:color="auto" w:sz="4" w:space="0"/>
            </w:tcBorders>
            <w:vAlign w:val="center"/>
          </w:tcPr>
          <w:p w14:paraId="70E197AF">
            <w:pPr>
              <w:pStyle w:val="11"/>
              <w:overflowPunct w:val="0"/>
              <w:adjustRightInd w:val="0"/>
              <w:snapToGrid w:val="0"/>
              <w:spacing w:after="0" w:line="440" w:lineRule="exact"/>
              <w:ind w:firstLine="0"/>
              <w:jc w:val="center"/>
              <w:rPr>
                <w:rFonts w:eastAsia="方正仿宋_GBK" w:cs="Times New Roman"/>
                <w:sz w:val="28"/>
                <w:szCs w:val="28"/>
              </w:rPr>
            </w:pPr>
          </w:p>
        </w:tc>
      </w:tr>
      <w:tr w14:paraId="2D331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42A4278E">
            <w:pPr>
              <w:jc w:val="left"/>
              <w:rPr>
                <w:rFonts w:ascii="Times New Roman" w:hAnsi="Times New Roman" w:eastAsia="方正仿宋_GBK" w:cs="Times New Roman"/>
                <w:sz w:val="28"/>
                <w:szCs w:val="28"/>
              </w:rPr>
            </w:pPr>
          </w:p>
        </w:tc>
        <w:tc>
          <w:tcPr>
            <w:tcW w:w="2529" w:type="pct"/>
            <w:tcBorders>
              <w:top w:val="single" w:color="auto" w:sz="4" w:space="0"/>
              <w:left w:val="single" w:color="auto" w:sz="4" w:space="0"/>
              <w:bottom w:val="single" w:color="auto" w:sz="4" w:space="0"/>
              <w:right w:val="single" w:color="auto" w:sz="4" w:space="0"/>
            </w:tcBorders>
            <w:vAlign w:val="center"/>
          </w:tcPr>
          <w:p w14:paraId="616F4982">
            <w:pPr>
              <w:pStyle w:val="11"/>
              <w:overflowPunct w:val="0"/>
              <w:adjustRightInd w:val="0"/>
              <w:snapToGrid w:val="0"/>
              <w:spacing w:after="0" w:line="440" w:lineRule="exact"/>
              <w:ind w:firstLine="560" w:firstLineChars="200"/>
              <w:rPr>
                <w:rFonts w:eastAsia="方正仿宋_GBK" w:cs="Times New Roman"/>
                <w:sz w:val="28"/>
                <w:szCs w:val="28"/>
              </w:rPr>
            </w:pPr>
            <w:r>
              <w:rPr>
                <w:rFonts w:eastAsia="方正仿宋_GBK" w:cs="Times New Roman"/>
                <w:sz w:val="28"/>
                <w:szCs w:val="28"/>
              </w:rPr>
              <w:t>#城区细颗粒（PM2.5）浓度下降率</w:t>
            </w:r>
          </w:p>
        </w:tc>
        <w:tc>
          <w:tcPr>
            <w:tcW w:w="686" w:type="pct"/>
            <w:tcBorders>
              <w:top w:val="single" w:color="auto" w:sz="4" w:space="0"/>
              <w:left w:val="single" w:color="auto" w:sz="4" w:space="0"/>
              <w:bottom w:val="single" w:color="auto" w:sz="4" w:space="0"/>
              <w:right w:val="single" w:color="auto" w:sz="4" w:space="0"/>
            </w:tcBorders>
            <w:vAlign w:val="center"/>
          </w:tcPr>
          <w:p w14:paraId="73AA8994">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5B9A9273">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&gt;[9]</w:t>
            </w:r>
          </w:p>
        </w:tc>
        <w:tc>
          <w:tcPr>
            <w:tcW w:w="679" w:type="pct"/>
            <w:tcBorders>
              <w:top w:val="single" w:color="auto" w:sz="4" w:space="0"/>
              <w:left w:val="single" w:color="auto" w:sz="4" w:space="0"/>
              <w:bottom w:val="single" w:color="auto" w:sz="4" w:space="0"/>
              <w:right w:val="single" w:color="auto" w:sz="4" w:space="0"/>
            </w:tcBorders>
            <w:vAlign w:val="center"/>
          </w:tcPr>
          <w:p w14:paraId="1B146E46">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&gt;[9]</w:t>
            </w:r>
          </w:p>
        </w:tc>
      </w:tr>
      <w:tr w14:paraId="3CE1E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487FB433">
            <w:pPr>
              <w:jc w:val="left"/>
              <w:rPr>
                <w:rFonts w:ascii="Times New Roman" w:hAnsi="Times New Roman" w:eastAsia="方正仿宋_GBK" w:cs="Times New Roman"/>
                <w:sz w:val="28"/>
                <w:szCs w:val="28"/>
              </w:rPr>
            </w:pPr>
          </w:p>
        </w:tc>
        <w:tc>
          <w:tcPr>
            <w:tcW w:w="2529" w:type="pct"/>
            <w:tcBorders>
              <w:top w:val="single" w:color="auto" w:sz="4" w:space="0"/>
              <w:left w:val="single" w:color="auto" w:sz="4" w:space="0"/>
              <w:bottom w:val="single" w:color="auto" w:sz="4" w:space="0"/>
              <w:right w:val="single" w:color="auto" w:sz="4" w:space="0"/>
            </w:tcBorders>
            <w:vAlign w:val="center"/>
          </w:tcPr>
          <w:p w14:paraId="413B939E">
            <w:pPr>
              <w:pStyle w:val="11"/>
              <w:overflowPunct w:val="0"/>
              <w:adjustRightInd w:val="0"/>
              <w:snapToGrid w:val="0"/>
              <w:spacing w:after="0" w:line="440" w:lineRule="exact"/>
              <w:ind w:firstLine="560" w:firstLineChars="200"/>
              <w:rPr>
                <w:rFonts w:eastAsia="方正仿宋_GBK" w:cs="Times New Roman"/>
                <w:sz w:val="28"/>
                <w:szCs w:val="28"/>
              </w:rPr>
            </w:pPr>
            <w:r>
              <w:rPr>
                <w:rFonts w:eastAsia="方正仿宋_GBK" w:cs="Times New Roman"/>
                <w:sz w:val="28"/>
                <w:szCs w:val="28"/>
              </w:rPr>
              <w:t>#城区空气质量优良天数（天）</w:t>
            </w:r>
          </w:p>
        </w:tc>
        <w:tc>
          <w:tcPr>
            <w:tcW w:w="686" w:type="pct"/>
            <w:tcBorders>
              <w:top w:val="single" w:color="auto" w:sz="4" w:space="0"/>
              <w:left w:val="single" w:color="auto" w:sz="4" w:space="0"/>
              <w:bottom w:val="single" w:color="auto" w:sz="4" w:space="0"/>
              <w:right w:val="single" w:color="auto" w:sz="4" w:space="0"/>
            </w:tcBorders>
            <w:vAlign w:val="center"/>
          </w:tcPr>
          <w:p w14:paraId="55D852E0">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73789A90">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≥340</w:t>
            </w:r>
          </w:p>
        </w:tc>
        <w:tc>
          <w:tcPr>
            <w:tcW w:w="679" w:type="pct"/>
            <w:tcBorders>
              <w:top w:val="single" w:color="auto" w:sz="4" w:space="0"/>
              <w:left w:val="single" w:color="auto" w:sz="4" w:space="0"/>
              <w:bottom w:val="single" w:color="auto" w:sz="4" w:space="0"/>
              <w:right w:val="single" w:color="auto" w:sz="4" w:space="0"/>
            </w:tcBorders>
            <w:vAlign w:val="center"/>
          </w:tcPr>
          <w:p w14:paraId="543A641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361</w:t>
            </w:r>
          </w:p>
        </w:tc>
      </w:tr>
      <w:tr w14:paraId="11D4B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6B931EB2">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13</w:t>
            </w:r>
          </w:p>
        </w:tc>
        <w:tc>
          <w:tcPr>
            <w:tcW w:w="2529" w:type="pct"/>
            <w:tcBorders>
              <w:top w:val="single" w:color="auto" w:sz="4" w:space="0"/>
              <w:left w:val="single" w:color="auto" w:sz="4" w:space="0"/>
              <w:bottom w:val="single" w:color="auto" w:sz="4" w:space="0"/>
              <w:right w:val="single" w:color="auto" w:sz="4" w:space="0"/>
            </w:tcBorders>
            <w:vAlign w:val="center"/>
          </w:tcPr>
          <w:p w14:paraId="029BA650">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主要次级河流水质达标率（%）</w:t>
            </w:r>
          </w:p>
        </w:tc>
        <w:tc>
          <w:tcPr>
            <w:tcW w:w="686" w:type="pct"/>
            <w:tcBorders>
              <w:top w:val="single" w:color="auto" w:sz="4" w:space="0"/>
              <w:left w:val="single" w:color="auto" w:sz="4" w:space="0"/>
              <w:bottom w:val="single" w:color="auto" w:sz="4" w:space="0"/>
              <w:right w:val="single" w:color="auto" w:sz="4" w:space="0"/>
            </w:tcBorders>
            <w:vAlign w:val="center"/>
          </w:tcPr>
          <w:p w14:paraId="00499F16">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61E08BF8">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100</w:t>
            </w:r>
          </w:p>
        </w:tc>
        <w:tc>
          <w:tcPr>
            <w:tcW w:w="679" w:type="pct"/>
            <w:tcBorders>
              <w:top w:val="single" w:color="auto" w:sz="4" w:space="0"/>
              <w:left w:val="single" w:color="auto" w:sz="4" w:space="0"/>
              <w:bottom w:val="single" w:color="auto" w:sz="4" w:space="0"/>
              <w:right w:val="single" w:color="auto" w:sz="4" w:space="0"/>
            </w:tcBorders>
            <w:vAlign w:val="center"/>
          </w:tcPr>
          <w:p w14:paraId="109B6ECE">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100</w:t>
            </w:r>
          </w:p>
        </w:tc>
      </w:tr>
      <w:tr w14:paraId="1A17E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213F5FA5">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14</w:t>
            </w:r>
          </w:p>
        </w:tc>
        <w:tc>
          <w:tcPr>
            <w:tcW w:w="2529" w:type="pct"/>
            <w:tcBorders>
              <w:top w:val="single" w:color="auto" w:sz="4" w:space="0"/>
              <w:left w:val="single" w:color="auto" w:sz="4" w:space="0"/>
              <w:bottom w:val="single" w:color="auto" w:sz="4" w:space="0"/>
              <w:right w:val="single" w:color="auto" w:sz="4" w:space="0"/>
            </w:tcBorders>
            <w:vAlign w:val="center"/>
          </w:tcPr>
          <w:p w14:paraId="207A14CB">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单位地区生产总值二氧化碳排放降低率（%）</w:t>
            </w:r>
          </w:p>
        </w:tc>
        <w:tc>
          <w:tcPr>
            <w:tcW w:w="686" w:type="pct"/>
            <w:tcBorders>
              <w:top w:val="single" w:color="auto" w:sz="4" w:space="0"/>
              <w:left w:val="single" w:color="auto" w:sz="4" w:space="0"/>
              <w:bottom w:val="single" w:color="auto" w:sz="4" w:space="0"/>
              <w:right w:val="single" w:color="auto" w:sz="4" w:space="0"/>
            </w:tcBorders>
            <w:vAlign w:val="center"/>
          </w:tcPr>
          <w:p w14:paraId="17039F3E">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56536DD5">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[16]</w:t>
            </w:r>
          </w:p>
        </w:tc>
        <w:tc>
          <w:tcPr>
            <w:tcW w:w="679" w:type="pct"/>
            <w:tcBorders>
              <w:top w:val="single" w:color="auto" w:sz="4" w:space="0"/>
              <w:left w:val="single" w:color="auto" w:sz="4" w:space="0"/>
              <w:bottom w:val="single" w:color="auto" w:sz="4" w:space="0"/>
              <w:right w:val="single" w:color="auto" w:sz="4" w:space="0"/>
            </w:tcBorders>
            <w:vAlign w:val="center"/>
          </w:tcPr>
          <w:p w14:paraId="07300CCD">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[16]</w:t>
            </w:r>
          </w:p>
        </w:tc>
      </w:tr>
      <w:tr w14:paraId="15B44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vMerge w:val="restart"/>
            <w:tcBorders>
              <w:top w:val="single" w:color="auto" w:sz="4" w:space="0"/>
              <w:left w:val="single" w:color="auto" w:sz="4" w:space="0"/>
              <w:bottom w:val="single" w:color="auto" w:sz="4" w:space="0"/>
              <w:right w:val="single" w:color="auto" w:sz="4" w:space="0"/>
            </w:tcBorders>
            <w:vAlign w:val="center"/>
          </w:tcPr>
          <w:p w14:paraId="01572934">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15</w:t>
            </w:r>
          </w:p>
        </w:tc>
        <w:tc>
          <w:tcPr>
            <w:tcW w:w="2529" w:type="pct"/>
            <w:tcBorders>
              <w:top w:val="single" w:color="auto" w:sz="4" w:space="0"/>
              <w:left w:val="single" w:color="auto" w:sz="4" w:space="0"/>
              <w:bottom w:val="single" w:color="auto" w:sz="4" w:space="0"/>
              <w:right w:val="single" w:color="auto" w:sz="4" w:space="0"/>
            </w:tcBorders>
            <w:vAlign w:val="center"/>
          </w:tcPr>
          <w:p w14:paraId="32A7EE35">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主要污染物排放总量减少率（%）</w:t>
            </w:r>
          </w:p>
        </w:tc>
        <w:tc>
          <w:tcPr>
            <w:tcW w:w="686" w:type="pct"/>
            <w:tcBorders>
              <w:top w:val="single" w:color="auto" w:sz="4" w:space="0"/>
              <w:left w:val="single" w:color="auto" w:sz="4" w:space="0"/>
              <w:bottom w:val="single" w:color="auto" w:sz="4" w:space="0"/>
              <w:right w:val="single" w:color="auto" w:sz="4" w:space="0"/>
            </w:tcBorders>
            <w:vAlign w:val="center"/>
          </w:tcPr>
          <w:p w14:paraId="0192A75C">
            <w:pPr>
              <w:pStyle w:val="11"/>
              <w:overflowPunct w:val="0"/>
              <w:adjustRightInd w:val="0"/>
              <w:snapToGrid w:val="0"/>
              <w:spacing w:after="0" w:line="440" w:lineRule="exact"/>
              <w:ind w:firstLine="0"/>
              <w:jc w:val="center"/>
              <w:rPr>
                <w:rFonts w:eastAsia="方正仿宋_GBK" w:cs="Times New Roman"/>
                <w:sz w:val="28"/>
                <w:szCs w:val="28"/>
              </w:rPr>
            </w:pPr>
          </w:p>
        </w:tc>
        <w:tc>
          <w:tcPr>
            <w:tcW w:w="704" w:type="pct"/>
            <w:tcBorders>
              <w:top w:val="single" w:color="auto" w:sz="4" w:space="0"/>
              <w:left w:val="single" w:color="auto" w:sz="4" w:space="0"/>
              <w:bottom w:val="single" w:color="auto" w:sz="4" w:space="0"/>
              <w:right w:val="single" w:color="auto" w:sz="4" w:space="0"/>
            </w:tcBorders>
            <w:vAlign w:val="center"/>
          </w:tcPr>
          <w:p w14:paraId="79C1DD8A">
            <w:pPr>
              <w:pStyle w:val="11"/>
              <w:overflowPunct w:val="0"/>
              <w:adjustRightInd w:val="0"/>
              <w:snapToGrid w:val="0"/>
              <w:spacing w:after="0" w:line="440" w:lineRule="exact"/>
              <w:ind w:firstLine="0"/>
              <w:jc w:val="center"/>
              <w:rPr>
                <w:rFonts w:eastAsia="方正仿宋_GBK" w:cs="Times New Roman"/>
                <w:sz w:val="28"/>
                <w:szCs w:val="28"/>
              </w:rPr>
            </w:pPr>
          </w:p>
        </w:tc>
        <w:tc>
          <w:tcPr>
            <w:tcW w:w="679" w:type="pct"/>
            <w:tcBorders>
              <w:top w:val="single" w:color="auto" w:sz="4" w:space="0"/>
              <w:left w:val="single" w:color="auto" w:sz="4" w:space="0"/>
              <w:bottom w:val="single" w:color="auto" w:sz="4" w:space="0"/>
              <w:right w:val="single" w:color="auto" w:sz="4" w:space="0"/>
            </w:tcBorders>
            <w:vAlign w:val="center"/>
          </w:tcPr>
          <w:p w14:paraId="107E1142">
            <w:pPr>
              <w:pStyle w:val="11"/>
              <w:overflowPunct w:val="0"/>
              <w:adjustRightInd w:val="0"/>
              <w:snapToGrid w:val="0"/>
              <w:spacing w:after="0" w:line="440" w:lineRule="exact"/>
              <w:ind w:firstLine="0"/>
              <w:rPr>
                <w:rFonts w:eastAsia="方正仿宋_GBK" w:cs="Times New Roman"/>
                <w:sz w:val="28"/>
                <w:szCs w:val="28"/>
              </w:rPr>
            </w:pPr>
          </w:p>
        </w:tc>
      </w:tr>
      <w:tr w14:paraId="08758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416947E8">
            <w:pPr>
              <w:jc w:val="left"/>
              <w:rPr>
                <w:rFonts w:ascii="Times New Roman" w:hAnsi="Times New Roman" w:eastAsia="方正仿宋_GBK" w:cs="Times New Roman"/>
                <w:sz w:val="28"/>
                <w:szCs w:val="28"/>
              </w:rPr>
            </w:pPr>
          </w:p>
        </w:tc>
        <w:tc>
          <w:tcPr>
            <w:tcW w:w="2529" w:type="pct"/>
            <w:tcBorders>
              <w:top w:val="single" w:color="auto" w:sz="4" w:space="0"/>
              <w:left w:val="single" w:color="auto" w:sz="4" w:space="0"/>
              <w:bottom w:val="single" w:color="auto" w:sz="4" w:space="0"/>
              <w:right w:val="single" w:color="auto" w:sz="4" w:space="0"/>
            </w:tcBorders>
            <w:vAlign w:val="center"/>
          </w:tcPr>
          <w:p w14:paraId="53585D71">
            <w:pPr>
              <w:pStyle w:val="11"/>
              <w:overflowPunct w:val="0"/>
              <w:adjustRightInd w:val="0"/>
              <w:snapToGrid w:val="0"/>
              <w:spacing w:after="0" w:line="440" w:lineRule="exact"/>
              <w:ind w:firstLine="560" w:firstLineChars="200"/>
              <w:rPr>
                <w:rFonts w:eastAsia="方正仿宋_GBK" w:cs="Times New Roman"/>
                <w:sz w:val="28"/>
                <w:szCs w:val="28"/>
              </w:rPr>
            </w:pPr>
            <w:r>
              <w:rPr>
                <w:rFonts w:eastAsia="方正仿宋_GBK" w:cs="Times New Roman"/>
                <w:sz w:val="28"/>
                <w:szCs w:val="28"/>
              </w:rPr>
              <w:t>#化学需氧量</w:t>
            </w:r>
          </w:p>
        </w:tc>
        <w:tc>
          <w:tcPr>
            <w:tcW w:w="686" w:type="pct"/>
            <w:tcBorders>
              <w:top w:val="single" w:color="auto" w:sz="4" w:space="0"/>
              <w:left w:val="single" w:color="auto" w:sz="4" w:space="0"/>
              <w:bottom w:val="single" w:color="auto" w:sz="4" w:space="0"/>
              <w:right w:val="single" w:color="auto" w:sz="4" w:space="0"/>
            </w:tcBorders>
            <w:vAlign w:val="center"/>
          </w:tcPr>
          <w:p w14:paraId="68013C9A">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54E04A55">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[6.48]</w:t>
            </w:r>
          </w:p>
        </w:tc>
        <w:tc>
          <w:tcPr>
            <w:tcW w:w="679" w:type="pct"/>
            <w:tcBorders>
              <w:top w:val="single" w:color="auto" w:sz="4" w:space="0"/>
              <w:left w:val="single" w:color="auto" w:sz="4" w:space="0"/>
              <w:bottom w:val="single" w:color="auto" w:sz="4" w:space="0"/>
              <w:right w:val="single" w:color="auto" w:sz="4" w:space="0"/>
            </w:tcBorders>
            <w:vAlign w:val="center"/>
          </w:tcPr>
          <w:p w14:paraId="719BFF3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[6.53]</w:t>
            </w:r>
          </w:p>
        </w:tc>
      </w:tr>
      <w:tr w14:paraId="4750E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12582456">
            <w:pPr>
              <w:jc w:val="left"/>
              <w:rPr>
                <w:rFonts w:ascii="Times New Roman" w:hAnsi="Times New Roman" w:eastAsia="方正仿宋_GBK" w:cs="Times New Roman"/>
                <w:sz w:val="28"/>
                <w:szCs w:val="28"/>
              </w:rPr>
            </w:pPr>
          </w:p>
        </w:tc>
        <w:tc>
          <w:tcPr>
            <w:tcW w:w="2529" w:type="pct"/>
            <w:tcBorders>
              <w:top w:val="single" w:color="auto" w:sz="4" w:space="0"/>
              <w:left w:val="single" w:color="auto" w:sz="4" w:space="0"/>
              <w:bottom w:val="single" w:color="auto" w:sz="4" w:space="0"/>
              <w:right w:val="single" w:color="auto" w:sz="4" w:space="0"/>
            </w:tcBorders>
            <w:vAlign w:val="center"/>
          </w:tcPr>
          <w:p w14:paraId="0CDD2D3F">
            <w:pPr>
              <w:pStyle w:val="11"/>
              <w:overflowPunct w:val="0"/>
              <w:adjustRightInd w:val="0"/>
              <w:snapToGrid w:val="0"/>
              <w:spacing w:after="0" w:line="440" w:lineRule="exact"/>
              <w:ind w:firstLine="560" w:firstLineChars="200"/>
              <w:rPr>
                <w:rFonts w:eastAsia="方正仿宋_GBK" w:cs="Times New Roman"/>
                <w:sz w:val="28"/>
                <w:szCs w:val="28"/>
              </w:rPr>
            </w:pPr>
            <w:r>
              <w:rPr>
                <w:rFonts w:eastAsia="方正仿宋_GBK" w:cs="Times New Roman"/>
                <w:sz w:val="28"/>
                <w:szCs w:val="28"/>
              </w:rPr>
              <w:t>#二氧化硫</w:t>
            </w:r>
          </w:p>
        </w:tc>
        <w:tc>
          <w:tcPr>
            <w:tcW w:w="686" w:type="pct"/>
            <w:tcBorders>
              <w:top w:val="single" w:color="auto" w:sz="4" w:space="0"/>
              <w:left w:val="single" w:color="auto" w:sz="4" w:space="0"/>
              <w:bottom w:val="single" w:color="auto" w:sz="4" w:space="0"/>
              <w:right w:val="single" w:color="auto" w:sz="4" w:space="0"/>
            </w:tcBorders>
            <w:vAlign w:val="center"/>
          </w:tcPr>
          <w:p w14:paraId="2ADB4682">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6996F9DD">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[8.9]</w:t>
            </w:r>
          </w:p>
        </w:tc>
        <w:tc>
          <w:tcPr>
            <w:tcW w:w="679" w:type="pct"/>
            <w:tcBorders>
              <w:top w:val="single" w:color="auto" w:sz="4" w:space="0"/>
              <w:left w:val="single" w:color="auto" w:sz="4" w:space="0"/>
              <w:bottom w:val="single" w:color="auto" w:sz="4" w:space="0"/>
              <w:right w:val="single" w:color="auto" w:sz="4" w:space="0"/>
            </w:tcBorders>
            <w:vAlign w:val="center"/>
          </w:tcPr>
          <w:p w14:paraId="3F669F68">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[17.4]</w:t>
            </w:r>
          </w:p>
        </w:tc>
      </w:tr>
      <w:tr w14:paraId="4235A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2A25BBA0">
            <w:pPr>
              <w:jc w:val="left"/>
              <w:rPr>
                <w:rFonts w:ascii="Times New Roman" w:hAnsi="Times New Roman" w:eastAsia="方正仿宋_GBK" w:cs="Times New Roman"/>
                <w:sz w:val="28"/>
                <w:szCs w:val="28"/>
              </w:rPr>
            </w:pPr>
          </w:p>
        </w:tc>
        <w:tc>
          <w:tcPr>
            <w:tcW w:w="2529" w:type="pct"/>
            <w:tcBorders>
              <w:top w:val="single" w:color="auto" w:sz="4" w:space="0"/>
              <w:left w:val="single" w:color="auto" w:sz="4" w:space="0"/>
              <w:bottom w:val="single" w:color="auto" w:sz="4" w:space="0"/>
              <w:right w:val="single" w:color="auto" w:sz="4" w:space="0"/>
            </w:tcBorders>
            <w:vAlign w:val="center"/>
          </w:tcPr>
          <w:p w14:paraId="6C7336DF">
            <w:pPr>
              <w:pStyle w:val="11"/>
              <w:overflowPunct w:val="0"/>
              <w:adjustRightInd w:val="0"/>
              <w:snapToGrid w:val="0"/>
              <w:spacing w:after="0" w:line="440" w:lineRule="exact"/>
              <w:ind w:firstLine="560" w:firstLineChars="200"/>
              <w:rPr>
                <w:rFonts w:eastAsia="方正仿宋_GBK" w:cs="Times New Roman"/>
                <w:sz w:val="28"/>
                <w:szCs w:val="28"/>
              </w:rPr>
            </w:pPr>
            <w:r>
              <w:rPr>
                <w:rFonts w:eastAsia="方正仿宋_GBK" w:cs="Times New Roman"/>
                <w:sz w:val="28"/>
                <w:szCs w:val="28"/>
              </w:rPr>
              <w:t>#氨氮</w:t>
            </w:r>
          </w:p>
        </w:tc>
        <w:tc>
          <w:tcPr>
            <w:tcW w:w="686" w:type="pct"/>
            <w:tcBorders>
              <w:top w:val="single" w:color="auto" w:sz="4" w:space="0"/>
              <w:left w:val="single" w:color="auto" w:sz="4" w:space="0"/>
              <w:bottom w:val="single" w:color="auto" w:sz="4" w:space="0"/>
              <w:right w:val="single" w:color="auto" w:sz="4" w:space="0"/>
            </w:tcBorders>
            <w:vAlign w:val="center"/>
          </w:tcPr>
          <w:p w14:paraId="7F1F295B">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550077FB">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[3.63]</w:t>
            </w:r>
          </w:p>
        </w:tc>
        <w:tc>
          <w:tcPr>
            <w:tcW w:w="679" w:type="pct"/>
            <w:tcBorders>
              <w:top w:val="single" w:color="auto" w:sz="4" w:space="0"/>
              <w:left w:val="single" w:color="auto" w:sz="4" w:space="0"/>
              <w:bottom w:val="single" w:color="auto" w:sz="4" w:space="0"/>
              <w:right w:val="single" w:color="auto" w:sz="4" w:space="0"/>
            </w:tcBorders>
            <w:vAlign w:val="center"/>
          </w:tcPr>
          <w:p w14:paraId="4C59F71A">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[3.89]</w:t>
            </w:r>
          </w:p>
        </w:tc>
      </w:tr>
      <w:tr w14:paraId="6B6B4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5C9CEFCD">
            <w:pPr>
              <w:jc w:val="left"/>
              <w:rPr>
                <w:rFonts w:ascii="Times New Roman" w:hAnsi="Times New Roman" w:eastAsia="方正仿宋_GBK" w:cs="Times New Roman"/>
                <w:sz w:val="28"/>
                <w:szCs w:val="28"/>
              </w:rPr>
            </w:pPr>
          </w:p>
        </w:tc>
        <w:tc>
          <w:tcPr>
            <w:tcW w:w="2529" w:type="pct"/>
            <w:tcBorders>
              <w:top w:val="single" w:color="auto" w:sz="4" w:space="0"/>
              <w:left w:val="single" w:color="auto" w:sz="4" w:space="0"/>
              <w:bottom w:val="single" w:color="auto" w:sz="4" w:space="0"/>
              <w:right w:val="single" w:color="auto" w:sz="4" w:space="0"/>
            </w:tcBorders>
            <w:vAlign w:val="center"/>
          </w:tcPr>
          <w:p w14:paraId="193995E5">
            <w:pPr>
              <w:pStyle w:val="11"/>
              <w:overflowPunct w:val="0"/>
              <w:adjustRightInd w:val="0"/>
              <w:snapToGrid w:val="0"/>
              <w:spacing w:after="0" w:line="440" w:lineRule="exact"/>
              <w:ind w:firstLine="560" w:firstLineChars="200"/>
              <w:rPr>
                <w:rFonts w:eastAsia="方正仿宋_GBK" w:cs="Times New Roman"/>
                <w:sz w:val="28"/>
                <w:szCs w:val="28"/>
              </w:rPr>
            </w:pPr>
            <w:r>
              <w:rPr>
                <w:rFonts w:eastAsia="方正仿宋_GBK" w:cs="Times New Roman"/>
                <w:sz w:val="28"/>
                <w:szCs w:val="28"/>
              </w:rPr>
              <w:t>#氮氧化物</w:t>
            </w:r>
          </w:p>
        </w:tc>
        <w:tc>
          <w:tcPr>
            <w:tcW w:w="686" w:type="pct"/>
            <w:tcBorders>
              <w:top w:val="single" w:color="auto" w:sz="4" w:space="0"/>
              <w:left w:val="single" w:color="auto" w:sz="4" w:space="0"/>
              <w:bottom w:val="single" w:color="auto" w:sz="4" w:space="0"/>
              <w:right w:val="single" w:color="auto" w:sz="4" w:space="0"/>
            </w:tcBorders>
            <w:vAlign w:val="center"/>
          </w:tcPr>
          <w:p w14:paraId="47704F92">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75C5A27B">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[19.8]</w:t>
            </w:r>
          </w:p>
        </w:tc>
        <w:tc>
          <w:tcPr>
            <w:tcW w:w="679" w:type="pct"/>
            <w:tcBorders>
              <w:top w:val="single" w:color="auto" w:sz="4" w:space="0"/>
              <w:left w:val="single" w:color="auto" w:sz="4" w:space="0"/>
              <w:bottom w:val="single" w:color="auto" w:sz="4" w:space="0"/>
              <w:right w:val="single" w:color="auto" w:sz="4" w:space="0"/>
            </w:tcBorders>
            <w:vAlign w:val="center"/>
          </w:tcPr>
          <w:p w14:paraId="3DA2AB25">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[19.8]</w:t>
            </w:r>
          </w:p>
        </w:tc>
      </w:tr>
      <w:tr w14:paraId="73829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2318637C">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16</w:t>
            </w:r>
          </w:p>
        </w:tc>
        <w:tc>
          <w:tcPr>
            <w:tcW w:w="2529" w:type="pct"/>
            <w:tcBorders>
              <w:top w:val="single" w:color="auto" w:sz="4" w:space="0"/>
              <w:left w:val="single" w:color="auto" w:sz="4" w:space="0"/>
              <w:bottom w:val="single" w:color="auto" w:sz="4" w:space="0"/>
              <w:right w:val="single" w:color="auto" w:sz="4" w:space="0"/>
            </w:tcBorders>
            <w:vAlign w:val="center"/>
          </w:tcPr>
          <w:p w14:paraId="225F6E28">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单位地区生产总值能耗减低率（%）</w:t>
            </w:r>
          </w:p>
        </w:tc>
        <w:tc>
          <w:tcPr>
            <w:tcW w:w="686" w:type="pct"/>
            <w:tcBorders>
              <w:top w:val="single" w:color="auto" w:sz="4" w:space="0"/>
              <w:left w:val="single" w:color="auto" w:sz="4" w:space="0"/>
              <w:bottom w:val="single" w:color="auto" w:sz="4" w:space="0"/>
              <w:right w:val="single" w:color="auto" w:sz="4" w:space="0"/>
            </w:tcBorders>
            <w:vAlign w:val="center"/>
          </w:tcPr>
          <w:p w14:paraId="27D7AC5F">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3A2C30F1">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[15]</w:t>
            </w:r>
          </w:p>
        </w:tc>
        <w:tc>
          <w:tcPr>
            <w:tcW w:w="679" w:type="pct"/>
            <w:tcBorders>
              <w:top w:val="single" w:color="auto" w:sz="4" w:space="0"/>
              <w:left w:val="single" w:color="auto" w:sz="4" w:space="0"/>
              <w:bottom w:val="single" w:color="auto" w:sz="4" w:space="0"/>
              <w:right w:val="single" w:color="auto" w:sz="4" w:space="0"/>
            </w:tcBorders>
            <w:vAlign w:val="center"/>
          </w:tcPr>
          <w:p w14:paraId="0EC9B492">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[15]</w:t>
            </w:r>
          </w:p>
        </w:tc>
      </w:tr>
      <w:tr w14:paraId="7BD70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5640A71C">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17</w:t>
            </w:r>
          </w:p>
        </w:tc>
        <w:tc>
          <w:tcPr>
            <w:tcW w:w="2529" w:type="pct"/>
            <w:tcBorders>
              <w:top w:val="single" w:color="auto" w:sz="4" w:space="0"/>
              <w:left w:val="single" w:color="auto" w:sz="4" w:space="0"/>
              <w:bottom w:val="single" w:color="auto" w:sz="4" w:space="0"/>
              <w:right w:val="single" w:color="auto" w:sz="4" w:space="0"/>
            </w:tcBorders>
            <w:vAlign w:val="center"/>
          </w:tcPr>
          <w:p w14:paraId="2D87CC76">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单位地区生产总值用水量降低（%）</w:t>
            </w:r>
          </w:p>
        </w:tc>
        <w:tc>
          <w:tcPr>
            <w:tcW w:w="686" w:type="pct"/>
            <w:tcBorders>
              <w:top w:val="single" w:color="auto" w:sz="4" w:space="0"/>
              <w:left w:val="single" w:color="auto" w:sz="4" w:space="0"/>
              <w:bottom w:val="single" w:color="auto" w:sz="4" w:space="0"/>
              <w:right w:val="single" w:color="auto" w:sz="4" w:space="0"/>
            </w:tcBorders>
            <w:vAlign w:val="center"/>
          </w:tcPr>
          <w:p w14:paraId="7D19D011">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28B25AD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[10]</w:t>
            </w:r>
          </w:p>
        </w:tc>
        <w:tc>
          <w:tcPr>
            <w:tcW w:w="679" w:type="pct"/>
            <w:tcBorders>
              <w:top w:val="single" w:color="auto" w:sz="4" w:space="0"/>
              <w:left w:val="single" w:color="auto" w:sz="4" w:space="0"/>
              <w:bottom w:val="single" w:color="auto" w:sz="4" w:space="0"/>
              <w:right w:val="single" w:color="auto" w:sz="4" w:space="0"/>
            </w:tcBorders>
            <w:vAlign w:val="center"/>
          </w:tcPr>
          <w:p w14:paraId="18C7460A">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[25]</w:t>
            </w:r>
          </w:p>
        </w:tc>
      </w:tr>
      <w:tr w14:paraId="015E6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6D21B8E0">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18</w:t>
            </w:r>
          </w:p>
        </w:tc>
        <w:tc>
          <w:tcPr>
            <w:tcW w:w="2529" w:type="pct"/>
            <w:tcBorders>
              <w:top w:val="single" w:color="auto" w:sz="4" w:space="0"/>
              <w:left w:val="single" w:color="auto" w:sz="4" w:space="0"/>
              <w:bottom w:val="single" w:color="auto" w:sz="4" w:space="0"/>
              <w:right w:val="single" w:color="auto" w:sz="4" w:space="0"/>
            </w:tcBorders>
            <w:vAlign w:val="center"/>
          </w:tcPr>
          <w:p w14:paraId="600BF5AA">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净增建设用地总量（公顷）</w:t>
            </w:r>
          </w:p>
        </w:tc>
        <w:tc>
          <w:tcPr>
            <w:tcW w:w="686" w:type="pct"/>
            <w:tcBorders>
              <w:top w:val="single" w:color="auto" w:sz="4" w:space="0"/>
              <w:left w:val="single" w:color="auto" w:sz="4" w:space="0"/>
              <w:bottom w:val="single" w:color="auto" w:sz="4" w:space="0"/>
              <w:right w:val="single" w:color="auto" w:sz="4" w:space="0"/>
            </w:tcBorders>
            <w:vAlign w:val="center"/>
          </w:tcPr>
          <w:p w14:paraId="4E1681DD">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753076DD">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[10]</w:t>
            </w:r>
          </w:p>
        </w:tc>
        <w:tc>
          <w:tcPr>
            <w:tcW w:w="679" w:type="pct"/>
            <w:tcBorders>
              <w:top w:val="single" w:color="auto" w:sz="4" w:space="0"/>
              <w:left w:val="single" w:color="auto" w:sz="4" w:space="0"/>
              <w:bottom w:val="single" w:color="auto" w:sz="4" w:space="0"/>
              <w:right w:val="single" w:color="auto" w:sz="4" w:space="0"/>
            </w:tcBorders>
            <w:vAlign w:val="center"/>
          </w:tcPr>
          <w:p w14:paraId="5280FA64">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[9]</w:t>
            </w:r>
          </w:p>
        </w:tc>
      </w:tr>
      <w:tr w14:paraId="6B0F5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74591052">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19</w:t>
            </w:r>
          </w:p>
        </w:tc>
        <w:tc>
          <w:tcPr>
            <w:tcW w:w="2529" w:type="pct"/>
            <w:tcBorders>
              <w:top w:val="single" w:color="auto" w:sz="4" w:space="0"/>
              <w:left w:val="single" w:color="auto" w:sz="4" w:space="0"/>
              <w:bottom w:val="single" w:color="auto" w:sz="4" w:space="0"/>
              <w:right w:val="single" w:color="auto" w:sz="4" w:space="0"/>
            </w:tcBorders>
            <w:vAlign w:val="center"/>
          </w:tcPr>
          <w:p w14:paraId="1DF2F740">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招商引资到位资金</w:t>
            </w:r>
          </w:p>
        </w:tc>
        <w:tc>
          <w:tcPr>
            <w:tcW w:w="686" w:type="pct"/>
            <w:tcBorders>
              <w:top w:val="single" w:color="auto" w:sz="4" w:space="0"/>
              <w:left w:val="single" w:color="auto" w:sz="4" w:space="0"/>
              <w:bottom w:val="single" w:color="auto" w:sz="4" w:space="0"/>
              <w:right w:val="single" w:color="auto" w:sz="4" w:space="0"/>
            </w:tcBorders>
            <w:vAlign w:val="center"/>
          </w:tcPr>
          <w:p w14:paraId="5A7E0BC6">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6A249492">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25</w:t>
            </w:r>
          </w:p>
        </w:tc>
        <w:tc>
          <w:tcPr>
            <w:tcW w:w="679" w:type="pct"/>
            <w:tcBorders>
              <w:top w:val="single" w:color="auto" w:sz="4" w:space="0"/>
              <w:left w:val="single" w:color="auto" w:sz="4" w:space="0"/>
              <w:bottom w:val="single" w:color="auto" w:sz="4" w:space="0"/>
              <w:right w:val="single" w:color="auto" w:sz="4" w:space="0"/>
            </w:tcBorders>
            <w:vAlign w:val="center"/>
          </w:tcPr>
          <w:p w14:paraId="41ADAC13">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18.2</w:t>
            </w:r>
          </w:p>
        </w:tc>
      </w:tr>
      <w:tr w14:paraId="78EB7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5968B781">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20</w:t>
            </w:r>
          </w:p>
        </w:tc>
        <w:tc>
          <w:tcPr>
            <w:tcW w:w="2529" w:type="pct"/>
            <w:tcBorders>
              <w:top w:val="single" w:color="auto" w:sz="4" w:space="0"/>
              <w:left w:val="single" w:color="auto" w:sz="4" w:space="0"/>
              <w:bottom w:val="single" w:color="auto" w:sz="4" w:space="0"/>
              <w:right w:val="single" w:color="auto" w:sz="4" w:space="0"/>
            </w:tcBorders>
            <w:vAlign w:val="center"/>
          </w:tcPr>
          <w:p w14:paraId="50D8C749">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农村贫困人口脱贫（人）</w:t>
            </w:r>
          </w:p>
        </w:tc>
        <w:tc>
          <w:tcPr>
            <w:tcW w:w="686" w:type="pct"/>
            <w:tcBorders>
              <w:top w:val="single" w:color="auto" w:sz="4" w:space="0"/>
              <w:left w:val="single" w:color="auto" w:sz="4" w:space="0"/>
              <w:bottom w:val="single" w:color="auto" w:sz="4" w:space="0"/>
              <w:right w:val="single" w:color="auto" w:sz="4" w:space="0"/>
            </w:tcBorders>
            <w:vAlign w:val="center"/>
          </w:tcPr>
          <w:p w14:paraId="41BC671A">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5CD6A2DF">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[24049]</w:t>
            </w:r>
          </w:p>
        </w:tc>
        <w:tc>
          <w:tcPr>
            <w:tcW w:w="679" w:type="pct"/>
            <w:tcBorders>
              <w:top w:val="single" w:color="auto" w:sz="4" w:space="0"/>
              <w:left w:val="single" w:color="auto" w:sz="4" w:space="0"/>
              <w:bottom w:val="single" w:color="auto" w:sz="4" w:space="0"/>
              <w:right w:val="single" w:color="auto" w:sz="4" w:space="0"/>
            </w:tcBorders>
            <w:vAlign w:val="center"/>
          </w:tcPr>
          <w:p w14:paraId="1FEF6FA1">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[44719]</w:t>
            </w:r>
          </w:p>
        </w:tc>
      </w:tr>
      <w:tr w14:paraId="4A239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4CD877AC">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21</w:t>
            </w:r>
          </w:p>
        </w:tc>
        <w:tc>
          <w:tcPr>
            <w:tcW w:w="2529" w:type="pct"/>
            <w:tcBorders>
              <w:top w:val="single" w:color="auto" w:sz="4" w:space="0"/>
              <w:left w:val="single" w:color="auto" w:sz="4" w:space="0"/>
              <w:bottom w:val="single" w:color="auto" w:sz="4" w:space="0"/>
              <w:right w:val="single" w:color="auto" w:sz="4" w:space="0"/>
            </w:tcBorders>
            <w:vAlign w:val="center"/>
          </w:tcPr>
          <w:p w14:paraId="2D7BB13B">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城镇新增就业人数（人）</w:t>
            </w:r>
          </w:p>
        </w:tc>
        <w:tc>
          <w:tcPr>
            <w:tcW w:w="686" w:type="pct"/>
            <w:tcBorders>
              <w:top w:val="single" w:color="auto" w:sz="4" w:space="0"/>
              <w:left w:val="single" w:color="auto" w:sz="4" w:space="0"/>
              <w:bottom w:val="single" w:color="auto" w:sz="4" w:space="0"/>
              <w:right w:val="single" w:color="auto" w:sz="4" w:space="0"/>
            </w:tcBorders>
            <w:vAlign w:val="center"/>
          </w:tcPr>
          <w:p w14:paraId="36CD370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245DA8B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[8000]</w:t>
            </w:r>
          </w:p>
        </w:tc>
        <w:tc>
          <w:tcPr>
            <w:tcW w:w="679" w:type="pct"/>
            <w:tcBorders>
              <w:top w:val="single" w:color="auto" w:sz="4" w:space="0"/>
              <w:left w:val="single" w:color="auto" w:sz="4" w:space="0"/>
              <w:bottom w:val="single" w:color="auto" w:sz="4" w:space="0"/>
              <w:right w:val="single" w:color="auto" w:sz="4" w:space="0"/>
            </w:tcBorders>
            <w:vAlign w:val="center"/>
          </w:tcPr>
          <w:p w14:paraId="58CE22C5">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[14396]</w:t>
            </w:r>
          </w:p>
        </w:tc>
      </w:tr>
      <w:tr w14:paraId="24F6B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2013F7F1">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22</w:t>
            </w:r>
          </w:p>
        </w:tc>
        <w:tc>
          <w:tcPr>
            <w:tcW w:w="2529" w:type="pct"/>
            <w:tcBorders>
              <w:top w:val="single" w:color="auto" w:sz="4" w:space="0"/>
              <w:left w:val="single" w:color="auto" w:sz="4" w:space="0"/>
              <w:bottom w:val="single" w:color="auto" w:sz="4" w:space="0"/>
              <w:right w:val="single" w:color="auto" w:sz="4" w:space="0"/>
            </w:tcBorders>
            <w:vAlign w:val="center"/>
          </w:tcPr>
          <w:p w14:paraId="3516A11F">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劳动年龄人口平均受教育年限（年）</w:t>
            </w:r>
          </w:p>
        </w:tc>
        <w:tc>
          <w:tcPr>
            <w:tcW w:w="686" w:type="pct"/>
            <w:tcBorders>
              <w:top w:val="single" w:color="auto" w:sz="4" w:space="0"/>
              <w:left w:val="single" w:color="auto" w:sz="4" w:space="0"/>
              <w:bottom w:val="single" w:color="auto" w:sz="4" w:space="0"/>
              <w:right w:val="single" w:color="auto" w:sz="4" w:space="0"/>
            </w:tcBorders>
            <w:vAlign w:val="center"/>
          </w:tcPr>
          <w:p w14:paraId="63230FCE">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0DF9CA6F">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12</w:t>
            </w:r>
          </w:p>
        </w:tc>
        <w:tc>
          <w:tcPr>
            <w:tcW w:w="679" w:type="pct"/>
            <w:tcBorders>
              <w:top w:val="single" w:color="auto" w:sz="4" w:space="0"/>
              <w:left w:val="single" w:color="auto" w:sz="4" w:space="0"/>
              <w:bottom w:val="single" w:color="auto" w:sz="4" w:space="0"/>
              <w:right w:val="single" w:color="auto" w:sz="4" w:space="0"/>
            </w:tcBorders>
            <w:vAlign w:val="center"/>
          </w:tcPr>
          <w:p w14:paraId="68C62CEA">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11.3</w:t>
            </w:r>
          </w:p>
        </w:tc>
      </w:tr>
      <w:tr w14:paraId="18CC0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1C006129">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23</w:t>
            </w:r>
          </w:p>
        </w:tc>
        <w:tc>
          <w:tcPr>
            <w:tcW w:w="2529" w:type="pct"/>
            <w:tcBorders>
              <w:top w:val="single" w:color="auto" w:sz="4" w:space="0"/>
              <w:left w:val="single" w:color="auto" w:sz="4" w:space="0"/>
              <w:bottom w:val="single" w:color="auto" w:sz="4" w:space="0"/>
              <w:right w:val="single" w:color="auto" w:sz="4" w:space="0"/>
            </w:tcBorders>
            <w:vAlign w:val="center"/>
          </w:tcPr>
          <w:p w14:paraId="6A990B1B">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人口平均预期寿命（岁）</w:t>
            </w:r>
          </w:p>
        </w:tc>
        <w:tc>
          <w:tcPr>
            <w:tcW w:w="686" w:type="pct"/>
            <w:tcBorders>
              <w:top w:val="single" w:color="auto" w:sz="4" w:space="0"/>
              <w:left w:val="single" w:color="auto" w:sz="4" w:space="0"/>
              <w:bottom w:val="single" w:color="auto" w:sz="4" w:space="0"/>
              <w:right w:val="single" w:color="auto" w:sz="4" w:space="0"/>
            </w:tcBorders>
            <w:vAlign w:val="center"/>
          </w:tcPr>
          <w:p w14:paraId="238F4EFF">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预期性</w:t>
            </w:r>
          </w:p>
        </w:tc>
        <w:tc>
          <w:tcPr>
            <w:tcW w:w="704" w:type="pct"/>
            <w:tcBorders>
              <w:top w:val="single" w:color="auto" w:sz="4" w:space="0"/>
              <w:left w:val="single" w:color="auto" w:sz="4" w:space="0"/>
              <w:bottom w:val="single" w:color="auto" w:sz="4" w:space="0"/>
              <w:right w:val="single" w:color="auto" w:sz="4" w:space="0"/>
            </w:tcBorders>
            <w:vAlign w:val="center"/>
          </w:tcPr>
          <w:p w14:paraId="2438863B">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76</w:t>
            </w:r>
          </w:p>
        </w:tc>
        <w:tc>
          <w:tcPr>
            <w:tcW w:w="679" w:type="pct"/>
            <w:tcBorders>
              <w:top w:val="single" w:color="auto" w:sz="4" w:space="0"/>
              <w:left w:val="single" w:color="auto" w:sz="4" w:space="0"/>
              <w:bottom w:val="single" w:color="auto" w:sz="4" w:space="0"/>
              <w:right w:val="single" w:color="auto" w:sz="4" w:space="0"/>
            </w:tcBorders>
            <w:vAlign w:val="center"/>
          </w:tcPr>
          <w:p w14:paraId="4C4AD785">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76.5</w:t>
            </w:r>
          </w:p>
        </w:tc>
      </w:tr>
      <w:tr w14:paraId="28006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0" w:type="pct"/>
            <w:tcBorders>
              <w:top w:val="single" w:color="auto" w:sz="4" w:space="0"/>
              <w:left w:val="single" w:color="auto" w:sz="4" w:space="0"/>
              <w:bottom w:val="single" w:color="auto" w:sz="4" w:space="0"/>
              <w:right w:val="single" w:color="auto" w:sz="4" w:space="0"/>
            </w:tcBorders>
            <w:vAlign w:val="center"/>
          </w:tcPr>
          <w:p w14:paraId="250D1DA7">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24</w:t>
            </w:r>
          </w:p>
        </w:tc>
        <w:tc>
          <w:tcPr>
            <w:tcW w:w="2529" w:type="pct"/>
            <w:tcBorders>
              <w:top w:val="single" w:color="auto" w:sz="4" w:space="0"/>
              <w:left w:val="single" w:color="auto" w:sz="4" w:space="0"/>
              <w:bottom w:val="single" w:color="auto" w:sz="4" w:space="0"/>
              <w:right w:val="single" w:color="auto" w:sz="4" w:space="0"/>
            </w:tcBorders>
            <w:vAlign w:val="center"/>
          </w:tcPr>
          <w:p w14:paraId="0036BE98">
            <w:pPr>
              <w:pStyle w:val="11"/>
              <w:overflowPunct w:val="0"/>
              <w:adjustRightInd w:val="0"/>
              <w:snapToGrid w:val="0"/>
              <w:spacing w:after="0" w:line="440" w:lineRule="exact"/>
              <w:ind w:firstLine="0"/>
              <w:rPr>
                <w:rFonts w:eastAsia="方正仿宋_GBK" w:cs="Times New Roman"/>
                <w:sz w:val="28"/>
                <w:szCs w:val="28"/>
              </w:rPr>
            </w:pPr>
            <w:r>
              <w:rPr>
                <w:rFonts w:eastAsia="方正仿宋_GBK" w:cs="Times New Roman"/>
                <w:sz w:val="28"/>
                <w:szCs w:val="28"/>
              </w:rPr>
              <w:t>城镇常住人口住房保障覆盖率</w:t>
            </w:r>
          </w:p>
        </w:tc>
        <w:tc>
          <w:tcPr>
            <w:tcW w:w="686" w:type="pct"/>
            <w:tcBorders>
              <w:top w:val="single" w:color="auto" w:sz="4" w:space="0"/>
              <w:left w:val="single" w:color="auto" w:sz="4" w:space="0"/>
              <w:bottom w:val="single" w:color="auto" w:sz="4" w:space="0"/>
              <w:right w:val="single" w:color="auto" w:sz="4" w:space="0"/>
            </w:tcBorders>
            <w:vAlign w:val="center"/>
          </w:tcPr>
          <w:p w14:paraId="758CA3C3">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约束性</w:t>
            </w:r>
          </w:p>
        </w:tc>
        <w:tc>
          <w:tcPr>
            <w:tcW w:w="704" w:type="pct"/>
            <w:tcBorders>
              <w:top w:val="single" w:color="auto" w:sz="4" w:space="0"/>
              <w:left w:val="single" w:color="auto" w:sz="4" w:space="0"/>
              <w:bottom w:val="single" w:color="auto" w:sz="4" w:space="0"/>
              <w:right w:val="single" w:color="auto" w:sz="4" w:space="0"/>
            </w:tcBorders>
            <w:vAlign w:val="center"/>
          </w:tcPr>
          <w:p w14:paraId="317B1ED4">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20</w:t>
            </w:r>
          </w:p>
        </w:tc>
        <w:tc>
          <w:tcPr>
            <w:tcW w:w="679" w:type="pct"/>
            <w:tcBorders>
              <w:top w:val="single" w:color="auto" w:sz="4" w:space="0"/>
              <w:left w:val="single" w:color="auto" w:sz="4" w:space="0"/>
              <w:bottom w:val="single" w:color="auto" w:sz="4" w:space="0"/>
              <w:right w:val="single" w:color="auto" w:sz="4" w:space="0"/>
            </w:tcBorders>
            <w:vAlign w:val="center"/>
          </w:tcPr>
          <w:p w14:paraId="018BF653">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20</w:t>
            </w:r>
          </w:p>
        </w:tc>
      </w:tr>
    </w:tbl>
    <w:p w14:paraId="67791342">
      <w:pPr>
        <w:pStyle w:val="12"/>
        <w:overflowPunct w:val="0"/>
        <w:adjustRightInd w:val="0"/>
        <w:snapToGrid w:val="0"/>
        <w:spacing w:line="400" w:lineRule="exact"/>
        <w:ind w:left="210" w:leftChars="0"/>
        <w:rPr>
          <w:rFonts w:ascii="Times New Roman" w:hAnsi="Times New Roman" w:eastAsia="方正黑体_GBK" w:cs="Times New Roman"/>
          <w:sz w:val="24"/>
          <w:szCs w:val="24"/>
        </w:rPr>
      </w:pPr>
      <w:r>
        <w:rPr>
          <w:rFonts w:ascii="Times New Roman" w:hAnsi="Times New Roman" w:eastAsia="方正黑体_GBK" w:cs="Times New Roman"/>
          <w:sz w:val="24"/>
          <w:szCs w:val="24"/>
        </w:rPr>
        <w:t>注明：带*为规划期平均数，带[  ]为五年累积数，未带任何符号的为年度数据。</w:t>
      </w:r>
    </w:p>
    <w:p w14:paraId="0DFC5C13">
      <w:pPr>
        <w:pStyle w:val="11"/>
        <w:overflowPunct w:val="0"/>
        <w:adjustRightInd w:val="0"/>
        <w:snapToGrid w:val="0"/>
        <w:spacing w:after="0" w:line="560" w:lineRule="exact"/>
        <w:ind w:firstLine="560" w:firstLineChars="200"/>
        <w:jc w:val="center"/>
        <w:rPr>
          <w:rFonts w:eastAsia="方正黑体_GBK" w:cs="Times New Roman"/>
          <w:bCs/>
          <w:sz w:val="28"/>
          <w:szCs w:val="28"/>
        </w:rPr>
      </w:pPr>
    </w:p>
    <w:p w14:paraId="32334247">
      <w:pPr>
        <w:pStyle w:val="11"/>
        <w:overflowPunct w:val="0"/>
        <w:adjustRightInd w:val="0"/>
        <w:snapToGrid w:val="0"/>
        <w:spacing w:after="0" w:line="560" w:lineRule="exact"/>
        <w:ind w:firstLine="560" w:firstLineChars="200"/>
        <w:jc w:val="center"/>
        <w:rPr>
          <w:rFonts w:eastAsia="方正黑体_GBK" w:cs="Times New Roman"/>
          <w:bCs/>
          <w:sz w:val="28"/>
          <w:szCs w:val="28"/>
        </w:rPr>
      </w:pPr>
    </w:p>
    <w:p w14:paraId="25D492FF">
      <w:pPr>
        <w:pStyle w:val="11"/>
        <w:overflowPunct w:val="0"/>
        <w:adjustRightInd w:val="0"/>
        <w:snapToGrid w:val="0"/>
        <w:spacing w:after="0" w:line="560" w:lineRule="exact"/>
        <w:ind w:firstLine="560" w:firstLineChars="200"/>
        <w:jc w:val="center"/>
        <w:rPr>
          <w:rFonts w:eastAsia="方正黑体_GBK" w:cs="Times New Roman"/>
          <w:bCs/>
          <w:sz w:val="28"/>
          <w:szCs w:val="28"/>
        </w:rPr>
      </w:pPr>
    </w:p>
    <w:p w14:paraId="1AA11B03">
      <w:pPr>
        <w:pStyle w:val="11"/>
        <w:overflowPunct w:val="0"/>
        <w:adjustRightInd w:val="0"/>
        <w:snapToGrid w:val="0"/>
        <w:spacing w:after="0" w:line="560" w:lineRule="exact"/>
        <w:ind w:firstLine="560" w:firstLineChars="200"/>
        <w:jc w:val="center"/>
        <w:rPr>
          <w:rFonts w:eastAsia="方正黑体_GBK" w:cs="Times New Roman"/>
          <w:bCs/>
          <w:sz w:val="28"/>
          <w:szCs w:val="28"/>
        </w:rPr>
      </w:pPr>
    </w:p>
    <w:p w14:paraId="3A23A4A1">
      <w:pPr>
        <w:pStyle w:val="11"/>
        <w:overflowPunct w:val="0"/>
        <w:adjustRightInd w:val="0"/>
        <w:snapToGrid w:val="0"/>
        <w:spacing w:after="0" w:line="560" w:lineRule="exact"/>
        <w:ind w:firstLine="560" w:firstLineChars="200"/>
        <w:jc w:val="center"/>
        <w:rPr>
          <w:rFonts w:eastAsia="方正黑体_GBK" w:cs="Times New Roman"/>
          <w:bCs/>
          <w:sz w:val="28"/>
          <w:szCs w:val="28"/>
        </w:rPr>
      </w:pPr>
    </w:p>
    <w:p w14:paraId="1A55A89B">
      <w:pPr>
        <w:pStyle w:val="11"/>
        <w:overflowPunct w:val="0"/>
        <w:adjustRightInd w:val="0"/>
        <w:snapToGrid w:val="0"/>
        <w:spacing w:after="0" w:line="560" w:lineRule="exact"/>
        <w:ind w:firstLine="560" w:firstLineChars="200"/>
        <w:jc w:val="center"/>
        <w:rPr>
          <w:rFonts w:eastAsia="方正黑体_GBK" w:cs="Times New Roman"/>
          <w:bCs/>
          <w:sz w:val="28"/>
          <w:szCs w:val="28"/>
        </w:rPr>
      </w:pPr>
    </w:p>
    <w:p w14:paraId="2B1E8268">
      <w:pPr>
        <w:pStyle w:val="11"/>
        <w:overflowPunct w:val="0"/>
        <w:adjustRightInd w:val="0"/>
        <w:snapToGrid w:val="0"/>
        <w:spacing w:after="0" w:line="560" w:lineRule="exact"/>
        <w:ind w:firstLine="560" w:firstLineChars="200"/>
        <w:jc w:val="center"/>
        <w:rPr>
          <w:rFonts w:eastAsia="方正黑体_GBK" w:cs="Times New Roman"/>
          <w:bCs/>
          <w:sz w:val="28"/>
          <w:szCs w:val="28"/>
        </w:rPr>
      </w:pPr>
    </w:p>
    <w:p w14:paraId="3EC0A95A">
      <w:pPr>
        <w:pStyle w:val="11"/>
        <w:overflowPunct w:val="0"/>
        <w:adjustRightInd w:val="0"/>
        <w:snapToGrid w:val="0"/>
        <w:spacing w:after="0" w:line="560" w:lineRule="exact"/>
        <w:ind w:firstLine="560" w:firstLineChars="200"/>
        <w:jc w:val="center"/>
        <w:rPr>
          <w:rFonts w:eastAsia="方正黑体_GBK" w:cs="Times New Roman"/>
          <w:bCs/>
          <w:sz w:val="28"/>
          <w:szCs w:val="28"/>
        </w:rPr>
      </w:pPr>
    </w:p>
    <w:p w14:paraId="2F998D7A">
      <w:pPr>
        <w:pStyle w:val="11"/>
        <w:overflowPunct w:val="0"/>
        <w:adjustRightInd w:val="0"/>
        <w:snapToGrid w:val="0"/>
        <w:spacing w:after="0" w:line="560" w:lineRule="exact"/>
        <w:ind w:firstLine="560" w:firstLineChars="200"/>
        <w:jc w:val="center"/>
        <w:rPr>
          <w:rFonts w:eastAsia="方正黑体_GBK" w:cs="Times New Roman"/>
          <w:bCs/>
          <w:sz w:val="28"/>
          <w:szCs w:val="28"/>
        </w:rPr>
      </w:pPr>
    </w:p>
    <w:p w14:paraId="355ACA36">
      <w:pPr>
        <w:pStyle w:val="11"/>
        <w:overflowPunct w:val="0"/>
        <w:adjustRightInd w:val="0"/>
        <w:snapToGrid w:val="0"/>
        <w:spacing w:after="0" w:line="560" w:lineRule="exact"/>
        <w:ind w:firstLine="560" w:firstLineChars="200"/>
        <w:jc w:val="center"/>
        <w:rPr>
          <w:rFonts w:eastAsia="方正黑体_GBK" w:cs="Times New Roman"/>
          <w:bCs/>
          <w:sz w:val="28"/>
          <w:szCs w:val="28"/>
        </w:rPr>
      </w:pPr>
    </w:p>
    <w:p w14:paraId="0E73F209">
      <w:pPr>
        <w:pStyle w:val="11"/>
        <w:overflowPunct w:val="0"/>
        <w:adjustRightInd w:val="0"/>
        <w:snapToGrid w:val="0"/>
        <w:spacing w:after="0" w:line="560" w:lineRule="exact"/>
        <w:ind w:firstLine="0"/>
        <w:rPr>
          <w:rFonts w:eastAsia="方正黑体_GBK" w:cs="Times New Roman"/>
          <w:bCs/>
          <w:sz w:val="28"/>
          <w:szCs w:val="28"/>
        </w:rPr>
      </w:pPr>
    </w:p>
    <w:p w14:paraId="1B4AC671">
      <w:pPr>
        <w:pStyle w:val="11"/>
        <w:overflowPunct w:val="0"/>
        <w:adjustRightInd w:val="0"/>
        <w:snapToGrid w:val="0"/>
        <w:spacing w:after="0" w:line="560" w:lineRule="exact"/>
        <w:ind w:firstLine="0"/>
        <w:rPr>
          <w:rFonts w:eastAsia="方正黑体_GBK" w:cs="Times New Roman"/>
          <w:bCs/>
          <w:sz w:val="32"/>
          <w:szCs w:val="32"/>
        </w:rPr>
      </w:pPr>
    </w:p>
    <w:p w14:paraId="2910E32E">
      <w:pPr>
        <w:pStyle w:val="11"/>
        <w:overflowPunct w:val="0"/>
        <w:adjustRightInd w:val="0"/>
        <w:snapToGrid w:val="0"/>
        <w:spacing w:after="0" w:line="560" w:lineRule="exact"/>
        <w:ind w:firstLine="0"/>
        <w:rPr>
          <w:rFonts w:eastAsia="方正黑体_GBK" w:cs="Times New Roman"/>
          <w:bCs/>
          <w:sz w:val="32"/>
          <w:szCs w:val="32"/>
        </w:rPr>
      </w:pPr>
      <w:r>
        <w:rPr>
          <w:rFonts w:eastAsia="方正黑体_GBK" w:cs="Times New Roman"/>
          <w:bCs/>
          <w:sz w:val="32"/>
          <w:szCs w:val="32"/>
        </w:rPr>
        <w:t>附件2</w:t>
      </w:r>
    </w:p>
    <w:p w14:paraId="7CB7BA6D">
      <w:pPr>
        <w:pStyle w:val="11"/>
        <w:overflowPunct w:val="0"/>
        <w:adjustRightInd w:val="0"/>
        <w:snapToGrid w:val="0"/>
        <w:spacing w:after="0" w:line="560" w:lineRule="exact"/>
        <w:ind w:firstLine="720" w:firstLineChars="200"/>
        <w:jc w:val="center"/>
        <w:rPr>
          <w:rFonts w:eastAsia="方正小标宋_GBK" w:cs="Times New Roman"/>
          <w:bCs/>
          <w:sz w:val="36"/>
          <w:szCs w:val="36"/>
        </w:rPr>
      </w:pPr>
      <w:r>
        <w:rPr>
          <w:rFonts w:eastAsia="方正小标宋_GBK" w:cs="Times New Roman"/>
          <w:bCs/>
          <w:sz w:val="36"/>
          <w:szCs w:val="36"/>
        </w:rPr>
        <w:t>城口县“十四五”经济社会发展指标预期</w:t>
      </w:r>
    </w:p>
    <w:tbl>
      <w:tblPr>
        <w:tblStyle w:val="13"/>
        <w:tblW w:w="5228" w:type="pct"/>
        <w:jc w:val="center"/>
        <w:tblLayout w:type="fixed"/>
        <w:tblCellMar>
          <w:top w:w="0" w:type="dxa"/>
          <w:left w:w="0" w:type="dxa"/>
          <w:bottom w:w="0" w:type="dxa"/>
          <w:right w:w="0" w:type="dxa"/>
        </w:tblCellMar>
      </w:tblPr>
      <w:tblGrid>
        <w:gridCol w:w="786"/>
        <w:gridCol w:w="4505"/>
        <w:gridCol w:w="1649"/>
        <w:gridCol w:w="1447"/>
        <w:gridCol w:w="1081"/>
      </w:tblGrid>
      <w:tr w14:paraId="600DD03F">
        <w:tblPrEx>
          <w:tblCellMar>
            <w:top w:w="0" w:type="dxa"/>
            <w:left w:w="0" w:type="dxa"/>
            <w:bottom w:w="0" w:type="dxa"/>
            <w:right w:w="0" w:type="dxa"/>
          </w:tblCellMar>
        </w:tblPrEx>
        <w:trPr>
          <w:trHeight w:val="396" w:hRule="atLeast"/>
          <w:tblHeader/>
          <w:jc w:val="center"/>
        </w:trPr>
        <w:tc>
          <w:tcPr>
            <w:tcW w:w="415"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A7B984E">
            <w:pPr>
              <w:widowControl w:val="0"/>
              <w:overflowPunct w:val="0"/>
              <w:adjustRightInd w:val="0"/>
              <w:snapToGrid w:val="0"/>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序号</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C57AD98">
            <w:pPr>
              <w:widowControl w:val="0"/>
              <w:overflowPunct w:val="0"/>
              <w:adjustRightInd w:val="0"/>
              <w:snapToGrid w:val="0"/>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指标</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76D9FDF">
            <w:pPr>
              <w:widowControl w:val="0"/>
              <w:overflowPunct w:val="0"/>
              <w:adjustRightInd w:val="0"/>
              <w:snapToGrid w:val="0"/>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2020年</w:t>
            </w:r>
          </w:p>
          <w:p w14:paraId="2125AEDB">
            <w:pPr>
              <w:widowControl w:val="0"/>
              <w:overflowPunct w:val="0"/>
              <w:adjustRightInd w:val="0"/>
              <w:snapToGrid w:val="0"/>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实现情况</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6718949">
            <w:pPr>
              <w:widowControl w:val="0"/>
              <w:overflowPunct w:val="0"/>
              <w:adjustRightInd w:val="0"/>
              <w:snapToGrid w:val="0"/>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2025年</w:t>
            </w:r>
          </w:p>
          <w:p w14:paraId="13E2FF91">
            <w:pPr>
              <w:widowControl w:val="0"/>
              <w:overflowPunct w:val="0"/>
              <w:adjustRightInd w:val="0"/>
              <w:snapToGrid w:val="0"/>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预期目标</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AEE0BFA">
            <w:pPr>
              <w:widowControl w:val="0"/>
              <w:overflowPunct w:val="0"/>
              <w:adjustRightInd w:val="0"/>
              <w:snapToGrid w:val="0"/>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属性</w:t>
            </w:r>
          </w:p>
        </w:tc>
      </w:tr>
      <w:tr w14:paraId="22410A91">
        <w:tblPrEx>
          <w:tblCellMar>
            <w:top w:w="0" w:type="dxa"/>
            <w:left w:w="0" w:type="dxa"/>
            <w:bottom w:w="0" w:type="dxa"/>
            <w:right w:w="0" w:type="dxa"/>
          </w:tblCellMar>
        </w:tblPrEx>
        <w:trPr>
          <w:trHeight w:val="315"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F8EE6D">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b/>
                <w:bCs/>
                <w:sz w:val="28"/>
                <w:szCs w:val="28"/>
              </w:rPr>
              <w:t>一、推动高质量发展</w:t>
            </w:r>
          </w:p>
        </w:tc>
      </w:tr>
      <w:tr w14:paraId="34A2902A">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A7C351">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FBC2640">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研发经费投入强度（%）</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6A3AEFD">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0.03</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50F4951">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0.05</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079BFDD">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预期性</w:t>
            </w:r>
          </w:p>
        </w:tc>
      </w:tr>
      <w:tr w14:paraId="2974FA49">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439B3B">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15BFFBE">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常住人口城镇化率（%）</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AC092AE">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39</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D0BAA0C">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45</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BF63D42">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预期性</w:t>
            </w:r>
          </w:p>
        </w:tc>
      </w:tr>
      <w:tr w14:paraId="504B2822">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165F531">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B1A6089">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文化产业增加值占GDP比重(%)</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0978FA5">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9B77EAF">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2.5</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F46E031">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预期性</w:t>
            </w:r>
          </w:p>
        </w:tc>
      </w:tr>
      <w:tr w14:paraId="6E76A4D3">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C8EE0F6">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9363836">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游客接待量（万人次）</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356C974">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388</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A4462AC">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700</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E49AC61">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预期性</w:t>
            </w:r>
          </w:p>
        </w:tc>
      </w:tr>
      <w:tr w14:paraId="7D0EC08A">
        <w:tblPrEx>
          <w:tblCellMar>
            <w:top w:w="0" w:type="dxa"/>
            <w:left w:w="0" w:type="dxa"/>
            <w:bottom w:w="0" w:type="dxa"/>
            <w:right w:w="0" w:type="dxa"/>
          </w:tblCellMar>
        </w:tblPrEx>
        <w:trPr>
          <w:trHeight w:val="315"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3016B5">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b/>
                <w:bCs/>
                <w:sz w:val="28"/>
                <w:szCs w:val="28"/>
              </w:rPr>
              <w:t>二、创造高品质生活</w:t>
            </w:r>
          </w:p>
        </w:tc>
      </w:tr>
      <w:tr w14:paraId="5F182D50">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DBFF50">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9F0E440">
            <w:pPr>
              <w:overflowPunct w:val="0"/>
              <w:adjustRightInd w:val="0"/>
              <w:snapToGrid w:val="0"/>
              <w:spacing w:line="44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城镇常住居民人均可支配收入年均增速（%）</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3DE3EF2">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7.7*</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70CFE02">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63B6B04">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预期性</w:t>
            </w:r>
          </w:p>
        </w:tc>
      </w:tr>
      <w:tr w14:paraId="1A1B7AF3">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B5C2C9">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42B65D1">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农村常住居民人均可支配收入年均增速（%）</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6221787">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9.3*</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9AD6E35">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EB2CED9">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预期性</w:t>
            </w:r>
          </w:p>
        </w:tc>
      </w:tr>
      <w:tr w14:paraId="6480E5C9">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F8A345">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4DFBFEB">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城镇调查失业率（%）</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9E1A61A">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&lt;5.5</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6AB79D8">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&lt;5.5</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D9D48E3">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预期性</w:t>
            </w:r>
          </w:p>
        </w:tc>
      </w:tr>
      <w:tr w14:paraId="6AA92CF7">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307EC5">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8</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83A830F">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劳动年龄人口平均受教育年限（年）</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6EAAADD">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11.3</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35D6875">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2A72D77">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5755CCB8">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2ADA6D">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6DD1B2B">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人均预期寿命（岁）</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BA8AED7">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75.3</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3412F22">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78</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196FA9D">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预期性</w:t>
            </w:r>
          </w:p>
        </w:tc>
      </w:tr>
      <w:tr w14:paraId="56BC2945">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797C7A">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10</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5543CA5">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每千人口拥有执业（助理）医师数（人）</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5CE0DF6">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2.25</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E830C0B">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2.98</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3E11D99">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预期性</w:t>
            </w:r>
          </w:p>
        </w:tc>
      </w:tr>
      <w:tr w14:paraId="6E20DDB7">
        <w:tblPrEx>
          <w:tblCellMar>
            <w:top w:w="0" w:type="dxa"/>
            <w:left w:w="0" w:type="dxa"/>
            <w:bottom w:w="0" w:type="dxa"/>
            <w:right w:w="0" w:type="dxa"/>
          </w:tblCellMar>
        </w:tblPrEx>
        <w:trPr>
          <w:trHeight w:val="315"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4C6EDD">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b/>
                <w:bCs/>
                <w:sz w:val="28"/>
                <w:szCs w:val="28"/>
              </w:rPr>
              <w:t>三、山清水秀美丽之地建设</w:t>
            </w:r>
          </w:p>
        </w:tc>
      </w:tr>
      <w:tr w14:paraId="026D7D7D">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F9BB60">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5F45FDA">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单位地区生产总值能源消耗降低（%）</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870E22F">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3.9</w:t>
            </w:r>
          </w:p>
        </w:tc>
        <w:tc>
          <w:tcPr>
            <w:tcW w:w="764" w:type="pct"/>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D0F5753">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完成市级下达指标任务</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93749A2">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50A0FB77">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E8AE74">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12</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357E9A1">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单位地区生产总值二氧化碳排放降低（%)</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72AB208">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w:t>
            </w:r>
          </w:p>
        </w:tc>
        <w:tc>
          <w:tcPr>
            <w:tcW w:w="764" w:type="pct"/>
            <w:vMerge w:val="continue"/>
            <w:tcBorders>
              <w:top w:val="single" w:color="auto" w:sz="4" w:space="0"/>
              <w:left w:val="single" w:color="auto" w:sz="4" w:space="0"/>
              <w:bottom w:val="single" w:color="auto" w:sz="4" w:space="0"/>
              <w:right w:val="single" w:color="auto" w:sz="4" w:space="0"/>
            </w:tcBorders>
            <w:vAlign w:val="center"/>
          </w:tcPr>
          <w:p w14:paraId="16196013">
            <w:pPr>
              <w:jc w:val="left"/>
              <w:rPr>
                <w:rFonts w:ascii="Times New Roman" w:hAnsi="Times New Roman" w:eastAsia="方正仿宋_GBK" w:cs="Times New Roman"/>
                <w:sz w:val="28"/>
                <w:szCs w:val="28"/>
              </w:rPr>
            </w:pP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D949D5C">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4BFF8661">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0F8A89">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851544F">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环境空气质量优良天数（天）</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FFE2690">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361</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215EED7">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＞350</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0AC19EB">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1553062F">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E825DA">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14</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4569C07">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森林覆盖率(%)</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D1214A4">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72.5</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6FF2E0B">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72.8</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F4E2225">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69C1D48F">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D00BAE">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15</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0A83693">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森林蓄积量（万立方米)</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61229C6">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1650</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4C30A01">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1890</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B249363">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270F96B9">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0CDDCB">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16</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563EAA1">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地表水达到或好于Ⅲ类水体比例</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D0C5DD9">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100</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4DD4904">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100</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567279B">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63B9FA08">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A8A66E">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17</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40E1A6F">
            <w:pPr>
              <w:overflowPunct w:val="0"/>
              <w:adjustRightInd w:val="0"/>
              <w:snapToGrid w:val="0"/>
              <w:spacing w:line="44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集中式饮用水水源地水质优良比例</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DD7C404">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100</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3E74DBB">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100</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AA15E6A">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644BBC4B">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DDA959">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18</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DC816B4">
            <w:pPr>
              <w:overflowPunct w:val="0"/>
              <w:adjustRightInd w:val="0"/>
              <w:snapToGrid w:val="0"/>
              <w:spacing w:line="44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村镇饮用水卫生合格率</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28B676A">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100</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9ECE030">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100</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54D217A">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0909E756">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0416A2">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19</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83CD50A">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城镇污水达标处理率（%）</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DAB7FD4">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85</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3219110">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≥95</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5A0172C">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64FC4C85">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093EF9">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20</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22E69AD">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城镇生活垃圾无害化处理率（%）</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F7EDD19">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100</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D347302">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100</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1BB9CC0">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3D6785A2">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77C09B4">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21</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567A47B">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农村无害化卫生厕所普及率（%）</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4F9A24D">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70.2</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32CCD5C">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80</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6B12C6D">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1DB0941A">
        <w:tblPrEx>
          <w:tblCellMar>
            <w:top w:w="0" w:type="dxa"/>
            <w:left w:w="0" w:type="dxa"/>
            <w:bottom w:w="0" w:type="dxa"/>
            <w:right w:w="0" w:type="dxa"/>
          </w:tblCellMar>
        </w:tblPrEx>
        <w:trPr>
          <w:trHeight w:val="315" w:hRule="atLeast"/>
          <w:jc w:val="center"/>
        </w:trPr>
        <w:tc>
          <w:tcPr>
            <w:tcW w:w="415" w:type="pct"/>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C7A3C47">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22</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C84A512">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主要污染物排放总量减少率（%）</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F6176BC">
            <w:pPr>
              <w:overflowPunct w:val="0"/>
              <w:adjustRightInd w:val="0"/>
              <w:snapToGrid w:val="0"/>
              <w:spacing w:line="440" w:lineRule="exact"/>
              <w:jc w:val="center"/>
              <w:rPr>
                <w:rFonts w:ascii="Times New Roman" w:hAnsi="Times New Roman" w:eastAsia="方正仿宋_GBK" w:cs="Times New Roman"/>
                <w:sz w:val="28"/>
                <w:szCs w:val="28"/>
              </w:rPr>
            </w:pP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2F0386B">
            <w:pPr>
              <w:overflowPunct w:val="0"/>
              <w:adjustRightInd w:val="0"/>
              <w:snapToGrid w:val="0"/>
              <w:spacing w:line="440" w:lineRule="exact"/>
              <w:jc w:val="center"/>
              <w:rPr>
                <w:rFonts w:ascii="Times New Roman" w:hAnsi="Times New Roman" w:eastAsia="方正仿宋_GBK" w:cs="Times New Roman"/>
                <w:sz w:val="28"/>
                <w:szCs w:val="28"/>
              </w:rPr>
            </w:pP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724176C">
            <w:pPr>
              <w:overflowPunct w:val="0"/>
              <w:adjustRightInd w:val="0"/>
              <w:snapToGrid w:val="0"/>
              <w:spacing w:line="440" w:lineRule="exact"/>
              <w:jc w:val="center"/>
              <w:rPr>
                <w:rFonts w:ascii="Times New Roman" w:hAnsi="Times New Roman" w:eastAsia="方正仿宋_GBK" w:cs="Times New Roman"/>
                <w:sz w:val="28"/>
                <w:szCs w:val="28"/>
              </w:rPr>
            </w:pPr>
          </w:p>
        </w:tc>
      </w:tr>
      <w:tr w14:paraId="58A5A4EC">
        <w:tblPrEx>
          <w:tblCellMar>
            <w:top w:w="0" w:type="dxa"/>
            <w:left w:w="0" w:type="dxa"/>
            <w:bottom w:w="0" w:type="dxa"/>
            <w:right w:w="0" w:type="dxa"/>
          </w:tblCellMar>
        </w:tblPrEx>
        <w:trPr>
          <w:trHeight w:val="315" w:hRule="atLeast"/>
          <w:jc w:val="center"/>
        </w:trPr>
        <w:tc>
          <w:tcPr>
            <w:tcW w:w="415" w:type="pct"/>
            <w:vMerge w:val="continue"/>
            <w:tcBorders>
              <w:top w:val="single" w:color="auto" w:sz="4" w:space="0"/>
              <w:left w:val="single" w:color="auto" w:sz="4" w:space="0"/>
              <w:bottom w:val="single" w:color="auto" w:sz="4" w:space="0"/>
              <w:right w:val="single" w:color="auto" w:sz="4" w:space="0"/>
            </w:tcBorders>
            <w:vAlign w:val="center"/>
          </w:tcPr>
          <w:p w14:paraId="5F5BD8EF">
            <w:pPr>
              <w:jc w:val="left"/>
              <w:rPr>
                <w:rFonts w:ascii="Times New Roman" w:hAnsi="Times New Roman" w:eastAsia="方正仿宋_GBK" w:cs="Times New Roman"/>
                <w:sz w:val="28"/>
                <w:szCs w:val="28"/>
              </w:rPr>
            </w:pP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80EE37A">
            <w:pPr>
              <w:pStyle w:val="11"/>
              <w:overflowPunct w:val="0"/>
              <w:adjustRightInd w:val="0"/>
              <w:snapToGrid w:val="0"/>
              <w:spacing w:after="0" w:line="440" w:lineRule="exact"/>
              <w:ind w:firstLine="280" w:firstLineChars="100"/>
              <w:rPr>
                <w:rFonts w:eastAsia="方正仿宋_GBK" w:cs="Times New Roman"/>
                <w:sz w:val="28"/>
                <w:szCs w:val="28"/>
              </w:rPr>
            </w:pPr>
            <w:r>
              <w:rPr>
                <w:rFonts w:eastAsia="方正仿宋_GBK" w:cs="Times New Roman"/>
                <w:sz w:val="28"/>
                <w:szCs w:val="28"/>
              </w:rPr>
              <w:t>#化学需氧量</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B0F2610">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[6.53]</w:t>
            </w:r>
          </w:p>
        </w:tc>
        <w:tc>
          <w:tcPr>
            <w:tcW w:w="764" w:type="pct"/>
            <w:vMerge w:val="restar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F13A32F">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完成市级下达指标任务</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111ED2A">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3034DDAE">
        <w:tblPrEx>
          <w:tblCellMar>
            <w:top w:w="0" w:type="dxa"/>
            <w:left w:w="0" w:type="dxa"/>
            <w:bottom w:w="0" w:type="dxa"/>
            <w:right w:w="0" w:type="dxa"/>
          </w:tblCellMar>
        </w:tblPrEx>
        <w:trPr>
          <w:trHeight w:val="315" w:hRule="atLeast"/>
          <w:jc w:val="center"/>
        </w:trPr>
        <w:tc>
          <w:tcPr>
            <w:tcW w:w="415" w:type="pct"/>
            <w:vMerge w:val="continue"/>
            <w:tcBorders>
              <w:top w:val="single" w:color="auto" w:sz="4" w:space="0"/>
              <w:left w:val="single" w:color="auto" w:sz="4" w:space="0"/>
              <w:bottom w:val="single" w:color="auto" w:sz="4" w:space="0"/>
              <w:right w:val="single" w:color="auto" w:sz="4" w:space="0"/>
            </w:tcBorders>
            <w:vAlign w:val="center"/>
          </w:tcPr>
          <w:p w14:paraId="6A6DD5A2">
            <w:pPr>
              <w:jc w:val="left"/>
              <w:rPr>
                <w:rFonts w:ascii="Times New Roman" w:hAnsi="Times New Roman" w:eastAsia="方正仿宋_GBK" w:cs="Times New Roman"/>
                <w:sz w:val="28"/>
                <w:szCs w:val="28"/>
              </w:rPr>
            </w:pP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ADC3F3E">
            <w:pPr>
              <w:pStyle w:val="11"/>
              <w:overflowPunct w:val="0"/>
              <w:adjustRightInd w:val="0"/>
              <w:snapToGrid w:val="0"/>
              <w:spacing w:after="0" w:line="440" w:lineRule="exact"/>
              <w:ind w:firstLine="240"/>
              <w:rPr>
                <w:rFonts w:eastAsia="方正仿宋_GBK" w:cs="Times New Roman"/>
                <w:sz w:val="28"/>
                <w:szCs w:val="28"/>
              </w:rPr>
            </w:pPr>
            <w:r>
              <w:rPr>
                <w:rFonts w:eastAsia="方正仿宋_GBK" w:cs="Times New Roman"/>
                <w:sz w:val="28"/>
                <w:szCs w:val="28"/>
              </w:rPr>
              <w:t>#二氧化硫</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89ABBFC">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[17.4]</w:t>
            </w:r>
          </w:p>
        </w:tc>
        <w:tc>
          <w:tcPr>
            <w:tcW w:w="764" w:type="pct"/>
            <w:vMerge w:val="continue"/>
            <w:tcBorders>
              <w:top w:val="single" w:color="auto" w:sz="4" w:space="0"/>
              <w:left w:val="single" w:color="auto" w:sz="4" w:space="0"/>
              <w:bottom w:val="single" w:color="auto" w:sz="4" w:space="0"/>
              <w:right w:val="single" w:color="auto" w:sz="4" w:space="0"/>
            </w:tcBorders>
            <w:vAlign w:val="center"/>
          </w:tcPr>
          <w:p w14:paraId="32816DF1">
            <w:pPr>
              <w:jc w:val="left"/>
              <w:rPr>
                <w:rFonts w:ascii="Times New Roman" w:hAnsi="Times New Roman" w:eastAsia="方正仿宋_GBK" w:cs="Times New Roman"/>
                <w:sz w:val="28"/>
                <w:szCs w:val="28"/>
              </w:rPr>
            </w:pP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B1F77DA">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795C1430">
        <w:tblPrEx>
          <w:tblCellMar>
            <w:top w:w="0" w:type="dxa"/>
            <w:left w:w="0" w:type="dxa"/>
            <w:bottom w:w="0" w:type="dxa"/>
            <w:right w:w="0" w:type="dxa"/>
          </w:tblCellMar>
        </w:tblPrEx>
        <w:trPr>
          <w:trHeight w:val="315" w:hRule="atLeast"/>
          <w:jc w:val="center"/>
        </w:trPr>
        <w:tc>
          <w:tcPr>
            <w:tcW w:w="415" w:type="pct"/>
            <w:vMerge w:val="continue"/>
            <w:tcBorders>
              <w:top w:val="single" w:color="auto" w:sz="4" w:space="0"/>
              <w:left w:val="single" w:color="auto" w:sz="4" w:space="0"/>
              <w:bottom w:val="single" w:color="auto" w:sz="4" w:space="0"/>
              <w:right w:val="single" w:color="auto" w:sz="4" w:space="0"/>
            </w:tcBorders>
            <w:vAlign w:val="center"/>
          </w:tcPr>
          <w:p w14:paraId="11A9CF71">
            <w:pPr>
              <w:jc w:val="left"/>
              <w:rPr>
                <w:rFonts w:ascii="Times New Roman" w:hAnsi="Times New Roman" w:eastAsia="方正仿宋_GBK" w:cs="Times New Roman"/>
                <w:sz w:val="28"/>
                <w:szCs w:val="28"/>
              </w:rPr>
            </w:pP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34C4B31">
            <w:pPr>
              <w:pStyle w:val="11"/>
              <w:overflowPunct w:val="0"/>
              <w:adjustRightInd w:val="0"/>
              <w:snapToGrid w:val="0"/>
              <w:spacing w:after="0" w:line="440" w:lineRule="exact"/>
              <w:ind w:firstLine="240"/>
              <w:rPr>
                <w:rFonts w:eastAsia="方正仿宋_GBK" w:cs="Times New Roman"/>
                <w:sz w:val="28"/>
                <w:szCs w:val="28"/>
              </w:rPr>
            </w:pPr>
            <w:r>
              <w:rPr>
                <w:rFonts w:eastAsia="方正仿宋_GBK" w:cs="Times New Roman"/>
                <w:sz w:val="28"/>
                <w:szCs w:val="28"/>
              </w:rPr>
              <w:t>#氨氮</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E172777">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[3.89]</w:t>
            </w:r>
          </w:p>
        </w:tc>
        <w:tc>
          <w:tcPr>
            <w:tcW w:w="764" w:type="pct"/>
            <w:vMerge w:val="continue"/>
            <w:tcBorders>
              <w:top w:val="single" w:color="auto" w:sz="4" w:space="0"/>
              <w:left w:val="single" w:color="auto" w:sz="4" w:space="0"/>
              <w:bottom w:val="single" w:color="auto" w:sz="4" w:space="0"/>
              <w:right w:val="single" w:color="auto" w:sz="4" w:space="0"/>
            </w:tcBorders>
            <w:vAlign w:val="center"/>
          </w:tcPr>
          <w:p w14:paraId="5C0D33E2">
            <w:pPr>
              <w:jc w:val="left"/>
              <w:rPr>
                <w:rFonts w:ascii="Times New Roman" w:hAnsi="Times New Roman" w:eastAsia="方正仿宋_GBK" w:cs="Times New Roman"/>
                <w:sz w:val="28"/>
                <w:szCs w:val="28"/>
              </w:rPr>
            </w:pP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BD9A167">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2246B7A6">
        <w:tblPrEx>
          <w:tblCellMar>
            <w:top w:w="0" w:type="dxa"/>
            <w:left w:w="0" w:type="dxa"/>
            <w:bottom w:w="0" w:type="dxa"/>
            <w:right w:w="0" w:type="dxa"/>
          </w:tblCellMar>
        </w:tblPrEx>
        <w:trPr>
          <w:trHeight w:val="315" w:hRule="atLeast"/>
          <w:jc w:val="center"/>
        </w:trPr>
        <w:tc>
          <w:tcPr>
            <w:tcW w:w="415" w:type="pct"/>
            <w:vMerge w:val="continue"/>
            <w:tcBorders>
              <w:top w:val="single" w:color="auto" w:sz="4" w:space="0"/>
              <w:left w:val="single" w:color="auto" w:sz="4" w:space="0"/>
              <w:bottom w:val="single" w:color="auto" w:sz="4" w:space="0"/>
              <w:right w:val="single" w:color="auto" w:sz="4" w:space="0"/>
            </w:tcBorders>
            <w:vAlign w:val="center"/>
          </w:tcPr>
          <w:p w14:paraId="0DCD11EF">
            <w:pPr>
              <w:jc w:val="left"/>
              <w:rPr>
                <w:rFonts w:ascii="Times New Roman" w:hAnsi="Times New Roman" w:eastAsia="方正仿宋_GBK" w:cs="Times New Roman"/>
                <w:sz w:val="28"/>
                <w:szCs w:val="28"/>
              </w:rPr>
            </w:pP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2987D1F">
            <w:pPr>
              <w:pStyle w:val="11"/>
              <w:overflowPunct w:val="0"/>
              <w:adjustRightInd w:val="0"/>
              <w:snapToGrid w:val="0"/>
              <w:spacing w:after="0" w:line="440" w:lineRule="exact"/>
              <w:ind w:firstLine="240"/>
              <w:rPr>
                <w:rFonts w:eastAsia="方正仿宋_GBK" w:cs="Times New Roman"/>
                <w:sz w:val="28"/>
                <w:szCs w:val="28"/>
              </w:rPr>
            </w:pPr>
            <w:r>
              <w:rPr>
                <w:rFonts w:eastAsia="方正仿宋_GBK" w:cs="Times New Roman"/>
                <w:sz w:val="28"/>
                <w:szCs w:val="28"/>
              </w:rPr>
              <w:t>#氮氧化物</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F529460">
            <w:pPr>
              <w:pStyle w:val="11"/>
              <w:overflowPunct w:val="0"/>
              <w:adjustRightInd w:val="0"/>
              <w:snapToGrid w:val="0"/>
              <w:spacing w:after="0" w:line="440" w:lineRule="exact"/>
              <w:ind w:firstLine="0"/>
              <w:jc w:val="center"/>
              <w:rPr>
                <w:rFonts w:eastAsia="方正仿宋_GBK" w:cs="Times New Roman"/>
                <w:sz w:val="28"/>
                <w:szCs w:val="28"/>
              </w:rPr>
            </w:pPr>
            <w:r>
              <w:rPr>
                <w:rFonts w:eastAsia="方正仿宋_GBK" w:cs="Times New Roman"/>
                <w:sz w:val="28"/>
                <w:szCs w:val="28"/>
              </w:rPr>
              <w:t>[19.8]</w:t>
            </w:r>
          </w:p>
        </w:tc>
        <w:tc>
          <w:tcPr>
            <w:tcW w:w="764" w:type="pct"/>
            <w:vMerge w:val="continue"/>
            <w:tcBorders>
              <w:top w:val="single" w:color="auto" w:sz="4" w:space="0"/>
              <w:left w:val="single" w:color="auto" w:sz="4" w:space="0"/>
              <w:bottom w:val="single" w:color="auto" w:sz="4" w:space="0"/>
              <w:right w:val="single" w:color="auto" w:sz="4" w:space="0"/>
            </w:tcBorders>
            <w:vAlign w:val="center"/>
          </w:tcPr>
          <w:p w14:paraId="184315CA">
            <w:pPr>
              <w:jc w:val="left"/>
              <w:rPr>
                <w:rFonts w:ascii="Times New Roman" w:hAnsi="Times New Roman" w:eastAsia="方正仿宋_GBK" w:cs="Times New Roman"/>
                <w:sz w:val="28"/>
                <w:szCs w:val="28"/>
              </w:rPr>
            </w:pP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E8B9FD2">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3BDB9F0E">
        <w:tblPrEx>
          <w:tblCellMar>
            <w:top w:w="0" w:type="dxa"/>
            <w:left w:w="0" w:type="dxa"/>
            <w:bottom w:w="0" w:type="dxa"/>
            <w:right w:w="0" w:type="dxa"/>
          </w:tblCellMar>
        </w:tblPrEx>
        <w:trPr>
          <w:trHeight w:val="315"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3ABE1F6">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b/>
                <w:bCs/>
                <w:sz w:val="28"/>
                <w:szCs w:val="28"/>
              </w:rPr>
              <w:t>四、安全发展</w:t>
            </w:r>
          </w:p>
        </w:tc>
      </w:tr>
      <w:tr w14:paraId="4261C4E7">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ACCAD4">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23</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B681C64">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粮食综合生产能力（万吨）</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15EE915">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8.7</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D57FAF7">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8</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58F7F7D">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r w14:paraId="3F61BF71">
        <w:tblPrEx>
          <w:tblCellMar>
            <w:top w:w="0" w:type="dxa"/>
            <w:left w:w="0" w:type="dxa"/>
            <w:bottom w:w="0" w:type="dxa"/>
            <w:right w:w="0" w:type="dxa"/>
          </w:tblCellMar>
        </w:tblPrEx>
        <w:trPr>
          <w:trHeight w:val="315" w:hRule="atLeast"/>
          <w:jc w:val="center"/>
        </w:trPr>
        <w:tc>
          <w:tcPr>
            <w:tcW w:w="4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AD56748">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24</w:t>
            </w:r>
          </w:p>
        </w:tc>
        <w:tc>
          <w:tcPr>
            <w:tcW w:w="237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86F4910">
            <w:pPr>
              <w:overflowPunct w:val="0"/>
              <w:adjustRightInd w:val="0"/>
              <w:snapToGrid w:val="0"/>
              <w:spacing w:line="44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亿元地区生产总值安全事故死亡率</w:t>
            </w:r>
          </w:p>
        </w:tc>
        <w:tc>
          <w:tcPr>
            <w:tcW w:w="871"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FC0F2C9">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0.163</w:t>
            </w:r>
          </w:p>
        </w:tc>
        <w:tc>
          <w:tcPr>
            <w:tcW w:w="764"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EF98953">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控制在市级下达指标内</w:t>
            </w:r>
          </w:p>
        </w:tc>
        <w:tc>
          <w:tcPr>
            <w:tcW w:w="569" w:type="pct"/>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9DEE33D">
            <w:pPr>
              <w:overflowPunct w:val="0"/>
              <w:adjustRightInd w:val="0"/>
              <w:snapToGrid w:val="0"/>
              <w:spacing w:line="44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约束性</w:t>
            </w:r>
          </w:p>
        </w:tc>
      </w:tr>
    </w:tbl>
    <w:p w14:paraId="64E97F7E">
      <w:pPr>
        <w:pStyle w:val="12"/>
        <w:overflowPunct w:val="0"/>
        <w:spacing w:line="400" w:lineRule="exact"/>
        <w:ind w:leftChars="0" w:firstLine="480" w:firstLineChars="200"/>
        <w:rPr>
          <w:rFonts w:ascii="Times New Roman" w:hAnsi="Times New Roman" w:eastAsia="方正仿宋_GBK" w:cs="Times New Roman"/>
          <w:sz w:val="32"/>
          <w:szCs w:val="32"/>
        </w:rPr>
      </w:pPr>
      <w:r>
        <w:rPr>
          <w:rFonts w:ascii="Times New Roman" w:hAnsi="Times New Roman" w:eastAsia="方正黑体_GBK" w:cs="Times New Roman"/>
          <w:sz w:val="24"/>
          <w:szCs w:val="24"/>
        </w:rPr>
        <w:t>注明：带*为规划期平均数，带[ ]为五年累积数，未带任何符号的为年度数据。其中，序号16—21等指标为国家生态文明建设示范县创建约束性指标。</w:t>
      </w:r>
    </w:p>
    <w:p w14:paraId="70DDCEB8">
      <w:pPr>
        <w:pStyle w:val="7"/>
        <w:rPr>
          <w:rFonts w:cs="Times New Roman"/>
        </w:rPr>
      </w:pPr>
    </w:p>
    <w:p w14:paraId="0B27B907">
      <w:pPr>
        <w:widowControl w:val="0"/>
        <w:spacing w:line="400" w:lineRule="exact"/>
        <w:ind w:firstLine="480" w:firstLineChars="200"/>
        <w:rPr>
          <w:rFonts w:ascii="Times New Roman" w:hAnsi="Times New Roman" w:eastAsia="方正仿宋_GBK" w:cs="Times New Roman"/>
          <w:sz w:val="24"/>
          <w:szCs w:val="24"/>
        </w:rPr>
      </w:pPr>
    </w:p>
    <w:p w14:paraId="6252D2AC">
      <w:pPr>
        <w:spacing w:line="400" w:lineRule="exact"/>
        <w:ind w:firstLine="480" w:firstLineChars="200"/>
        <w:rPr>
          <w:rFonts w:ascii="Times New Roman" w:hAnsi="Times New Roman" w:eastAsia="方正仿宋_GBK" w:cs="Times New Roman"/>
          <w:sz w:val="24"/>
          <w:szCs w:val="24"/>
        </w:rPr>
      </w:pPr>
    </w:p>
    <w:p w14:paraId="5E157D9C">
      <w:pPr>
        <w:pStyle w:val="9"/>
        <w:spacing w:line="560" w:lineRule="exact"/>
        <w:jc w:val="right"/>
        <w:rPr>
          <w:rFonts w:ascii="Times New Roman" w:hAnsi="Times New Roman" w:eastAsia="方正仿宋_GBK" w:cs="Times New Roman"/>
          <w:sz w:val="32"/>
          <w:szCs w:val="32"/>
        </w:rPr>
      </w:pPr>
    </w:p>
    <w:sectPr>
      <w:footerReference r:id="rId6" w:type="first"/>
      <w:footerReference r:id="rId5" w:type="default"/>
      <w:pgSz w:w="11906" w:h="16838"/>
      <w:pgMar w:top="2098" w:right="1474" w:bottom="2154" w:left="1587" w:header="851" w:footer="992"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_GBK">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script"/>
    <w:pitch w:val="default"/>
    <w:sig w:usb0="00000001" w:usb1="080E0000" w:usb2="00000000" w:usb3="00000000" w:csb0="00040000" w:csb1="00000000"/>
    <w:embedRegular r:id="rId1" w:fontKey="{03420E8C-957B-42F5-8FFF-35B93E69309C}"/>
  </w:font>
  <w:font w:name="方正小标宋_GBK">
    <w:panose1 w:val="03000509000000000000"/>
    <w:charset w:val="86"/>
    <w:family w:val="script"/>
    <w:pitch w:val="default"/>
    <w:sig w:usb0="00000001" w:usb1="080E0000" w:usb2="00000000" w:usb3="00000000" w:csb0="00040000" w:csb1="00000000"/>
    <w:embedRegular r:id="rId2" w:fontKey="{DA3C28F2-69E0-47E5-9E92-9E34E9DE4E12}"/>
  </w:font>
  <w:font w:name="方正黑体_GBK">
    <w:panose1 w:val="03000509000000000000"/>
    <w:charset w:val="86"/>
    <w:family w:val="script"/>
    <w:pitch w:val="default"/>
    <w:sig w:usb0="00000001" w:usb1="080E0000" w:usb2="00000000" w:usb3="00000000" w:csb0="00040000" w:csb1="00000000"/>
    <w:embedRegular r:id="rId3" w:fontKey="{E8890E4D-298E-4F85-9B11-E88AB419B0C2}"/>
  </w:font>
  <w:font w:name="方正楷体_GBK">
    <w:panose1 w:val="03000509000000000000"/>
    <w:charset w:val="86"/>
    <w:family w:val="script"/>
    <w:pitch w:val="default"/>
    <w:sig w:usb0="00000001" w:usb1="080E0000" w:usb2="00000000" w:usb3="00000000" w:csb0="00040000" w:csb1="00000000"/>
    <w:embedRegular r:id="rId4" w:fontKey="{426F59AB-2140-45F3-A178-CA585936A7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70D57">
    <w:pPr>
      <w:pStyle w:val="9"/>
      <w:jc w:val="center"/>
      <w:rPr>
        <w:rFonts w:ascii="宋体" w:hAnsi="宋体"/>
        <w:sz w:val="28"/>
        <w:szCs w:val="28"/>
      </w:rPr>
    </w:pPr>
    <w:r>
      <w:rPr>
        <w:sz w:val="28"/>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DB6BC2A">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- 15 -</w:t>
                </w:r>
                <w:r>
                  <w:rPr>
                    <w:rFonts w:hint="eastAsia" w:asciiTheme="minorEastAsia" w:hAnsiTheme="minorEastAsia" w:eastAsiaTheme="minorEastAsia" w:cstheme="minorEastAsia"/>
                    <w:sz w:val="28"/>
                    <w:szCs w:val="28"/>
                  </w:rPr>
                  <w:fldChar w:fldCharType="end"/>
                </w:r>
              </w:p>
            </w:txbxContent>
          </v:textbox>
        </v:shape>
      </w:pict>
    </w:r>
    <w:r>
      <w:rPr>
        <w:sz w:val="28"/>
      </w:rPr>
      <w:pict>
        <v:rect id="文本框 1" o:spid="_x0000_s1027"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path/>
          <v:fill on="f" focussize="0,0"/>
          <v:stroke on="f"/>
          <v:imagedata o:title=""/>
          <o:lock v:ext="edit"/>
          <v:textbox inset="0mm,0mm,0mm,0mm" style="mso-fit-shape-to-text:t;">
            <w:txbxContent>
              <w:p w14:paraId="1FBED620">
                <w:pPr>
                  <w:pStyle w:val="9"/>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22A6">
    <w:pPr>
      <w:pStyle w:val="9"/>
      <w:jc w:val="center"/>
      <w:rPr>
        <w:rFonts w:ascii="Times New Roman" w:hAnsi="Times New Roman" w:cs="Times New Roman"/>
      </w:rPr>
    </w:pPr>
    <w:r>
      <w:rPr>
        <w:sz w:val="28"/>
      </w:rPr>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3051BF10">
                <w:pPr>
                  <w:pStyle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r>
      <w:rPr>
        <w:sz w:val="28"/>
      </w:rPr>
      <w:pict>
        <v:shape id="_x0000_s1029" o:spid="_x0000_s102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3E98698B">
                <w:pPr>
                  <w:pStyle w:val="9"/>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65CF6"/>
    <w:multiLevelType w:val="singleLevel"/>
    <w:tmpl w:val="75765CF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2ZGE1ZWM4MDM1NDE2ZjZhZmFmNzgzN2EzMTc1MDAifQ=="/>
  </w:docVars>
  <w:rsids>
    <w:rsidRoot w:val="00FF0449"/>
    <w:rsid w:val="000B7DAE"/>
    <w:rsid w:val="005525DF"/>
    <w:rsid w:val="00FF0449"/>
    <w:rsid w:val="01990DBE"/>
    <w:rsid w:val="05355DE6"/>
    <w:rsid w:val="05E81E3E"/>
    <w:rsid w:val="06A9724D"/>
    <w:rsid w:val="07285434"/>
    <w:rsid w:val="07CA6234"/>
    <w:rsid w:val="09EB6655"/>
    <w:rsid w:val="0AC95C6D"/>
    <w:rsid w:val="0B6012B8"/>
    <w:rsid w:val="0BE76E86"/>
    <w:rsid w:val="0D384B32"/>
    <w:rsid w:val="0E445E81"/>
    <w:rsid w:val="0F860DCC"/>
    <w:rsid w:val="11E177B4"/>
    <w:rsid w:val="16860C87"/>
    <w:rsid w:val="16EB0CEA"/>
    <w:rsid w:val="19040B72"/>
    <w:rsid w:val="1BE9485C"/>
    <w:rsid w:val="218B5615"/>
    <w:rsid w:val="2238055F"/>
    <w:rsid w:val="229473CD"/>
    <w:rsid w:val="22E851BF"/>
    <w:rsid w:val="24FF7175"/>
    <w:rsid w:val="25BF0B9D"/>
    <w:rsid w:val="2A0A7488"/>
    <w:rsid w:val="2C4B30CE"/>
    <w:rsid w:val="2E7C439E"/>
    <w:rsid w:val="3358781D"/>
    <w:rsid w:val="3451480E"/>
    <w:rsid w:val="34912657"/>
    <w:rsid w:val="37D055F4"/>
    <w:rsid w:val="3CA02610"/>
    <w:rsid w:val="3CB7413F"/>
    <w:rsid w:val="4706666E"/>
    <w:rsid w:val="485758C4"/>
    <w:rsid w:val="48814E2B"/>
    <w:rsid w:val="5500338F"/>
    <w:rsid w:val="55741598"/>
    <w:rsid w:val="55DC108C"/>
    <w:rsid w:val="55EE2D23"/>
    <w:rsid w:val="5CBC1F0A"/>
    <w:rsid w:val="5E5A5660"/>
    <w:rsid w:val="6047057E"/>
    <w:rsid w:val="611F5BE6"/>
    <w:rsid w:val="61FF4A7D"/>
    <w:rsid w:val="6297121F"/>
    <w:rsid w:val="64F56EC6"/>
    <w:rsid w:val="6A3C7491"/>
    <w:rsid w:val="6B5344F7"/>
    <w:rsid w:val="6B8F22D3"/>
    <w:rsid w:val="6BCB3523"/>
    <w:rsid w:val="6F2B0F58"/>
    <w:rsid w:val="7B60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jc w:val="both"/>
    </w:pPr>
    <w:rPr>
      <w:rFonts w:ascii="Calibri" w:hAnsi="Calibri" w:eastAsia="宋体" w:cs="宋体"/>
      <w:kern w:val="2"/>
      <w:sz w:val="21"/>
      <w:szCs w:val="22"/>
      <w:lang w:val="en-US" w:eastAsia="zh-CN" w:bidi="ar-SA"/>
    </w:rPr>
  </w:style>
  <w:style w:type="paragraph" w:styleId="2">
    <w:name w:val="heading 2"/>
    <w:basedOn w:val="1"/>
    <w:next w:val="1"/>
    <w:unhideWhenUsed/>
    <w:qFormat/>
    <w:uiPriority w:val="0"/>
    <w:pPr>
      <w:spacing w:before="260" w:after="260" w:line="416" w:lineRule="auto"/>
      <w:outlineLvl w:val="1"/>
    </w:pPr>
    <w:rPr>
      <w:rFonts w:ascii="Calibri Light" w:hAnsi="Calibri Light" w:cs="Times New Roman"/>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rPr>
      <w:rFonts w:cs="Times New Roman"/>
      <w:szCs w:val="24"/>
    </w:rPr>
  </w:style>
  <w:style w:type="paragraph" w:styleId="4">
    <w:name w:val="Body Text"/>
    <w:basedOn w:val="1"/>
    <w:next w:val="5"/>
    <w:link w:val="19"/>
    <w:qFormat/>
    <w:uiPriority w:val="0"/>
    <w:pPr>
      <w:widowControl w:val="0"/>
      <w:spacing w:after="120" w:line="240" w:lineRule="auto"/>
    </w:pPr>
  </w:style>
  <w:style w:type="paragraph" w:styleId="5">
    <w:name w:val="Balloon Text"/>
    <w:basedOn w:val="1"/>
    <w:link w:val="18"/>
    <w:qFormat/>
    <w:uiPriority w:val="99"/>
    <w:pPr>
      <w:spacing w:line="240" w:lineRule="auto"/>
    </w:pPr>
    <w:rPr>
      <w:sz w:val="18"/>
      <w:szCs w:val="18"/>
    </w:rPr>
  </w:style>
  <w:style w:type="paragraph" w:styleId="6">
    <w:name w:val="Body Text Indent"/>
    <w:basedOn w:val="1"/>
    <w:unhideWhenUsed/>
    <w:qFormat/>
    <w:uiPriority w:val="99"/>
    <w:pPr>
      <w:spacing w:after="120"/>
      <w:ind w:left="420" w:leftChars="200"/>
    </w:pPr>
  </w:style>
  <w:style w:type="paragraph" w:styleId="7">
    <w:name w:val="toc 5"/>
    <w:basedOn w:val="1"/>
    <w:next w:val="1"/>
    <w:semiHidden/>
    <w:unhideWhenUsed/>
    <w:qFormat/>
    <w:uiPriority w:val="0"/>
    <w:pPr>
      <w:ind w:left="1680" w:leftChars="800"/>
    </w:pPr>
    <w:rPr>
      <w:rFonts w:ascii="Times New Roman" w:hAnsi="Times New Roman"/>
    </w:rPr>
  </w:style>
  <w:style w:type="paragraph" w:styleId="8">
    <w:name w:val="Date"/>
    <w:basedOn w:val="1"/>
    <w:next w:val="1"/>
    <w:qFormat/>
    <w:uiPriority w:val="0"/>
    <w:pPr>
      <w:ind w:left="100" w:leftChars="2500"/>
    </w:pPr>
  </w:style>
  <w:style w:type="paragraph" w:styleId="9">
    <w:name w:val="footer"/>
    <w:basedOn w:val="1"/>
    <w:next w:val="1"/>
    <w:link w:val="16"/>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Body Text First Indent"/>
    <w:basedOn w:val="4"/>
    <w:qFormat/>
    <w:uiPriority w:val="0"/>
    <w:pPr>
      <w:ind w:firstLine="420"/>
    </w:pPr>
    <w:rPr>
      <w:rFonts w:ascii="Times New Roman" w:hAnsi="Times New Roman"/>
      <w:sz w:val="24"/>
      <w:szCs w:val="24"/>
    </w:rPr>
  </w:style>
  <w:style w:type="paragraph" w:styleId="12">
    <w:name w:val="Body Text First Indent 2"/>
    <w:basedOn w:val="6"/>
    <w:next w:val="11"/>
    <w:qFormat/>
    <w:uiPriority w:val="0"/>
    <w:pPr>
      <w:ind w:left="0" w:leftChars="100" w:firstLine="420"/>
    </w:pPr>
    <w:rPr>
      <w:szCs w:val="21"/>
    </w:rPr>
  </w:style>
  <w:style w:type="table" w:styleId="14">
    <w:name w:val="Table Grid"/>
    <w:basedOn w:val="13"/>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脚 Char"/>
    <w:basedOn w:val="15"/>
    <w:link w:val="9"/>
    <w:qFormat/>
    <w:uiPriority w:val="99"/>
    <w:rPr>
      <w:sz w:val="18"/>
      <w:szCs w:val="18"/>
    </w:rPr>
  </w:style>
  <w:style w:type="character" w:customStyle="1" w:styleId="17">
    <w:name w:val="页眉 Char"/>
    <w:basedOn w:val="15"/>
    <w:link w:val="10"/>
    <w:qFormat/>
    <w:uiPriority w:val="99"/>
    <w:rPr>
      <w:sz w:val="18"/>
      <w:szCs w:val="18"/>
    </w:rPr>
  </w:style>
  <w:style w:type="character" w:customStyle="1" w:styleId="18">
    <w:name w:val="批注框文本 Char"/>
    <w:basedOn w:val="15"/>
    <w:link w:val="5"/>
    <w:qFormat/>
    <w:uiPriority w:val="99"/>
    <w:rPr>
      <w:kern w:val="2"/>
      <w:sz w:val="18"/>
      <w:szCs w:val="18"/>
    </w:rPr>
  </w:style>
  <w:style w:type="character" w:customStyle="1" w:styleId="19">
    <w:name w:val="正文文本 Char"/>
    <w:basedOn w:val="15"/>
    <w:link w:val="4"/>
    <w:qFormat/>
    <w:uiPriority w:val="0"/>
    <w:rPr>
      <w:kern w:val="2"/>
      <w:sz w:val="21"/>
      <w:szCs w:val="22"/>
    </w:rPr>
  </w:style>
  <w:style w:type="paragraph" w:customStyle="1" w:styleId="20">
    <w:name w:val="Default"/>
    <w:qFormat/>
    <w:uiPriority w:val="99"/>
    <w:pPr>
      <w:widowControl w:val="0"/>
      <w:autoSpaceDE w:val="0"/>
      <w:autoSpaceDN w:val="0"/>
      <w:adjustRightInd w:val="0"/>
    </w:pPr>
    <w:rPr>
      <w:rFonts w:ascii="????_GBK" w:hAnsi="Calibri" w:eastAsia="Times New Roman" w:cs="Times New Roman"/>
      <w:color w:val="000000"/>
      <w:sz w:val="24"/>
      <w:szCs w:val="24"/>
      <w:lang w:val="en-US" w:eastAsia="zh-CN" w:bidi="ar-SA"/>
    </w:rPr>
  </w:style>
  <w:style w:type="character" w:customStyle="1" w:styleId="21">
    <w:name w:val="font41"/>
    <w:qFormat/>
    <w:uiPriority w:val="0"/>
    <w:rPr>
      <w:rFonts w:ascii="方正仿宋_GBK" w:hAnsi="方正仿宋_GBK" w:eastAsia="方正仿宋_GBK" w:cs="方正仿宋_GBK"/>
      <w:b/>
      <w:color w:val="000000"/>
      <w:sz w:val="21"/>
      <w:szCs w:val="21"/>
      <w:u w:val="single"/>
    </w:rPr>
  </w:style>
  <w:style w:type="character" w:customStyle="1" w:styleId="22">
    <w:name w:val="font21"/>
    <w:qFormat/>
    <w:uiPriority w:val="0"/>
    <w:rPr>
      <w:rFonts w:hint="eastAsia" w:ascii="方正仿宋_GBK" w:hAnsi="方正仿宋_GBK" w:eastAsia="方正仿宋_GBK" w:cs="方正仿宋_GBK"/>
      <w:b/>
      <w:color w:val="000000"/>
      <w:sz w:val="21"/>
      <w:szCs w:val="21"/>
      <w:u w:val="none"/>
    </w:rPr>
  </w:style>
  <w:style w:type="paragraph" w:customStyle="1" w:styleId="23">
    <w:name w:val="BodyText"/>
    <w:basedOn w:val="1"/>
    <w:next w:val="24"/>
    <w:qFormat/>
    <w:uiPriority w:val="0"/>
    <w:pPr>
      <w:textAlignment w:val="baseline"/>
    </w:pPr>
  </w:style>
  <w:style w:type="paragraph" w:customStyle="1" w:styleId="24">
    <w:name w:val="TOC5"/>
    <w:basedOn w:val="1"/>
    <w:next w:val="1"/>
    <w:qFormat/>
    <w:uiPriority w:val="0"/>
    <w:pPr>
      <w:ind w:left="1680" w:leftChars="800"/>
      <w:textAlignment w:val="baseline"/>
    </w:pPr>
    <w:rPr>
      <w:rFonts w:ascii="Times New Roman" w:hAnsi="Times New Roman" w:eastAsia="方正仿宋_GBK"/>
      <w:sz w:val="32"/>
      <w:szCs w:val="24"/>
    </w:rPr>
  </w:style>
  <w:style w:type="character" w:customStyle="1" w:styleId="25">
    <w:name w:val="NormalCharacter"/>
    <w:semiHidden/>
    <w:qFormat/>
    <w:uiPriority w:val="0"/>
    <w:rPr>
      <w:rFonts w:ascii="Calibri" w:hAnsi="Calibri" w:eastAsia="宋体" w:cs="Times New Roman"/>
      <w:kern w:val="2"/>
      <w:sz w:val="21"/>
      <w:szCs w:val="24"/>
      <w:lang w:val="en-US" w:eastAsia="zh-CN" w:bidi="ar-SA"/>
    </w:rPr>
  </w:style>
  <w:style w:type="paragraph" w:customStyle="1" w:styleId="26">
    <w:name w:val="Body text|1"/>
    <w:basedOn w:val="1"/>
    <w:qFormat/>
    <w:uiPriority w:val="0"/>
    <w:pPr>
      <w:spacing w:line="434" w:lineRule="auto"/>
      <w:ind w:firstLine="400"/>
    </w:pPr>
    <w:rPr>
      <w:rFonts w:ascii="宋体" w:hAnsi="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BE8A60-BAA9-4CC1-9072-34BCF8E7240C}">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15</Pages>
  <Words>7223</Words>
  <Characters>7669</Characters>
  <Lines>57</Lines>
  <Paragraphs>16</Paragraphs>
  <TotalTime>8</TotalTime>
  <ScaleCrop>false</ScaleCrop>
  <LinksUpToDate>false</LinksUpToDate>
  <CharactersWithSpaces>7672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2020-06-04T12:30:00Z</dcterms:created>
  <dc:creator>陈鑫</dc:creator>
  <cp:lastModifiedBy>彼岸花开七色天</cp:lastModifiedBy>
  <cp:lastPrinted>2021-10-21T03:34:00Z</cp:lastPrinted>
  <dcterms:modified xsi:type="dcterms:W3CDTF">2025-06-30T01:17:38Z</dcterms:modified>
  <cp:revision>2654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B3711DD19E8B4EF79C4481EA063EBCC3</vt:lpwstr>
  </property>
  <property fmtid="{D5CDD505-2E9C-101B-9397-08002B2CF9AE}" pid="4" name="KSOSaveFontToCloudKey">
    <vt:lpwstr>250670773_embed</vt:lpwstr>
  </property>
  <property fmtid="{D5CDD505-2E9C-101B-9397-08002B2CF9AE}" pid="5" name="KSOTemplateDocerSaveRecord">
    <vt:lpwstr>eyJoZGlkIjoiOWM5YjhiNTFjNDEzMDUxZTY3YWU1OTkzNWUyY2E3NTMiLCJ1c2VySWQiOiI3MjM2MTUzNTcifQ==</vt:lpwstr>
  </property>
</Properties>
</file>