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城口县供</w:t>
      </w:r>
      <w:bookmarkStart w:id="0" w:name="_GoBack"/>
      <w:bookmarkEnd w:id="0"/>
      <w:r>
        <w:rPr>
          <w:rFonts w:hint="default" w:ascii="Times New Roman" w:hAnsi="Times New Roman" w:eastAsia="方正小标宋_GBK" w:cs="Times New Roman"/>
          <w:sz w:val="44"/>
          <w:szCs w:val="44"/>
        </w:rPr>
        <w:t>销合作社（本级）</w:t>
      </w:r>
    </w:p>
    <w:p>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hint="default" w:ascii="Times New Roman" w:hAnsi="Times New Roman" w:eastAsia="方正小标宋_GBK" w:cs="Times New Roman"/>
          <w:sz w:val="44"/>
          <w:szCs w:val="44"/>
          <w:shd w:val="clear" w:color="auto" w:fill="FFFFFF"/>
        </w:rPr>
      </w:pPr>
      <w:r>
        <w:rPr>
          <w:rFonts w:hint="default" w:ascii="Times New Roman" w:hAnsi="Times New Roman" w:eastAsia="方正小标宋_GBK" w:cs="Times New Roman"/>
          <w:sz w:val="44"/>
          <w:szCs w:val="44"/>
          <w:shd w:val="clear" w:color="auto" w:fill="FFFFFF"/>
        </w:rPr>
        <w:t>2024</w:t>
      </w:r>
      <w:r>
        <w:rPr>
          <w:rFonts w:hint="default" w:ascii="Times New Roman" w:hAnsi="Times New Roman" w:eastAsia="方正小标宋_GBK" w:cs="Times New Roman"/>
          <w:sz w:val="44"/>
          <w:szCs w:val="44"/>
          <w:shd w:val="clear" w:color="auto" w:fill="FFFFFF"/>
        </w:rPr>
        <w:t>年度决算公开说明</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Style w:val="13"/>
          <w:rFonts w:hint="default" w:ascii="Times New Roman" w:hAnsi="Times New Roman" w:eastAsia="黑体" w:cs="Times New Roman"/>
          <w:b w:val="0"/>
          <w:bCs/>
          <w:sz w:val="32"/>
          <w:szCs w:val="32"/>
          <w:shd w:val="clear" w:color="auto" w:fill="FFFFFF"/>
        </w:rPr>
      </w:pPr>
      <w:r>
        <w:rPr>
          <w:rStyle w:val="13"/>
          <w:rFonts w:hint="default" w:ascii="Times New Roman" w:hAnsi="Times New Roman" w:eastAsia="黑体" w:cs="Times New Roman"/>
          <w:b w:val="0"/>
          <w:bCs/>
          <w:sz w:val="32"/>
          <w:szCs w:val="32"/>
          <w:shd w:val="clear" w:color="auto" w:fill="FFFFFF"/>
        </w:rPr>
        <w:t>一、</w:t>
      </w:r>
      <w:r>
        <w:rPr>
          <w:rStyle w:val="13"/>
          <w:rFonts w:hint="default" w:ascii="Times New Roman" w:hAnsi="Times New Roman" w:eastAsia="黑体" w:cs="Times New Roman"/>
          <w:b w:val="0"/>
          <w:bCs/>
          <w:sz w:val="32"/>
          <w:szCs w:val="32"/>
          <w:shd w:val="clear" w:color="auto" w:fill="FFFFFF"/>
          <w:lang w:eastAsia="zh-CN"/>
        </w:rPr>
        <w:t>单位</w:t>
      </w:r>
      <w:r>
        <w:rPr>
          <w:rStyle w:val="13"/>
          <w:rFonts w:hint="default" w:ascii="Times New Roman" w:hAnsi="Times New Roman" w:eastAsia="黑体" w:cs="Times New Roman"/>
          <w:b w:val="0"/>
          <w:bCs/>
          <w:sz w:val="32"/>
          <w:szCs w:val="32"/>
          <w:shd w:val="clear" w:color="auto" w:fill="FFFFFF"/>
        </w:rPr>
        <w:t>基本情况</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default" w:ascii="Times New Roman" w:hAnsi="Times New Roman" w:eastAsia="方正仿宋_GBK" w:cs="Times New Roman"/>
          <w:b w:val="0"/>
          <w:bCs/>
          <w:sz w:val="32"/>
          <w:szCs w:val="32"/>
        </w:rPr>
      </w:pPr>
      <w:r>
        <w:rPr>
          <w:rStyle w:val="13"/>
          <w:rFonts w:hint="default" w:ascii="Times New Roman" w:hAnsi="Times New Roman" w:eastAsia="楷体" w:cs="Times New Roman"/>
          <w:b w:val="0"/>
          <w:bCs/>
          <w:sz w:val="32"/>
          <w:szCs w:val="32"/>
          <w:shd w:val="clear" w:color="auto" w:fill="FFFFFF"/>
        </w:rPr>
        <w:t>（一）职能职责</w:t>
      </w:r>
    </w:p>
    <w:p>
      <w:pPr>
        <w:keepNext w:val="0"/>
        <w:keepLines w:val="0"/>
        <w:widowControl/>
        <w:suppressLineNumbers w:val="0"/>
        <w:autoSpaceDE w:val="0"/>
        <w:autoSpaceDN/>
        <w:spacing w:line="560" w:lineRule="exact"/>
        <w:ind w:left="0" w:firstLine="640" w:firstLineChars="200"/>
        <w:jc w:val="both"/>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lang w:val="en-US" w:eastAsia="zh-CN"/>
        </w:rPr>
        <w:t>1）</w:t>
      </w:r>
      <w:r>
        <w:rPr>
          <w:rFonts w:hint="default" w:ascii="Times New Roman" w:hAnsi="Times New Roman" w:eastAsia="方正仿宋_GBK" w:cs="Times New Roman"/>
          <w:kern w:val="0"/>
          <w:sz w:val="32"/>
          <w:szCs w:val="32"/>
        </w:rPr>
        <w:t>贯彻执行党中央、国务院和市委、市政府有关农村经济工作和社会发展的方针政策。</w:t>
      </w:r>
    </w:p>
    <w:p>
      <w:pPr>
        <w:keepNext w:val="0"/>
        <w:keepLines w:val="0"/>
        <w:widowControl/>
        <w:suppressLineNumbers w:val="0"/>
        <w:autoSpaceDE w:val="0"/>
        <w:autoSpaceDN/>
        <w:spacing w:line="560" w:lineRule="exact"/>
        <w:ind w:left="0" w:firstLine="640" w:firstLineChars="200"/>
        <w:jc w:val="both"/>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lang w:val="en-US" w:eastAsia="zh-CN"/>
        </w:rPr>
        <w:t>2）</w:t>
      </w:r>
      <w:r>
        <w:rPr>
          <w:rFonts w:hint="default" w:ascii="Times New Roman" w:hAnsi="Times New Roman" w:eastAsia="方正仿宋_GBK" w:cs="Times New Roman"/>
          <w:kern w:val="0"/>
          <w:sz w:val="32"/>
          <w:szCs w:val="32"/>
        </w:rPr>
        <w:t>组织实施全县供销合作社的发展战略和发展规划；指导全县供销合作社的改革和发展；起草和制定本级供销合作社经营管理的各项规章制度。</w:t>
      </w:r>
    </w:p>
    <w:p>
      <w:pPr>
        <w:keepNext w:val="0"/>
        <w:keepLines w:val="0"/>
        <w:widowControl/>
        <w:suppressLineNumbers w:val="0"/>
        <w:autoSpaceDE w:val="0"/>
        <w:autoSpaceDN/>
        <w:spacing w:line="560" w:lineRule="exact"/>
        <w:ind w:left="0" w:firstLine="640" w:firstLineChars="200"/>
        <w:jc w:val="both"/>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lang w:val="en-US" w:eastAsia="zh-CN"/>
        </w:rPr>
        <w:t>3</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按照政府授权对重要农业生产资料、再生资源及农副产品等经营进行组织、协调和管理，负责指导全县供销合作社系统做好化肥储备和供应工作。</w:t>
      </w:r>
    </w:p>
    <w:p>
      <w:pPr>
        <w:keepNext w:val="0"/>
        <w:keepLines w:val="0"/>
        <w:widowControl/>
        <w:suppressLineNumbers w:val="0"/>
        <w:autoSpaceDE w:val="0"/>
        <w:autoSpaceDN/>
        <w:spacing w:line="560" w:lineRule="exact"/>
        <w:ind w:left="0" w:firstLine="640" w:firstLineChars="200"/>
        <w:jc w:val="both"/>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lang w:val="en-US" w:eastAsia="zh-CN"/>
        </w:rPr>
        <w:t>4</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指导推进全县农村合作经济组织发展；指导系统推动发展各类专业合作社；加强农村综合服务体系建设，开拓培育城乡市场；参与农业产业化经营工作；参与农村现代流通网络建设；组织开展对农村合作经济组织人员的培训工作。</w:t>
      </w:r>
    </w:p>
    <w:p>
      <w:pPr>
        <w:keepNext w:val="0"/>
        <w:keepLines w:val="0"/>
        <w:widowControl/>
        <w:suppressLineNumbers w:val="0"/>
        <w:autoSpaceDE w:val="0"/>
        <w:autoSpaceDN/>
        <w:spacing w:line="560" w:lineRule="exact"/>
        <w:ind w:left="0" w:firstLine="640" w:firstLineChars="200"/>
        <w:jc w:val="both"/>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依法管理运营本级社有资产，建立完善现代企业制度，监督社有资产保值增值；指导社有出资企业改革发展；对社有出资企业行使出资人职责；对全县社有资产管理进行指导监督。</w:t>
      </w:r>
    </w:p>
    <w:p>
      <w:pPr>
        <w:keepNext w:val="0"/>
        <w:keepLines w:val="0"/>
        <w:widowControl/>
        <w:suppressLineNumbers w:val="0"/>
        <w:autoSpaceDE w:val="0"/>
        <w:autoSpaceDN/>
        <w:spacing w:line="560" w:lineRule="exact"/>
        <w:ind w:left="0" w:firstLine="640" w:firstLineChars="200"/>
        <w:jc w:val="both"/>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lang w:val="en-US" w:eastAsia="zh-CN"/>
        </w:rPr>
        <w:t>6</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协调与政府部门、社会组织的关系，指导本系统业务工作及成员社的业务活动。</w:t>
      </w:r>
    </w:p>
    <w:p>
      <w:pPr>
        <w:keepNext w:val="0"/>
        <w:keepLines w:val="0"/>
        <w:widowControl/>
        <w:suppressLineNumbers w:val="0"/>
        <w:autoSpaceDE w:val="0"/>
        <w:autoSpaceDN/>
        <w:spacing w:line="560" w:lineRule="exact"/>
        <w:ind w:left="0" w:firstLine="640" w:firstLineChars="200"/>
        <w:jc w:val="both"/>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lang w:val="en-US" w:eastAsia="zh-CN"/>
        </w:rPr>
        <w:t>7</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承担应急救援相关职责。</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lang w:val="en-US" w:eastAsia="zh-CN"/>
        </w:rPr>
        <w:t>8</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承担县政府交办的其他事项。</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default" w:ascii="Times New Roman" w:hAnsi="Times New Roman" w:eastAsia="楷体" w:cs="Times New Roman"/>
          <w:b w:val="0"/>
          <w:bCs/>
          <w:sz w:val="32"/>
          <w:szCs w:val="32"/>
        </w:rPr>
      </w:pPr>
      <w:r>
        <w:rPr>
          <w:rStyle w:val="13"/>
          <w:rFonts w:hint="default" w:ascii="Times New Roman" w:hAnsi="Times New Roman" w:eastAsia="楷体" w:cs="Times New Roman"/>
          <w:b w:val="0"/>
          <w:bCs/>
          <w:sz w:val="32"/>
          <w:szCs w:val="32"/>
          <w:shd w:val="clear" w:color="auto" w:fill="FFFFFF"/>
        </w:rPr>
        <w:t>（二）机构设置</w:t>
      </w:r>
    </w:p>
    <w:p>
      <w:pPr>
        <w:snapToGrid w:val="0"/>
        <w:spacing w:line="52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kern w:val="0"/>
          <w:sz w:val="32"/>
          <w:szCs w:val="32"/>
        </w:rPr>
        <w:t>本单位内设科室5个：监事会办公室、办公室、经济发展科、合作经济指导科、财务审计科。</w:t>
      </w:r>
      <w:r>
        <w:rPr>
          <w:rFonts w:hint="default" w:ascii="Times New Roman" w:hAnsi="Times New Roman" w:eastAsia="方正仿宋_GBK" w:cs="Times New Roman"/>
          <w:kern w:val="0"/>
          <w:sz w:val="32"/>
          <w:szCs w:val="32"/>
          <w:lang w:eastAsia="zh-CN"/>
        </w:rPr>
        <w:t>与上一年度无变化。</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Style w:val="13"/>
          <w:rFonts w:hint="default" w:ascii="Times New Roman" w:hAnsi="Times New Roman" w:eastAsia="黑体" w:cs="Times New Roman"/>
          <w:b w:val="0"/>
          <w:bCs/>
          <w:sz w:val="32"/>
          <w:szCs w:val="32"/>
          <w:shd w:val="clear" w:color="auto" w:fill="FFFFFF"/>
        </w:rPr>
      </w:pPr>
      <w:r>
        <w:rPr>
          <w:rStyle w:val="13"/>
          <w:rFonts w:hint="default" w:ascii="Times New Roman" w:hAnsi="Times New Roman" w:eastAsia="黑体" w:cs="Times New Roman"/>
          <w:b w:val="0"/>
          <w:bCs/>
          <w:sz w:val="32"/>
          <w:szCs w:val="32"/>
          <w:shd w:val="clear" w:color="auto" w:fill="FFFFFF"/>
        </w:rPr>
        <w:t>二、</w:t>
      </w:r>
      <w:r>
        <w:rPr>
          <w:rStyle w:val="13"/>
          <w:rFonts w:hint="default" w:ascii="Times New Roman" w:hAnsi="Times New Roman" w:eastAsia="黑体" w:cs="Times New Roman"/>
          <w:b w:val="0"/>
          <w:bCs/>
          <w:sz w:val="32"/>
          <w:szCs w:val="32"/>
          <w:shd w:val="clear" w:color="auto" w:fill="FFFFFF"/>
          <w:lang w:eastAsia="zh-CN"/>
        </w:rPr>
        <w:t>单位</w:t>
      </w:r>
      <w:r>
        <w:rPr>
          <w:rStyle w:val="13"/>
          <w:rFonts w:hint="default" w:ascii="Times New Roman" w:hAnsi="Times New Roman" w:eastAsia="黑体" w:cs="Times New Roman"/>
          <w:b w:val="0"/>
          <w:bCs/>
          <w:sz w:val="32"/>
          <w:szCs w:val="32"/>
          <w:shd w:val="clear" w:color="auto" w:fill="FFFFFF"/>
        </w:rPr>
        <w:t>决算</w:t>
      </w:r>
      <w:r>
        <w:rPr>
          <w:rStyle w:val="13"/>
          <w:rFonts w:hint="default" w:ascii="Times New Roman" w:hAnsi="Times New Roman" w:eastAsia="黑体" w:cs="Times New Roman"/>
          <w:b w:val="0"/>
          <w:bCs/>
          <w:sz w:val="32"/>
          <w:szCs w:val="32"/>
          <w:shd w:val="clear" w:color="auto" w:fill="FFFFFF"/>
          <w:lang w:eastAsia="zh-CN"/>
        </w:rPr>
        <w:t>收支</w:t>
      </w:r>
      <w:r>
        <w:rPr>
          <w:rStyle w:val="13"/>
          <w:rFonts w:hint="default" w:ascii="Times New Roman" w:hAnsi="Times New Roman" w:eastAsia="黑体" w:cs="Times New Roman"/>
          <w:b w:val="0"/>
          <w:bCs/>
          <w:sz w:val="32"/>
          <w:szCs w:val="32"/>
          <w:shd w:val="clear" w:color="auto" w:fill="FFFFFF"/>
        </w:rPr>
        <w:t>情况说明</w:t>
      </w:r>
    </w:p>
    <w:p>
      <w:pPr>
        <w:pStyle w:val="14"/>
        <w:keepNext w:val="0"/>
        <w:keepLines w:val="0"/>
        <w:pageBreakBefore w:val="0"/>
        <w:widowControl/>
        <w:kinsoku/>
        <w:wordWrap/>
        <w:overflowPunct/>
        <w:topLinePunct w:val="0"/>
        <w:autoSpaceDE w:val="0"/>
        <w:autoSpaceDN/>
        <w:bidi w:val="0"/>
        <w:adjustRightInd/>
        <w:snapToGrid/>
        <w:spacing w:line="596" w:lineRule="exact"/>
        <w:ind w:firstLine="640" w:firstLineChars="200"/>
        <w:textAlignment w:val="auto"/>
        <w:rPr>
          <w:rFonts w:hint="default" w:ascii="Times New Roman" w:hAnsi="Times New Roman" w:eastAsia="楷体" w:cs="Times New Roman"/>
          <w:b w:val="0"/>
          <w:bCs w:val="0"/>
          <w:sz w:val="32"/>
          <w:szCs w:val="32"/>
          <w:shd w:val="clear" w:color="auto" w:fill="FFFFFF"/>
        </w:rPr>
      </w:pPr>
      <w:r>
        <w:rPr>
          <w:rFonts w:hint="default" w:ascii="Times New Roman" w:hAnsi="Times New Roman" w:eastAsia="楷体" w:cs="Times New Roman"/>
          <w:b w:val="0"/>
          <w:bCs w:val="0"/>
          <w:sz w:val="32"/>
          <w:szCs w:val="32"/>
          <w:shd w:val="clear" w:color="auto" w:fill="FFFFFF"/>
        </w:rPr>
        <w:t>（一）收入支出决算总体情况说明</w:t>
      </w:r>
    </w:p>
    <w:p>
      <w:pPr>
        <w:pStyle w:val="9"/>
        <w:shd w:val="clear" w:color="auto" w:fill="FFFFFF"/>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shd w:val="clear" w:color="auto" w:fill="FFFFFF"/>
          <w:lang w:eastAsia="zh-CN"/>
        </w:rPr>
      </w:pPr>
      <w:r>
        <w:rPr>
          <w:rFonts w:hint="default" w:ascii="Times New Roman" w:hAnsi="Times New Roman" w:eastAsia="方正仿宋_GBK" w:cs="Times New Roman"/>
          <w:sz w:val="32"/>
          <w:szCs w:val="32"/>
          <w:shd w:val="clear" w:color="auto" w:fill="FFFFFF"/>
        </w:rPr>
        <w:t>2024年度收</w:t>
      </w:r>
      <w:r>
        <w:rPr>
          <w:rFonts w:hint="default" w:ascii="Times New Roman" w:hAnsi="Times New Roman" w:eastAsia="方正仿宋_GBK" w:cs="Times New Roman"/>
          <w:sz w:val="32"/>
          <w:szCs w:val="32"/>
          <w:shd w:val="clear" w:color="auto" w:fill="FFFFFF"/>
          <w:lang w:eastAsia="zh-CN"/>
        </w:rPr>
        <w:t>、支</w:t>
      </w:r>
      <w:r>
        <w:rPr>
          <w:rFonts w:hint="default" w:ascii="Times New Roman" w:hAnsi="Times New Roman" w:eastAsia="方正仿宋_GBK" w:cs="Times New Roman"/>
          <w:sz w:val="32"/>
          <w:szCs w:val="32"/>
          <w:shd w:val="clear" w:color="auto" w:fill="FFFFFF"/>
        </w:rPr>
        <w:t>总计</w:t>
      </w:r>
      <w:r>
        <w:rPr>
          <w:rFonts w:hint="default" w:ascii="Times New Roman" w:hAnsi="Times New Roman" w:eastAsia="方正仿宋_GBK" w:cs="Times New Roman"/>
          <w:sz w:val="32"/>
          <w:szCs w:val="32"/>
          <w:shd w:val="clear" w:color="auto" w:fill="FFFFFF"/>
          <w:lang w:eastAsia="zh-CN"/>
        </w:rPr>
        <w:t>均为</w:t>
      </w:r>
      <w:r>
        <w:rPr>
          <w:rFonts w:hint="default" w:ascii="Times New Roman" w:hAnsi="Times New Roman" w:eastAsia="方正仿宋_GBK" w:cs="Times New Roman"/>
          <w:sz w:val="32"/>
          <w:szCs w:val="32"/>
          <w:shd w:val="clear" w:color="auto" w:fill="FFFFFF"/>
        </w:rPr>
        <w:t>793.35万元。收、支与2023年度相比，减少772.76万元，下降49.3%，主要原因是项目支出拨款收入及其他收入较上年度减少</w:t>
      </w:r>
      <w:r>
        <w:rPr>
          <w:rFonts w:hint="default" w:ascii="Times New Roman" w:hAnsi="Times New Roman" w:eastAsia="方正仿宋_GBK" w:cs="Times New Roman"/>
          <w:sz w:val="32"/>
          <w:szCs w:val="32"/>
          <w:shd w:val="clear" w:color="auto" w:fill="FFFFFF"/>
          <w:lang w:eastAsia="zh-CN"/>
        </w:rPr>
        <w:t>。</w:t>
      </w:r>
    </w:p>
    <w:p>
      <w:pPr>
        <w:pStyle w:val="9"/>
        <w:shd w:val="clear" w:color="auto" w:fill="FFFFFF"/>
        <w:spacing w:before="0" w:beforeAutospacing="0" w:after="0" w:afterAutospacing="0" w:line="596" w:lineRule="exact"/>
        <w:ind w:firstLine="643" w:firstLineChars="200"/>
        <w:jc w:val="both"/>
        <w:rPr>
          <w:rFonts w:hint="default" w:ascii="Times New Roman" w:hAnsi="Times New Roman" w:eastAsia="方正仿宋_GBK" w:cs="Times New Roman"/>
          <w:sz w:val="32"/>
          <w:szCs w:val="32"/>
          <w:shd w:val="clear" w:color="auto" w:fill="FFFFFF"/>
        </w:rPr>
      </w:pPr>
      <w:r>
        <w:rPr>
          <w:rStyle w:val="13"/>
          <w:rFonts w:hint="default" w:ascii="Times New Roman" w:hAnsi="Times New Roman" w:eastAsia="方正仿宋_GBK" w:cs="Times New Roman"/>
          <w:sz w:val="32"/>
          <w:szCs w:val="32"/>
          <w:shd w:val="clear" w:color="auto" w:fill="FFFFFF"/>
          <w:lang w:val="en-US" w:eastAsia="zh-CN"/>
        </w:rPr>
        <w:t>1</w:t>
      </w:r>
      <w:r>
        <w:rPr>
          <w:rStyle w:val="13"/>
          <w:rFonts w:hint="default" w:ascii="Times New Roman" w:hAnsi="Times New Roman" w:eastAsia="方正仿宋_GBK" w:cs="Times New Roman"/>
          <w:sz w:val="32"/>
          <w:szCs w:val="32"/>
          <w:shd w:val="clear" w:color="auto" w:fill="FFFFFF"/>
        </w:rPr>
        <w:t>.收入情况。</w:t>
      </w:r>
      <w:r>
        <w:rPr>
          <w:rFonts w:hint="default" w:ascii="Times New Roman" w:hAnsi="Times New Roman" w:eastAsia="方正仿宋_GBK" w:cs="Times New Roman"/>
          <w:sz w:val="32"/>
          <w:szCs w:val="32"/>
          <w:shd w:val="clear" w:color="auto" w:fill="FFFFFF"/>
        </w:rPr>
        <w:t>2024年度收入合计695.50万元，与2023年度相比，减少788.08万元，下降53.1%，主要原因是项目支出拨款收入及其他收入较上年度减少</w:t>
      </w:r>
      <w:r>
        <w:rPr>
          <w:rFonts w:hint="default"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其中：财政拨款收入695.50万元，占100.0%；事业收入0.00万元，占0.0%；经营收入0.00万元，占0.0%；其他收入0.00万元，占0.0%。此外，使用非财政拨款结余（含专用结余）0.00万元，年初结转和结余97.85万元。</w:t>
      </w:r>
    </w:p>
    <w:p>
      <w:pPr>
        <w:pStyle w:val="9"/>
        <w:snapToGrid w:val="0"/>
        <w:spacing w:before="0" w:beforeAutospacing="0" w:after="0" w:afterAutospacing="0" w:line="596" w:lineRule="exact"/>
        <w:ind w:firstLine="643" w:firstLineChars="200"/>
        <w:jc w:val="both"/>
        <w:rPr>
          <w:rFonts w:hint="default" w:ascii="Times New Roman" w:hAnsi="Times New Roman" w:eastAsia="方正仿宋_GBK" w:cs="Times New Roman"/>
          <w:sz w:val="32"/>
          <w:szCs w:val="32"/>
          <w:shd w:val="clear" w:color="auto" w:fill="FFFFFF"/>
        </w:rPr>
      </w:pPr>
      <w:r>
        <w:rPr>
          <w:rStyle w:val="13"/>
          <w:rFonts w:hint="default" w:ascii="Times New Roman" w:hAnsi="Times New Roman" w:eastAsia="方正仿宋_GBK" w:cs="Times New Roman"/>
          <w:sz w:val="32"/>
          <w:szCs w:val="32"/>
          <w:shd w:val="clear" w:color="auto" w:fill="FFFFFF"/>
          <w:lang w:val="en-US" w:eastAsia="zh-CN"/>
        </w:rPr>
        <w:t>2</w:t>
      </w:r>
      <w:r>
        <w:rPr>
          <w:rStyle w:val="13"/>
          <w:rFonts w:hint="default" w:ascii="Times New Roman" w:hAnsi="Times New Roman" w:eastAsia="方正仿宋_GBK" w:cs="Times New Roman"/>
          <w:sz w:val="32"/>
          <w:szCs w:val="32"/>
          <w:shd w:val="clear" w:color="auto" w:fill="FFFFFF"/>
        </w:rPr>
        <w:t>.支出情况。</w:t>
      </w:r>
      <w:r>
        <w:rPr>
          <w:rFonts w:hint="default" w:ascii="Times New Roman" w:hAnsi="Times New Roman" w:eastAsia="方正仿宋_GBK" w:cs="Times New Roman"/>
          <w:sz w:val="32"/>
          <w:szCs w:val="32"/>
          <w:shd w:val="clear" w:color="auto" w:fill="FFFFFF"/>
        </w:rPr>
        <w:t>2024年度支出合计695.50万元，与2023年度相比，减少772.76万元，下降52.6%，主要原因是项目支出拨款收入及其他收入较上年度减少</w:t>
      </w:r>
      <w:r>
        <w:rPr>
          <w:rFonts w:hint="default"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其中：基本支出348.68万元，占50.1%；项目支出346.82万元，占49.9%；经营支出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万元，占0.0%。此外，结余分配0.00万元。</w:t>
      </w:r>
    </w:p>
    <w:p>
      <w:pPr>
        <w:pStyle w:val="9"/>
        <w:snapToGrid w:val="0"/>
        <w:spacing w:before="0" w:beforeAutospacing="0" w:after="0" w:afterAutospacing="0" w:line="596" w:lineRule="exact"/>
        <w:ind w:firstLine="643" w:firstLineChars="200"/>
        <w:jc w:val="both"/>
        <w:rPr>
          <w:rFonts w:hint="default" w:ascii="Times New Roman" w:hAnsi="Times New Roman" w:eastAsia="方正仿宋_GBK" w:cs="Times New Roman"/>
          <w:sz w:val="32"/>
          <w:szCs w:val="32"/>
          <w:lang w:eastAsia="zh-CN"/>
        </w:rPr>
      </w:pPr>
      <w:r>
        <w:rPr>
          <w:rStyle w:val="13"/>
          <w:rFonts w:hint="default" w:ascii="Times New Roman" w:hAnsi="Times New Roman" w:eastAsia="方正仿宋_GBK" w:cs="Times New Roman"/>
          <w:sz w:val="32"/>
          <w:szCs w:val="32"/>
          <w:shd w:val="clear" w:color="auto" w:fill="FFFFFF"/>
          <w:lang w:val="en-US" w:eastAsia="zh-CN"/>
        </w:rPr>
        <w:t>3</w:t>
      </w:r>
      <w:r>
        <w:rPr>
          <w:rStyle w:val="13"/>
          <w:rFonts w:hint="default" w:ascii="Times New Roman" w:hAnsi="Times New Roman" w:eastAsia="方正仿宋_GBK" w:cs="Times New Roman"/>
          <w:sz w:val="32"/>
          <w:szCs w:val="32"/>
          <w:shd w:val="clear" w:color="auto" w:fill="FFFFFF"/>
        </w:rPr>
        <w:t>.结转结余情况。</w:t>
      </w:r>
      <w:r>
        <w:rPr>
          <w:rFonts w:hint="default" w:ascii="Times New Roman" w:hAnsi="Times New Roman" w:eastAsia="方正仿宋_GBK" w:cs="Times New Roman"/>
          <w:sz w:val="32"/>
          <w:szCs w:val="32"/>
          <w:shd w:val="clear" w:color="auto" w:fill="FFFFFF"/>
        </w:rPr>
        <w:t>2024年度年末结转和结余97.85万元，与2023年度相比，无增减</w:t>
      </w:r>
      <w:r>
        <w:rPr>
          <w:rFonts w:hint="default" w:ascii="Times New Roman" w:hAnsi="Times New Roman" w:eastAsia="方正仿宋_GBK" w:cs="Times New Roman"/>
          <w:sz w:val="32"/>
          <w:szCs w:val="32"/>
          <w:shd w:val="clear" w:color="auto" w:fill="FFFFFF"/>
          <w:lang w:eastAsia="zh-CN"/>
        </w:rPr>
        <w:t>。</w:t>
      </w:r>
    </w:p>
    <w:p>
      <w:pPr>
        <w:pStyle w:val="14"/>
        <w:keepNext w:val="0"/>
        <w:keepLines w:val="0"/>
        <w:pageBreakBefore w:val="0"/>
        <w:widowControl/>
        <w:kinsoku/>
        <w:wordWrap/>
        <w:overflowPunct/>
        <w:topLinePunct w:val="0"/>
        <w:autoSpaceDE w:val="0"/>
        <w:autoSpaceDN/>
        <w:bidi w:val="0"/>
        <w:adjustRightInd/>
        <w:snapToGrid/>
        <w:spacing w:line="596" w:lineRule="exact"/>
        <w:ind w:firstLine="640" w:firstLineChars="200"/>
        <w:textAlignment w:val="auto"/>
        <w:rPr>
          <w:rFonts w:hint="default" w:ascii="Times New Roman" w:hAnsi="Times New Roman" w:eastAsia="楷体" w:cs="Times New Roman"/>
          <w:b w:val="0"/>
          <w:bCs w:val="0"/>
          <w:sz w:val="32"/>
          <w:szCs w:val="32"/>
          <w:shd w:val="clear" w:color="auto" w:fill="FFFFFF"/>
        </w:rPr>
      </w:pPr>
      <w:r>
        <w:rPr>
          <w:rFonts w:hint="default" w:ascii="Times New Roman" w:hAnsi="Times New Roman" w:eastAsia="楷体" w:cs="Times New Roman"/>
          <w:b w:val="0"/>
          <w:bCs w:val="0"/>
          <w:sz w:val="32"/>
          <w:szCs w:val="32"/>
          <w:shd w:val="clear" w:color="auto" w:fill="FFFFFF"/>
        </w:rPr>
        <w:t>（二）财政拨款收入支出决算总体情况说明</w:t>
      </w:r>
    </w:p>
    <w:p>
      <w:pPr>
        <w:pStyle w:val="9"/>
        <w:snapToGrid w:val="0"/>
        <w:spacing w:before="0" w:beforeAutospacing="0" w:after="0" w:afterAutospacing="0" w:line="596" w:lineRule="exact"/>
        <w:ind w:firstLine="640" w:firstLineChars="200"/>
        <w:jc w:val="both"/>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shd w:val="clear" w:color="auto" w:fill="FFFFFF"/>
        </w:rPr>
        <w:t>2024年度财政拨款收、支总计均为695.50万元。与2023年</w:t>
      </w:r>
      <w:r>
        <w:rPr>
          <w:rFonts w:hint="default" w:ascii="Times New Roman" w:hAnsi="Times New Roman" w:eastAsia="方正仿宋_GBK" w:cs="Times New Roman"/>
          <w:b w:val="0"/>
          <w:bCs w:val="0"/>
          <w:sz w:val="32"/>
          <w:szCs w:val="32"/>
          <w:shd w:val="clear" w:color="auto" w:fill="FFFFFF"/>
          <w:lang w:eastAsia="zh-CN"/>
        </w:rPr>
        <w:t>度</w:t>
      </w:r>
      <w:r>
        <w:rPr>
          <w:rFonts w:hint="default" w:ascii="Times New Roman" w:hAnsi="Times New Roman" w:eastAsia="方正仿宋_GBK" w:cs="Times New Roman"/>
          <w:b w:val="0"/>
          <w:bCs w:val="0"/>
          <w:sz w:val="32"/>
          <w:szCs w:val="32"/>
          <w:shd w:val="clear" w:color="auto" w:fill="FFFFFF"/>
        </w:rPr>
        <w:t>相比，财政拨款收、支总计各减少713.56万元，下降50.6%。主要原因是</w:t>
      </w:r>
      <w:r>
        <w:rPr>
          <w:rFonts w:hint="default" w:ascii="Times New Roman" w:hAnsi="Times New Roman" w:eastAsia="方正仿宋_GBK" w:cs="Times New Roman"/>
          <w:sz w:val="32"/>
          <w:szCs w:val="32"/>
          <w:shd w:val="clear" w:color="auto" w:fill="FFFFFF"/>
        </w:rPr>
        <w:t>项目支出拨款收入及其他收入较上年度减少</w:t>
      </w:r>
      <w:r>
        <w:rPr>
          <w:rFonts w:hint="default" w:ascii="Times New Roman" w:hAnsi="Times New Roman" w:eastAsia="方正仿宋_GBK" w:cs="Times New Roman"/>
          <w:sz w:val="32"/>
          <w:szCs w:val="32"/>
          <w:shd w:val="clear" w:color="auto" w:fill="FFFFFF"/>
          <w:lang w:eastAsia="zh-CN"/>
        </w:rPr>
        <w:t>。</w:t>
      </w:r>
    </w:p>
    <w:p>
      <w:pPr>
        <w:pStyle w:val="14"/>
        <w:keepNext w:val="0"/>
        <w:keepLines w:val="0"/>
        <w:pageBreakBefore w:val="0"/>
        <w:widowControl/>
        <w:kinsoku/>
        <w:wordWrap/>
        <w:overflowPunct/>
        <w:topLinePunct w:val="0"/>
        <w:autoSpaceDE w:val="0"/>
        <w:autoSpaceDN/>
        <w:bidi w:val="0"/>
        <w:adjustRightInd/>
        <w:snapToGrid/>
        <w:spacing w:line="596" w:lineRule="exact"/>
        <w:ind w:firstLine="640" w:firstLineChars="200"/>
        <w:textAlignment w:val="auto"/>
        <w:rPr>
          <w:rFonts w:hint="default" w:ascii="Times New Roman" w:hAnsi="Times New Roman" w:eastAsia="楷体" w:cs="Times New Roman"/>
          <w:b w:val="0"/>
          <w:bCs w:val="0"/>
          <w:sz w:val="32"/>
          <w:szCs w:val="32"/>
          <w:shd w:val="clear" w:color="auto" w:fill="FFFFFF"/>
        </w:rPr>
      </w:pPr>
      <w:r>
        <w:rPr>
          <w:rFonts w:hint="default" w:ascii="Times New Roman" w:hAnsi="Times New Roman" w:eastAsia="楷体" w:cs="Times New Roman"/>
          <w:b w:val="0"/>
          <w:bCs w:val="0"/>
          <w:sz w:val="32"/>
          <w:szCs w:val="32"/>
          <w:shd w:val="clear" w:color="auto" w:fill="FFFFFF"/>
        </w:rPr>
        <w:t>（三）一般公共预算财政拨款收入支出决算情况说明</w:t>
      </w:r>
    </w:p>
    <w:p>
      <w:pPr>
        <w:pStyle w:val="9"/>
        <w:snapToGrid w:val="0"/>
        <w:spacing w:before="0" w:beforeAutospacing="0" w:after="0" w:afterAutospacing="0" w:line="596" w:lineRule="exact"/>
        <w:ind w:firstLine="643" w:firstLineChars="200"/>
        <w:jc w:val="both"/>
        <w:rPr>
          <w:rFonts w:hint="default" w:ascii="Times New Roman" w:hAnsi="Times New Roman" w:eastAsia="方正仿宋_GBK" w:cs="Times New Roman"/>
          <w:sz w:val="32"/>
          <w:szCs w:val="32"/>
        </w:rPr>
      </w:pPr>
      <w:r>
        <w:rPr>
          <w:rStyle w:val="13"/>
          <w:rFonts w:hint="default" w:ascii="Times New Roman" w:hAnsi="Times New Roman" w:eastAsia="方正仿宋_GBK" w:cs="Times New Roman"/>
          <w:sz w:val="32"/>
          <w:szCs w:val="32"/>
          <w:shd w:val="clear" w:color="auto" w:fill="FFFFFF"/>
        </w:rPr>
        <w:t>1.收入情况。</w:t>
      </w:r>
      <w:r>
        <w:rPr>
          <w:rFonts w:hint="default" w:ascii="Times New Roman" w:hAnsi="Times New Roman" w:eastAsia="方正仿宋_GBK" w:cs="Times New Roman"/>
          <w:sz w:val="32"/>
          <w:szCs w:val="32"/>
          <w:shd w:val="clear" w:color="auto" w:fill="FFFFFF"/>
        </w:rPr>
        <w:t>2024年度一般公共预算财政拨款收入695.50万元，与2023年度相比，减少713.56万元，下降50.6%。主要原因是项目支出拨款收入及其他收入较上年度减少</w:t>
      </w:r>
      <w:r>
        <w:rPr>
          <w:rFonts w:hint="default"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较年初预算数增加249.15万元，增长55.8%。主要原因是</w:t>
      </w:r>
      <w:r>
        <w:rPr>
          <w:rFonts w:hint="default" w:ascii="Times New Roman" w:hAnsi="Times New Roman" w:eastAsia="方正仿宋_GBK" w:cs="Times New Roman"/>
          <w:sz w:val="32"/>
          <w:szCs w:val="32"/>
          <w:shd w:val="clear" w:color="auto" w:fill="FFFFFF"/>
          <w:lang w:eastAsia="zh-CN"/>
        </w:rPr>
        <w:t>项目资金的增加。</w:t>
      </w:r>
      <w:r>
        <w:rPr>
          <w:rFonts w:hint="default" w:ascii="Times New Roman" w:hAnsi="Times New Roman" w:eastAsia="方正仿宋_GBK" w:cs="Times New Roman"/>
          <w:sz w:val="32"/>
          <w:szCs w:val="32"/>
          <w:shd w:val="clear" w:color="auto" w:fill="FFFFFF"/>
        </w:rPr>
        <w:t>此外，年初财政拨款结转和结余0.00万元。</w:t>
      </w:r>
    </w:p>
    <w:p>
      <w:pPr>
        <w:pStyle w:val="9"/>
        <w:snapToGrid w:val="0"/>
        <w:spacing w:before="0" w:beforeAutospacing="0" w:after="0" w:afterAutospacing="0" w:line="596" w:lineRule="exact"/>
        <w:ind w:firstLine="643" w:firstLineChars="200"/>
        <w:jc w:val="both"/>
        <w:rPr>
          <w:rFonts w:hint="default" w:ascii="Times New Roman" w:hAnsi="Times New Roman" w:eastAsia="方正仿宋_GBK" w:cs="Times New Roman"/>
          <w:color w:val="FF0000"/>
          <w:sz w:val="32"/>
          <w:szCs w:val="32"/>
          <w:shd w:val="clear" w:color="auto" w:fill="FFFFFF"/>
        </w:rPr>
      </w:pPr>
      <w:r>
        <w:rPr>
          <w:rStyle w:val="13"/>
          <w:rFonts w:hint="default" w:ascii="Times New Roman" w:hAnsi="Times New Roman" w:eastAsia="方正仿宋_GBK" w:cs="Times New Roman"/>
          <w:sz w:val="32"/>
          <w:szCs w:val="32"/>
          <w:shd w:val="clear" w:color="auto" w:fill="FFFFFF"/>
        </w:rPr>
        <w:t>2.支出情况。</w:t>
      </w:r>
      <w:r>
        <w:rPr>
          <w:rFonts w:hint="default" w:ascii="Times New Roman" w:hAnsi="Times New Roman" w:eastAsia="方正仿宋_GBK" w:cs="Times New Roman"/>
          <w:sz w:val="32"/>
          <w:szCs w:val="32"/>
          <w:shd w:val="clear" w:color="auto" w:fill="FFFFFF"/>
        </w:rPr>
        <w:t>2024年度一般公共预算财政拨款支出695.50万元，与2023年度相比，减少713.56万元，下降50.6%。主要原因是项目支出拨款收入及其他收入较上年度减少</w:t>
      </w:r>
      <w:r>
        <w:rPr>
          <w:rFonts w:hint="default"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较年初预算数增加249.15万元，增长55.8%。主要原因是</w:t>
      </w:r>
      <w:r>
        <w:rPr>
          <w:rFonts w:hint="default" w:ascii="Times New Roman" w:hAnsi="Times New Roman" w:eastAsia="方正仿宋_GBK" w:cs="Times New Roman"/>
          <w:sz w:val="32"/>
          <w:szCs w:val="32"/>
          <w:shd w:val="clear" w:color="auto" w:fill="FFFFFF"/>
          <w:lang w:eastAsia="zh-CN"/>
        </w:rPr>
        <w:t>项目资金的增加。</w:t>
      </w:r>
    </w:p>
    <w:p>
      <w:pPr>
        <w:pStyle w:val="9"/>
        <w:keepNext w:val="0"/>
        <w:keepLines w:val="0"/>
        <w:pageBreakBefore w:val="0"/>
        <w:widowControl/>
        <w:kinsoku/>
        <w:wordWrap/>
        <w:overflowPunct/>
        <w:topLinePunct w:val="0"/>
        <w:autoSpaceDE/>
        <w:autoSpaceDN/>
        <w:bidi w:val="0"/>
        <w:adjustRightInd/>
        <w:snapToGrid w:val="0"/>
        <w:spacing w:before="0" w:beforeAutospacing="0" w:after="0" w:afterAutospacing="0" w:line="596" w:lineRule="exact"/>
        <w:ind w:firstLine="640" w:firstLineChars="200"/>
        <w:jc w:val="both"/>
        <w:textAlignment w:val="auto"/>
        <w:rPr>
          <w:rFonts w:hint="default" w:ascii="Times New Roman" w:hAnsi="Times New Roman" w:eastAsia="方正仿宋_GBK" w:cs="Times New Roman"/>
          <w:sz w:val="32"/>
          <w:szCs w:val="32"/>
          <w:highlight w:val="none"/>
          <w:shd w:val="clear" w:color="auto" w:fill="FFFFFF"/>
        </w:rPr>
      </w:pPr>
      <w:r>
        <w:rPr>
          <w:rFonts w:hint="default" w:ascii="Times New Roman" w:hAnsi="Times New Roman" w:eastAsia="方正仿宋_GBK" w:cs="Times New Roman"/>
          <w:sz w:val="32"/>
          <w:szCs w:val="32"/>
          <w:highlight w:val="none"/>
          <w:shd w:val="clear" w:color="auto" w:fill="FFFFFF"/>
        </w:rPr>
        <w:t>一般公共预算财政拨款支出主要</w:t>
      </w:r>
      <w:r>
        <w:rPr>
          <w:rFonts w:hint="default" w:ascii="Times New Roman" w:hAnsi="Times New Roman" w:eastAsia="方正仿宋_GBK" w:cs="Times New Roman"/>
          <w:sz w:val="32"/>
          <w:szCs w:val="32"/>
          <w:highlight w:val="none"/>
          <w:shd w:val="clear" w:color="auto" w:fill="FFFFFF"/>
          <w:lang w:eastAsia="zh-CN"/>
        </w:rPr>
        <w:t>用途如下</w:t>
      </w:r>
      <w:r>
        <w:rPr>
          <w:rFonts w:hint="default" w:ascii="Times New Roman" w:hAnsi="Times New Roman" w:eastAsia="方正仿宋_GBK" w:cs="Times New Roman"/>
          <w:sz w:val="32"/>
          <w:szCs w:val="32"/>
          <w:highlight w:val="none"/>
          <w:shd w:val="clear" w:color="auto" w:fill="FFFFFF"/>
        </w:rPr>
        <w:t>：</w:t>
      </w:r>
    </w:p>
    <w:p>
      <w:pPr>
        <w:pStyle w:val="9"/>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（1）一般公共服务支出1.02万元，占0.2%，较年初预算数无增减，主要原因是</w:t>
      </w:r>
      <w:r>
        <w:rPr>
          <w:rFonts w:hint="default" w:ascii="Times New Roman" w:hAnsi="Times New Roman" w:eastAsia="方正仿宋_GBK" w:cs="Times New Roman"/>
          <w:sz w:val="32"/>
          <w:szCs w:val="32"/>
          <w:shd w:val="clear" w:color="auto" w:fill="FFFFFF"/>
          <w:lang w:eastAsia="zh-CN"/>
        </w:rPr>
        <w:t>按财政预算严格控制支出</w:t>
      </w:r>
      <w:r>
        <w:rPr>
          <w:rFonts w:hint="default" w:ascii="Times New Roman" w:hAnsi="Times New Roman" w:eastAsia="方正仿宋_GBK" w:cs="Times New Roman"/>
          <w:sz w:val="32"/>
          <w:szCs w:val="32"/>
          <w:shd w:val="clear" w:color="auto" w:fill="FFFFFF"/>
        </w:rPr>
        <w:t>。</w:t>
      </w:r>
    </w:p>
    <w:p>
      <w:pPr>
        <w:pStyle w:val="9"/>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2</w:t>
      </w:r>
      <w:r>
        <w:rPr>
          <w:rFonts w:hint="default" w:ascii="Times New Roman" w:hAnsi="Times New Roman" w:eastAsia="方正仿宋_GBK" w:cs="Times New Roman"/>
          <w:sz w:val="32"/>
          <w:szCs w:val="32"/>
          <w:shd w:val="clear" w:color="auto" w:fill="FFFFFF"/>
        </w:rPr>
        <w:t>）社会保障</w:t>
      </w:r>
      <w:r>
        <w:rPr>
          <w:rFonts w:hint="default" w:ascii="Times New Roman" w:hAnsi="Times New Roman" w:eastAsia="方正仿宋_GBK" w:cs="Times New Roman"/>
          <w:sz w:val="32"/>
          <w:szCs w:val="32"/>
          <w:shd w:val="clear" w:color="auto" w:fill="FFFFFF"/>
          <w:lang w:eastAsia="zh-CN"/>
        </w:rPr>
        <w:t>和</w:t>
      </w:r>
      <w:r>
        <w:rPr>
          <w:rFonts w:hint="default" w:ascii="Times New Roman" w:hAnsi="Times New Roman" w:eastAsia="方正仿宋_GBK" w:cs="Times New Roman"/>
          <w:sz w:val="32"/>
          <w:szCs w:val="32"/>
          <w:shd w:val="clear" w:color="auto" w:fill="FFFFFF"/>
        </w:rPr>
        <w:t>就业支出98.98万元，占14.2%，较年初预算数无增减，主要原因是</w:t>
      </w:r>
      <w:r>
        <w:rPr>
          <w:rFonts w:hint="default" w:ascii="Times New Roman" w:hAnsi="Times New Roman" w:eastAsia="方正仿宋_GBK" w:cs="Times New Roman"/>
          <w:sz w:val="32"/>
          <w:szCs w:val="32"/>
          <w:shd w:val="clear" w:color="auto" w:fill="FFFFFF"/>
          <w:lang w:eastAsia="zh-CN"/>
        </w:rPr>
        <w:t>人员无变化且按财政预算严格控制支出</w:t>
      </w:r>
      <w:r>
        <w:rPr>
          <w:rFonts w:hint="default" w:ascii="Times New Roman" w:hAnsi="Times New Roman" w:eastAsia="方正仿宋_GBK" w:cs="Times New Roman"/>
          <w:sz w:val="32"/>
          <w:szCs w:val="32"/>
          <w:shd w:val="clear" w:color="auto" w:fill="FFFFFF"/>
        </w:rPr>
        <w:t>。</w:t>
      </w:r>
    </w:p>
    <w:p>
      <w:pPr>
        <w:pStyle w:val="9"/>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3</w:t>
      </w:r>
      <w:r>
        <w:rPr>
          <w:rFonts w:hint="default" w:ascii="Times New Roman" w:hAnsi="Times New Roman" w:eastAsia="方正仿宋_GBK" w:cs="Times New Roman"/>
          <w:sz w:val="32"/>
          <w:szCs w:val="32"/>
          <w:shd w:val="clear" w:color="auto" w:fill="FFFFFF"/>
        </w:rPr>
        <w:t>）卫生健康支出14.84万元，占2.1%，较年初预算数无增减，主要原因是</w:t>
      </w:r>
      <w:r>
        <w:rPr>
          <w:rFonts w:hint="default" w:ascii="Times New Roman" w:hAnsi="Times New Roman" w:eastAsia="方正仿宋_GBK" w:cs="Times New Roman"/>
          <w:sz w:val="32"/>
          <w:szCs w:val="32"/>
          <w:shd w:val="clear" w:color="auto" w:fill="FFFFFF"/>
          <w:lang w:eastAsia="zh-CN"/>
        </w:rPr>
        <w:t>人员无变化且按财政预算严格控制支出</w:t>
      </w:r>
      <w:r>
        <w:rPr>
          <w:rFonts w:hint="default" w:ascii="Times New Roman" w:hAnsi="Times New Roman" w:eastAsia="方正仿宋_GBK" w:cs="Times New Roman"/>
          <w:sz w:val="32"/>
          <w:szCs w:val="32"/>
          <w:shd w:val="clear" w:color="auto" w:fill="FFFFFF"/>
        </w:rPr>
        <w:t>。</w:t>
      </w:r>
    </w:p>
    <w:p>
      <w:pPr>
        <w:pStyle w:val="9"/>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）节能环保支出10.00万元，占1.4%，较年初预算数增加10.00万元，增长100.0%，主要原因是</w:t>
      </w:r>
      <w:r>
        <w:rPr>
          <w:rFonts w:hint="default" w:ascii="Times New Roman" w:hAnsi="Times New Roman" w:eastAsia="方正仿宋_GBK" w:cs="Times New Roman"/>
          <w:sz w:val="32"/>
          <w:szCs w:val="32"/>
          <w:shd w:val="clear" w:color="auto" w:fill="FFFFFF"/>
          <w:lang w:eastAsia="zh-CN"/>
        </w:rPr>
        <w:t>按财政预算严格控制支出</w:t>
      </w:r>
      <w:r>
        <w:rPr>
          <w:rFonts w:hint="default" w:ascii="Times New Roman" w:hAnsi="Times New Roman" w:eastAsia="方正仿宋_GBK" w:cs="Times New Roman"/>
          <w:sz w:val="32"/>
          <w:szCs w:val="32"/>
          <w:shd w:val="clear" w:color="auto" w:fill="FFFFFF"/>
        </w:rPr>
        <w:t>。</w:t>
      </w:r>
    </w:p>
    <w:p>
      <w:pPr>
        <w:pStyle w:val="9"/>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shd w:val="clear" w:color="auto" w:fill="FFFFFF"/>
          <w:lang w:eastAsia="zh-CN"/>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5</w:t>
      </w:r>
      <w:r>
        <w:rPr>
          <w:rFonts w:hint="default" w:ascii="Times New Roman" w:hAnsi="Times New Roman" w:eastAsia="方正仿宋_GBK" w:cs="Times New Roman"/>
          <w:sz w:val="32"/>
          <w:szCs w:val="32"/>
          <w:shd w:val="clear" w:color="auto" w:fill="FFFFFF"/>
        </w:rPr>
        <w:t>）农林水支出327.82万元，占47.1%，较年初预算数增加201.46万元，增长159.4%，主要原因是</w:t>
      </w:r>
      <w:r>
        <w:rPr>
          <w:rFonts w:hint="default" w:ascii="Times New Roman" w:hAnsi="Times New Roman" w:eastAsia="方正仿宋_GBK" w:cs="Times New Roman"/>
          <w:sz w:val="32"/>
          <w:szCs w:val="32"/>
          <w:shd w:val="clear" w:color="auto" w:fill="FFFFFF"/>
          <w:lang w:eastAsia="zh-CN"/>
        </w:rPr>
        <w:t>项目资金的增加。</w:t>
      </w:r>
    </w:p>
    <w:p>
      <w:pPr>
        <w:pStyle w:val="9"/>
        <w:snapToGrid w:val="0"/>
        <w:spacing w:before="0" w:beforeAutospacing="0" w:after="0" w:afterAutospacing="0" w:line="596" w:lineRule="exact"/>
        <w:ind w:firstLine="640" w:firstLineChars="200"/>
        <w:jc w:val="both"/>
        <w:rPr>
          <w:rFonts w:hint="default" w:ascii="Times New Roman" w:hAnsi="Times New Roman" w:eastAsia="方正仿宋_GBK" w:cs="Times New Roman"/>
          <w:color w:val="FF0000"/>
          <w:sz w:val="32"/>
          <w:szCs w:val="32"/>
          <w:shd w:val="clear" w:color="auto" w:fill="FFFFFF"/>
          <w:lang w:eastAsia="zh-CN"/>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6</w:t>
      </w:r>
      <w:r>
        <w:rPr>
          <w:rFonts w:hint="default" w:ascii="Times New Roman" w:hAnsi="Times New Roman" w:eastAsia="方正仿宋_GBK" w:cs="Times New Roman"/>
          <w:sz w:val="32"/>
          <w:szCs w:val="32"/>
          <w:shd w:val="clear" w:color="auto" w:fill="FFFFFF"/>
        </w:rPr>
        <w:t>）商业服务业等支出223.47万元，占32.1%，较年初预算数增加37.69万元，增长20.3%，主要原因是</w:t>
      </w:r>
      <w:r>
        <w:rPr>
          <w:rFonts w:hint="default" w:ascii="Times New Roman" w:hAnsi="Times New Roman" w:eastAsia="方正仿宋_GBK" w:cs="Times New Roman"/>
          <w:sz w:val="32"/>
          <w:szCs w:val="32"/>
          <w:shd w:val="clear" w:color="auto" w:fill="FFFFFF"/>
          <w:lang w:eastAsia="zh-CN"/>
        </w:rPr>
        <w:t>办公经费的增加。</w:t>
      </w:r>
    </w:p>
    <w:p>
      <w:pPr>
        <w:pStyle w:val="9"/>
        <w:snapToGrid w:val="0"/>
        <w:spacing w:before="0" w:beforeAutospacing="0" w:after="0" w:afterAutospacing="0" w:line="596" w:lineRule="exact"/>
        <w:ind w:firstLine="640" w:firstLineChars="200"/>
        <w:jc w:val="both"/>
        <w:rPr>
          <w:rFonts w:hint="default" w:ascii="Times New Roman" w:hAnsi="Times New Roman" w:eastAsia="方正仿宋_GBK" w:cs="Times New Roman"/>
          <w:color w:val="FF0000"/>
          <w:sz w:val="32"/>
          <w:szCs w:val="32"/>
          <w:shd w:val="clear" w:color="auto" w:fill="FFFFFF"/>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7</w:t>
      </w: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rPr>
        <w:t>住房保障支出</w:t>
      </w:r>
      <w:r>
        <w:rPr>
          <w:rFonts w:hint="default" w:ascii="Times New Roman" w:hAnsi="Times New Roman" w:eastAsia="方正仿宋_GBK" w:cs="Times New Roman"/>
          <w:sz w:val="32"/>
          <w:szCs w:val="32"/>
          <w:shd w:val="clear" w:color="auto" w:fill="FFFFFF"/>
        </w:rPr>
        <w:t>19.37万元，占2.8%，较年初预算数无增减，主要原因是</w:t>
      </w:r>
      <w:r>
        <w:rPr>
          <w:rFonts w:hint="default" w:ascii="Times New Roman" w:hAnsi="Times New Roman" w:eastAsia="方正仿宋_GBK" w:cs="Times New Roman"/>
          <w:sz w:val="32"/>
          <w:szCs w:val="32"/>
          <w:shd w:val="clear" w:color="auto" w:fill="FFFFFF"/>
          <w:lang w:eastAsia="zh-CN"/>
        </w:rPr>
        <w:t>人员无变化且按财政预算严格控制支出</w:t>
      </w:r>
      <w:r>
        <w:rPr>
          <w:rFonts w:hint="default" w:ascii="Times New Roman" w:hAnsi="Times New Roman" w:eastAsia="方正仿宋_GBK" w:cs="Times New Roman"/>
          <w:sz w:val="32"/>
          <w:szCs w:val="32"/>
          <w:shd w:val="clear" w:color="auto" w:fill="FFFFFF"/>
        </w:rPr>
        <w:t>。</w:t>
      </w:r>
    </w:p>
    <w:p>
      <w:pPr>
        <w:pStyle w:val="9"/>
        <w:snapToGrid w:val="0"/>
        <w:spacing w:before="0" w:beforeAutospacing="0" w:after="0" w:afterAutospacing="0" w:line="596" w:lineRule="exact"/>
        <w:ind w:firstLine="643" w:firstLineChars="200"/>
        <w:jc w:val="both"/>
        <w:rPr>
          <w:rFonts w:hint="default" w:ascii="Times New Roman" w:hAnsi="Times New Roman" w:eastAsia="方正仿宋_GBK" w:cs="Times New Roman"/>
          <w:color w:val="FF0000"/>
          <w:sz w:val="32"/>
          <w:szCs w:val="32"/>
          <w:shd w:val="clear" w:color="auto" w:fill="FFFFFF"/>
          <w:lang w:eastAsia="zh-CN"/>
        </w:rPr>
      </w:pPr>
      <w:r>
        <w:rPr>
          <w:rStyle w:val="13"/>
          <w:rFonts w:hint="default" w:ascii="Times New Roman" w:hAnsi="Times New Roman" w:eastAsia="方正仿宋_GBK" w:cs="Times New Roman"/>
          <w:sz w:val="32"/>
          <w:szCs w:val="32"/>
          <w:shd w:val="clear" w:color="auto" w:fill="FFFFFF"/>
        </w:rPr>
        <w:t>3.结转结余情况。</w:t>
      </w:r>
      <w:r>
        <w:rPr>
          <w:rFonts w:hint="default" w:ascii="Times New Roman" w:hAnsi="Times New Roman" w:eastAsia="方正仿宋_GBK" w:cs="Times New Roman"/>
          <w:sz w:val="32"/>
          <w:szCs w:val="32"/>
          <w:shd w:val="clear" w:color="auto" w:fill="FFFFFF"/>
        </w:rPr>
        <w:t>2024年度年末一般公共预算财政拨款结转和结余0.00万元，与2023年度相比，无增减，主要原因是</w:t>
      </w:r>
      <w:r>
        <w:rPr>
          <w:rFonts w:hint="default" w:ascii="Times New Roman" w:hAnsi="Times New Roman" w:eastAsia="方正仿宋_GBK" w:cs="Times New Roman"/>
          <w:sz w:val="32"/>
          <w:szCs w:val="32"/>
          <w:shd w:val="clear" w:color="auto" w:fill="FFFFFF"/>
          <w:lang w:eastAsia="zh-CN"/>
        </w:rPr>
        <w:t>按财政预算严格控制支出</w:t>
      </w:r>
      <w:r>
        <w:rPr>
          <w:rFonts w:hint="default" w:ascii="Times New Roman" w:hAnsi="Times New Roman" w:eastAsia="方正仿宋_GBK" w:cs="Times New Roman"/>
          <w:sz w:val="32"/>
          <w:szCs w:val="32"/>
          <w:shd w:val="clear" w:color="auto" w:fill="FFFFFF"/>
        </w:rPr>
        <w:t>。</w:t>
      </w:r>
    </w:p>
    <w:p>
      <w:pPr>
        <w:pStyle w:val="14"/>
        <w:keepNext w:val="0"/>
        <w:keepLines w:val="0"/>
        <w:pageBreakBefore w:val="0"/>
        <w:widowControl/>
        <w:kinsoku/>
        <w:wordWrap/>
        <w:overflowPunct/>
        <w:topLinePunct w:val="0"/>
        <w:autoSpaceDE w:val="0"/>
        <w:autoSpaceDN/>
        <w:bidi w:val="0"/>
        <w:adjustRightInd/>
        <w:snapToGrid/>
        <w:spacing w:line="596" w:lineRule="exact"/>
        <w:ind w:firstLine="640" w:firstLineChars="200"/>
        <w:textAlignment w:val="auto"/>
        <w:rPr>
          <w:rFonts w:hint="default" w:ascii="Times New Roman" w:hAnsi="Times New Roman" w:eastAsia="楷体" w:cs="Times New Roman"/>
          <w:b w:val="0"/>
          <w:bCs w:val="0"/>
          <w:sz w:val="32"/>
          <w:szCs w:val="32"/>
          <w:shd w:val="clear" w:color="auto" w:fill="FFFFFF"/>
        </w:rPr>
      </w:pPr>
      <w:r>
        <w:rPr>
          <w:rFonts w:hint="default" w:ascii="Times New Roman" w:hAnsi="Times New Roman" w:eastAsia="楷体" w:cs="Times New Roman"/>
          <w:b w:val="0"/>
          <w:bCs w:val="0"/>
          <w:sz w:val="32"/>
          <w:szCs w:val="32"/>
          <w:shd w:val="clear" w:color="auto" w:fill="FFFFFF"/>
        </w:rPr>
        <w:t>（四）一般公共预算财政拨款基本支出决算情况说明</w:t>
      </w:r>
    </w:p>
    <w:p>
      <w:pPr>
        <w:pStyle w:val="9"/>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2024年度一般公共财政拨款基本支出348.68万元。</w:t>
      </w:r>
    </w:p>
    <w:p>
      <w:pPr>
        <w:pStyle w:val="9"/>
        <w:keepNext w:val="0"/>
        <w:keepLines w:val="0"/>
        <w:pageBreakBefore w:val="0"/>
        <w:widowControl/>
        <w:kinsoku/>
        <w:wordWrap/>
        <w:overflowPunct/>
        <w:topLinePunct w:val="0"/>
        <w:autoSpaceDE/>
        <w:autoSpaceDN/>
        <w:bidi w:val="0"/>
        <w:adjustRightInd/>
        <w:snapToGrid w:val="0"/>
        <w:spacing w:before="0" w:beforeAutospacing="0" w:after="0" w:afterAutospacing="0" w:line="596" w:lineRule="exact"/>
        <w:ind w:firstLine="0" w:firstLineChars="0"/>
        <w:jc w:val="both"/>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其中：</w:t>
      </w:r>
    </w:p>
    <w:p>
      <w:pPr>
        <w:pStyle w:val="9"/>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shd w:val="clear" w:color="auto" w:fill="FFFFFF"/>
          <w:lang w:val="en-US" w:eastAsia="zh-CN"/>
        </w:rPr>
      </w:pPr>
      <w:r>
        <w:rPr>
          <w:rFonts w:hint="default" w:ascii="Times New Roman" w:hAnsi="Times New Roman" w:eastAsia="方正仿宋_GBK" w:cs="Times New Roman"/>
          <w:sz w:val="32"/>
          <w:szCs w:val="32"/>
          <w:shd w:val="clear" w:color="auto" w:fill="FFFFFF"/>
        </w:rPr>
        <w:t>人员经费304.57万元，与2023年度相比，减少89.11万元，下降22.6%，主要原因是</w:t>
      </w:r>
      <w:r>
        <w:rPr>
          <w:rFonts w:hint="default" w:ascii="Times New Roman" w:hAnsi="Times New Roman" w:eastAsia="方正仿宋_GBK" w:cs="Times New Roman"/>
          <w:sz w:val="32"/>
          <w:szCs w:val="32"/>
          <w:shd w:val="clear" w:color="auto" w:fill="FFFFFF"/>
          <w:lang w:val="en-US" w:eastAsia="zh-CN"/>
        </w:rPr>
        <w:t>2024年的退休人员抚恤金较多。</w:t>
      </w:r>
    </w:p>
    <w:p>
      <w:pPr>
        <w:pStyle w:val="9"/>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shd w:val="clear" w:color="auto" w:fill="FFFFFF"/>
          <w:lang w:eastAsia="zh-CN"/>
        </w:rPr>
      </w:pPr>
      <w:r>
        <w:rPr>
          <w:rFonts w:hint="default" w:ascii="Times New Roman" w:hAnsi="Times New Roman" w:eastAsia="方正仿宋_GBK" w:cs="Times New Roman"/>
          <w:sz w:val="32"/>
          <w:szCs w:val="32"/>
          <w:shd w:val="clear" w:color="auto" w:fill="FFFFFF"/>
        </w:rPr>
        <w:t>人员经费用途主要包括</w:t>
      </w:r>
      <w:r>
        <w:rPr>
          <w:rFonts w:hint="default" w:ascii="Times New Roman" w:hAnsi="Times New Roman" w:eastAsia="方正仿宋_GBK" w:cs="Times New Roman"/>
          <w:sz w:val="32"/>
          <w:szCs w:val="32"/>
          <w:shd w:val="clear" w:color="auto" w:fill="FFFFFF"/>
          <w:lang w:eastAsia="zh-CN"/>
        </w:rPr>
        <w:t>在职人员工资、社保以及退休人员抚恤金。</w:t>
      </w:r>
    </w:p>
    <w:p>
      <w:pPr>
        <w:pStyle w:val="9"/>
        <w:snapToGrid w:val="0"/>
        <w:spacing w:before="0" w:beforeAutospacing="0" w:after="0" w:afterAutospacing="0" w:line="596" w:lineRule="exact"/>
        <w:ind w:firstLine="640" w:firstLineChars="200"/>
        <w:jc w:val="both"/>
        <w:rPr>
          <w:rFonts w:hint="default" w:ascii="Times New Roman" w:hAnsi="Times New Roman" w:eastAsia="方正仿宋_GBK" w:cs="Times New Roman"/>
          <w:color w:val="auto"/>
          <w:sz w:val="32"/>
          <w:szCs w:val="32"/>
          <w:shd w:val="clear" w:color="auto" w:fill="FFFFFF"/>
          <w:lang w:val="en-US" w:eastAsia="zh-CN"/>
        </w:rPr>
      </w:pPr>
      <w:r>
        <w:rPr>
          <w:rFonts w:hint="default" w:ascii="Times New Roman" w:hAnsi="Times New Roman" w:eastAsia="方正仿宋_GBK" w:cs="Times New Roman"/>
          <w:sz w:val="32"/>
          <w:szCs w:val="32"/>
          <w:shd w:val="clear" w:color="auto" w:fill="FFFFFF"/>
        </w:rPr>
        <w:t>公用经费4</w:t>
      </w:r>
      <w:r>
        <w:rPr>
          <w:rFonts w:hint="default" w:ascii="Times New Roman" w:hAnsi="Times New Roman" w:eastAsia="方正仿宋_GBK" w:cs="Times New Roman"/>
          <w:color w:val="auto"/>
          <w:sz w:val="32"/>
          <w:szCs w:val="32"/>
          <w:shd w:val="clear" w:color="auto" w:fill="FFFFFF"/>
        </w:rPr>
        <w:t>4.11万元，与2023年度相比，增加16.99万元，增长62.7%，主要原因是</w:t>
      </w:r>
      <w:r>
        <w:rPr>
          <w:rFonts w:hint="default" w:ascii="Times New Roman" w:hAnsi="Times New Roman" w:eastAsia="方正仿宋_GBK" w:cs="Times New Roman"/>
          <w:color w:val="auto"/>
          <w:sz w:val="32"/>
          <w:szCs w:val="32"/>
          <w:shd w:val="clear" w:color="auto" w:fill="FFFFFF"/>
          <w:lang w:val="en-US" w:eastAsia="zh-CN"/>
        </w:rPr>
        <w:t>2023年的食堂费用有部分在2024年列支。</w:t>
      </w:r>
    </w:p>
    <w:p>
      <w:pPr>
        <w:pStyle w:val="9"/>
        <w:snapToGrid w:val="0"/>
        <w:spacing w:before="0" w:beforeAutospacing="0" w:after="0" w:afterAutospacing="0" w:line="596" w:lineRule="exact"/>
        <w:ind w:firstLine="640" w:firstLineChars="200"/>
        <w:jc w:val="both"/>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shd w:val="clear" w:color="auto" w:fill="FFFFFF"/>
        </w:rPr>
        <w:t>公用经费用途主要包括</w:t>
      </w:r>
      <w:r>
        <w:rPr>
          <w:rFonts w:hint="default" w:ascii="Times New Roman" w:hAnsi="Times New Roman" w:eastAsia="方正仿宋_GBK" w:cs="Times New Roman"/>
          <w:color w:val="auto"/>
          <w:sz w:val="32"/>
          <w:szCs w:val="32"/>
          <w:shd w:val="clear" w:color="auto" w:fill="FFFFFF"/>
          <w:lang w:eastAsia="zh-CN"/>
        </w:rPr>
        <w:t>办公经费、“三公”经费、食堂费用等。</w:t>
      </w:r>
    </w:p>
    <w:p>
      <w:pPr>
        <w:pStyle w:val="14"/>
        <w:keepNext w:val="0"/>
        <w:keepLines w:val="0"/>
        <w:pageBreakBefore w:val="0"/>
        <w:widowControl/>
        <w:kinsoku/>
        <w:wordWrap/>
        <w:overflowPunct/>
        <w:topLinePunct w:val="0"/>
        <w:autoSpaceDE w:val="0"/>
        <w:autoSpaceDN/>
        <w:bidi w:val="0"/>
        <w:adjustRightInd/>
        <w:snapToGrid/>
        <w:spacing w:line="596" w:lineRule="exact"/>
        <w:ind w:firstLine="640" w:firstLineChars="200"/>
        <w:textAlignment w:val="auto"/>
        <w:rPr>
          <w:rFonts w:hint="default" w:ascii="Times New Roman" w:hAnsi="Times New Roman" w:eastAsia="楷体" w:cs="Times New Roman"/>
          <w:b w:val="0"/>
          <w:bCs w:val="0"/>
          <w:sz w:val="32"/>
          <w:szCs w:val="32"/>
          <w:shd w:val="clear" w:color="auto" w:fill="FFFFFF"/>
        </w:rPr>
      </w:pPr>
      <w:r>
        <w:rPr>
          <w:rFonts w:hint="default" w:ascii="Times New Roman" w:hAnsi="Times New Roman" w:eastAsia="楷体" w:cs="Times New Roman"/>
          <w:b w:val="0"/>
          <w:bCs w:val="0"/>
          <w:sz w:val="32"/>
          <w:szCs w:val="32"/>
          <w:shd w:val="clear" w:color="auto" w:fill="FFFFFF"/>
        </w:rPr>
        <w:t>（五）政府性基金预算收支决算情况说明</w:t>
      </w:r>
    </w:p>
    <w:p>
      <w:pPr>
        <w:pStyle w:val="9"/>
        <w:snapToGrid w:val="0"/>
        <w:spacing w:before="0" w:beforeAutospacing="0" w:after="0" w:afterAutospacing="0" w:line="596" w:lineRule="exact"/>
        <w:ind w:firstLine="640" w:firstLineChars="200"/>
        <w:jc w:val="both"/>
        <w:rPr>
          <w:rFonts w:hint="default" w:ascii="Times New Roman" w:hAnsi="Times New Roman" w:eastAsia="方正仿宋_GBK" w:cs="Times New Roman"/>
          <w:b w:val="0"/>
          <w:bCs w:val="0"/>
          <w:color w:val="auto"/>
          <w:sz w:val="32"/>
          <w:szCs w:val="32"/>
          <w:shd w:val="clear" w:color="auto" w:fill="FFFFFF"/>
        </w:rPr>
      </w:pPr>
      <w:r>
        <w:rPr>
          <w:rFonts w:hint="default" w:ascii="Times New Roman" w:hAnsi="Times New Roman" w:eastAsia="方正仿宋_GBK" w:cs="Times New Roman"/>
          <w:b w:val="0"/>
          <w:bCs w:val="0"/>
          <w:color w:val="auto"/>
          <w:sz w:val="32"/>
          <w:szCs w:val="32"/>
          <w:shd w:val="clear" w:color="auto" w:fill="FFFFFF"/>
        </w:rPr>
        <w:t>本</w:t>
      </w:r>
      <w:r>
        <w:rPr>
          <w:rFonts w:hint="default" w:ascii="Times New Roman" w:hAnsi="Times New Roman" w:eastAsia="方正仿宋_GBK" w:cs="Times New Roman"/>
          <w:b w:val="0"/>
          <w:bCs w:val="0"/>
          <w:color w:val="auto"/>
          <w:sz w:val="32"/>
          <w:szCs w:val="32"/>
          <w:shd w:val="clear" w:color="auto" w:fill="FFFFFF"/>
          <w:lang w:eastAsia="zh-CN"/>
        </w:rPr>
        <w:t>单位</w:t>
      </w:r>
      <w:r>
        <w:rPr>
          <w:rFonts w:hint="default" w:ascii="Times New Roman" w:hAnsi="Times New Roman" w:eastAsia="方正仿宋_GBK" w:cs="Times New Roman"/>
          <w:b w:val="0"/>
          <w:bCs w:val="0"/>
          <w:color w:val="auto"/>
          <w:sz w:val="32"/>
          <w:szCs w:val="32"/>
          <w:shd w:val="clear" w:color="auto" w:fill="FFFFFF"/>
        </w:rPr>
        <w:t>2024年度无政府性基金预算财政拨款收支。</w:t>
      </w:r>
    </w:p>
    <w:p>
      <w:pPr>
        <w:pStyle w:val="14"/>
        <w:keepNext w:val="0"/>
        <w:keepLines w:val="0"/>
        <w:pageBreakBefore w:val="0"/>
        <w:widowControl/>
        <w:kinsoku/>
        <w:wordWrap/>
        <w:overflowPunct/>
        <w:topLinePunct w:val="0"/>
        <w:autoSpaceDE w:val="0"/>
        <w:autoSpaceDN/>
        <w:bidi w:val="0"/>
        <w:adjustRightInd/>
        <w:snapToGrid/>
        <w:spacing w:line="596" w:lineRule="exact"/>
        <w:ind w:firstLine="640" w:firstLineChars="200"/>
        <w:textAlignment w:val="auto"/>
        <w:rPr>
          <w:rFonts w:hint="default" w:ascii="Times New Roman" w:hAnsi="Times New Roman" w:eastAsia="楷体" w:cs="Times New Roman"/>
          <w:b w:val="0"/>
          <w:bCs w:val="0"/>
          <w:sz w:val="32"/>
          <w:szCs w:val="32"/>
          <w:shd w:val="clear" w:color="auto" w:fill="FFFFFF"/>
        </w:rPr>
      </w:pPr>
      <w:r>
        <w:rPr>
          <w:rFonts w:hint="default" w:ascii="Times New Roman" w:hAnsi="Times New Roman" w:eastAsia="楷体" w:cs="Times New Roman"/>
          <w:b w:val="0"/>
          <w:bCs w:val="0"/>
          <w:sz w:val="32"/>
          <w:szCs w:val="32"/>
          <w:shd w:val="clear" w:color="auto" w:fill="FFFFFF"/>
        </w:rPr>
        <w:t>（六）国有资本经营预算财政拨款支出决算情况说明</w:t>
      </w:r>
    </w:p>
    <w:p>
      <w:pPr>
        <w:pStyle w:val="9"/>
        <w:snapToGrid w:val="0"/>
        <w:spacing w:before="0" w:beforeAutospacing="0" w:after="0" w:afterAutospacing="0" w:line="596" w:lineRule="exact"/>
        <w:ind w:firstLine="640" w:firstLineChars="200"/>
        <w:jc w:val="both"/>
        <w:rPr>
          <w:rFonts w:hint="default" w:ascii="Times New Roman" w:hAnsi="Times New Roman" w:eastAsia="方正仿宋_GBK" w:cs="Times New Roman"/>
          <w:b w:val="0"/>
          <w:bCs w:val="0"/>
          <w:color w:val="auto"/>
          <w:sz w:val="32"/>
          <w:szCs w:val="32"/>
          <w:shd w:val="clear" w:color="auto" w:fill="FFFFFF"/>
        </w:rPr>
      </w:pPr>
      <w:r>
        <w:rPr>
          <w:rFonts w:hint="default" w:ascii="Times New Roman" w:hAnsi="Times New Roman" w:eastAsia="方正仿宋_GBK" w:cs="Times New Roman"/>
          <w:b w:val="0"/>
          <w:bCs w:val="0"/>
          <w:color w:val="auto"/>
          <w:sz w:val="32"/>
          <w:szCs w:val="32"/>
          <w:shd w:val="clear" w:color="auto" w:fill="FFFFFF"/>
        </w:rPr>
        <w:t>本</w:t>
      </w:r>
      <w:r>
        <w:rPr>
          <w:rFonts w:hint="default" w:ascii="Times New Roman" w:hAnsi="Times New Roman" w:eastAsia="方正仿宋_GBK" w:cs="Times New Roman"/>
          <w:b w:val="0"/>
          <w:bCs w:val="0"/>
          <w:color w:val="auto"/>
          <w:sz w:val="32"/>
          <w:szCs w:val="32"/>
          <w:shd w:val="clear" w:color="auto" w:fill="FFFFFF"/>
          <w:lang w:eastAsia="zh-CN"/>
        </w:rPr>
        <w:t>单位</w:t>
      </w:r>
      <w:r>
        <w:rPr>
          <w:rFonts w:hint="default" w:ascii="Times New Roman" w:hAnsi="Times New Roman" w:eastAsia="方正仿宋_GBK" w:cs="Times New Roman"/>
          <w:b w:val="0"/>
          <w:bCs w:val="0"/>
          <w:color w:val="auto"/>
          <w:sz w:val="32"/>
          <w:szCs w:val="32"/>
          <w:shd w:val="clear" w:color="auto" w:fill="FFFFFF"/>
        </w:rPr>
        <w:t>2024年度无国有资本经营预算财政拨款支出。</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Style w:val="13"/>
          <w:rFonts w:hint="default" w:ascii="Times New Roman" w:hAnsi="Times New Roman" w:eastAsia="黑体" w:cs="Times New Roman"/>
          <w:b w:val="0"/>
          <w:bCs w:val="0"/>
          <w:sz w:val="32"/>
          <w:szCs w:val="32"/>
          <w:shd w:val="clear" w:color="auto" w:fill="FFFFFF"/>
        </w:rPr>
      </w:pPr>
      <w:r>
        <w:rPr>
          <w:rStyle w:val="13"/>
          <w:rFonts w:hint="default" w:ascii="Times New Roman" w:hAnsi="Times New Roman" w:eastAsia="黑体" w:cs="Times New Roman"/>
          <w:b w:val="0"/>
          <w:bCs w:val="0"/>
          <w:sz w:val="32"/>
          <w:szCs w:val="32"/>
          <w:shd w:val="clear" w:color="auto" w:fill="FFFFFF"/>
        </w:rPr>
        <w:t>三、</w:t>
      </w:r>
      <w:r>
        <w:rPr>
          <w:rStyle w:val="13"/>
          <w:rFonts w:hint="default" w:ascii="Times New Roman" w:hAnsi="Times New Roman" w:eastAsia="黑体" w:cs="Times New Roman"/>
          <w:b w:val="0"/>
          <w:bCs w:val="0"/>
          <w:sz w:val="32"/>
          <w:szCs w:val="32"/>
          <w:shd w:val="clear" w:color="auto" w:fill="FFFFFF"/>
          <w:lang w:eastAsia="zh-CN"/>
        </w:rPr>
        <w:t>财政拨款</w:t>
      </w:r>
      <w:r>
        <w:rPr>
          <w:rStyle w:val="13"/>
          <w:rFonts w:hint="default" w:ascii="Times New Roman" w:hAnsi="Times New Roman" w:eastAsia="黑体" w:cs="Times New Roman"/>
          <w:b w:val="0"/>
          <w:bCs w:val="0"/>
          <w:sz w:val="32"/>
          <w:szCs w:val="32"/>
          <w:shd w:val="clear" w:color="auto" w:fill="FFFFFF"/>
        </w:rPr>
        <w:t>“三公”经费情况说明</w:t>
      </w:r>
    </w:p>
    <w:p>
      <w:pPr>
        <w:pStyle w:val="14"/>
        <w:keepNext w:val="0"/>
        <w:keepLines w:val="0"/>
        <w:pageBreakBefore w:val="0"/>
        <w:widowControl/>
        <w:kinsoku/>
        <w:wordWrap/>
        <w:overflowPunct/>
        <w:topLinePunct w:val="0"/>
        <w:autoSpaceDE w:val="0"/>
        <w:autoSpaceDN/>
        <w:bidi w:val="0"/>
        <w:adjustRightInd/>
        <w:snapToGrid/>
        <w:spacing w:line="596" w:lineRule="exact"/>
        <w:ind w:firstLine="640" w:firstLineChars="200"/>
        <w:textAlignment w:val="auto"/>
        <w:rPr>
          <w:rFonts w:hint="default" w:ascii="Times New Roman" w:hAnsi="Times New Roman" w:eastAsia="楷体" w:cs="Times New Roman"/>
          <w:b w:val="0"/>
          <w:bCs w:val="0"/>
          <w:sz w:val="32"/>
          <w:szCs w:val="32"/>
          <w:shd w:val="clear" w:color="auto" w:fill="FFFFFF"/>
        </w:rPr>
      </w:pPr>
      <w:r>
        <w:rPr>
          <w:rFonts w:hint="default" w:ascii="Times New Roman" w:hAnsi="Times New Roman" w:eastAsia="楷体" w:cs="Times New Roman"/>
          <w:b w:val="0"/>
          <w:bCs w:val="0"/>
          <w:sz w:val="32"/>
          <w:szCs w:val="32"/>
          <w:shd w:val="clear" w:color="auto" w:fill="FFFFFF"/>
        </w:rPr>
        <w:t>（一）“三公”经费支出总体情况说明</w:t>
      </w:r>
    </w:p>
    <w:p>
      <w:pPr>
        <w:pStyle w:val="9"/>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shd w:val="clear" w:color="auto" w:fill="FFFFFF"/>
          <w:lang w:eastAsia="zh-CN"/>
        </w:rPr>
      </w:pPr>
      <w:r>
        <w:rPr>
          <w:rFonts w:hint="default" w:ascii="Times New Roman" w:hAnsi="Times New Roman" w:eastAsia="方正仿宋_GBK" w:cs="Times New Roman"/>
          <w:sz w:val="32"/>
          <w:szCs w:val="32"/>
          <w:shd w:val="clear" w:color="auto" w:fill="FFFFFF"/>
        </w:rPr>
        <w:t>2024年度“三公”经费支出共计5.27万元，较年初预算数增加1.77万元，增长50.6%，主要原因是</w:t>
      </w:r>
      <w:r>
        <w:rPr>
          <w:rFonts w:hint="default" w:ascii="Times New Roman" w:hAnsi="Times New Roman" w:eastAsia="方正仿宋_GBK" w:cs="Times New Roman"/>
          <w:sz w:val="32"/>
          <w:szCs w:val="32"/>
          <w:shd w:val="clear" w:color="auto" w:fill="FFFFFF"/>
          <w:lang w:eastAsia="zh-CN"/>
        </w:rPr>
        <w:t>公务用车老旧，维修费较多。</w:t>
      </w:r>
      <w:r>
        <w:rPr>
          <w:rFonts w:hint="default" w:ascii="Times New Roman" w:hAnsi="Times New Roman" w:eastAsia="方正仿宋_GBK" w:cs="Times New Roman"/>
          <w:sz w:val="32"/>
          <w:szCs w:val="32"/>
          <w:shd w:val="clear" w:color="auto" w:fill="FFFFFF"/>
        </w:rPr>
        <w:t>较上年支出数减少1.52万元，下降22.4%，主要原因是严格控制接待人数及接待次数，节约支出</w:t>
      </w:r>
      <w:r>
        <w:rPr>
          <w:rFonts w:hint="default" w:ascii="Times New Roman" w:hAnsi="Times New Roman" w:eastAsia="方正仿宋_GBK" w:cs="Times New Roman"/>
          <w:sz w:val="32"/>
          <w:szCs w:val="32"/>
          <w:shd w:val="clear" w:color="auto" w:fill="FFFFFF"/>
          <w:lang w:eastAsia="zh-CN"/>
        </w:rPr>
        <w:t>。</w:t>
      </w:r>
    </w:p>
    <w:p>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（二）“三公”经费分项支出情况</w:t>
      </w:r>
    </w:p>
    <w:p>
      <w:pPr>
        <w:pStyle w:val="9"/>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shd w:val="clear" w:color="auto" w:fill="FFFFFF"/>
          <w:lang w:eastAsia="zh-CN"/>
        </w:rPr>
      </w:pPr>
      <w:r>
        <w:rPr>
          <w:rFonts w:hint="default" w:ascii="Times New Roman" w:hAnsi="Times New Roman" w:eastAsia="方正仿宋_GBK" w:cs="Times New Roman"/>
          <w:sz w:val="32"/>
          <w:szCs w:val="32"/>
          <w:shd w:val="clear" w:color="auto" w:fill="FFFFFF"/>
        </w:rPr>
        <w:t>2024年度本</w:t>
      </w:r>
      <w:r>
        <w:rPr>
          <w:rFonts w:hint="default" w:ascii="Times New Roman" w:hAnsi="Times New Roman" w:eastAsia="方正仿宋_GBK" w:cs="Times New Roman"/>
          <w:sz w:val="32"/>
          <w:szCs w:val="32"/>
          <w:shd w:val="clear" w:color="auto" w:fill="FFFFFF"/>
          <w:lang w:eastAsia="zh-CN"/>
        </w:rPr>
        <w:t>单位</w:t>
      </w:r>
      <w:r>
        <w:rPr>
          <w:rFonts w:hint="default" w:ascii="Times New Roman" w:hAnsi="Times New Roman" w:eastAsia="方正仿宋_GBK" w:cs="Times New Roman"/>
          <w:sz w:val="32"/>
          <w:szCs w:val="32"/>
          <w:shd w:val="clear" w:color="auto" w:fill="FFFFFF"/>
          <w:lang w:eastAsia="zh-CN"/>
        </w:rPr>
        <w:t>未发生</w:t>
      </w:r>
      <w:r>
        <w:rPr>
          <w:rFonts w:hint="default" w:ascii="Times New Roman" w:hAnsi="Times New Roman" w:eastAsia="方正仿宋_GBK" w:cs="Times New Roman"/>
          <w:sz w:val="32"/>
          <w:szCs w:val="32"/>
          <w:shd w:val="clear" w:color="auto" w:fill="FFFFFF"/>
        </w:rPr>
        <w:t>因公出国（境）费用</w:t>
      </w:r>
      <w:r>
        <w:rPr>
          <w:rFonts w:hint="default" w:ascii="Times New Roman" w:hAnsi="Times New Roman" w:eastAsia="方正仿宋_GBK" w:cs="Times New Roman"/>
          <w:sz w:val="32"/>
          <w:szCs w:val="32"/>
          <w:shd w:val="clear" w:color="auto" w:fill="FFFFFF"/>
          <w:lang w:eastAsia="zh-CN"/>
        </w:rPr>
        <w:t>。</w:t>
      </w:r>
    </w:p>
    <w:p>
      <w:pPr>
        <w:pStyle w:val="9"/>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shd w:val="clear" w:color="auto" w:fill="FFFFFF"/>
        </w:rPr>
        <w:t>2024年度本</w:t>
      </w:r>
      <w:r>
        <w:rPr>
          <w:rFonts w:hint="default" w:ascii="Times New Roman" w:hAnsi="Times New Roman" w:eastAsia="方正仿宋_GBK" w:cs="Times New Roman"/>
          <w:sz w:val="32"/>
          <w:szCs w:val="32"/>
          <w:shd w:val="clear" w:color="auto" w:fill="FFFFFF"/>
          <w:lang w:eastAsia="zh-CN"/>
        </w:rPr>
        <w:t>单位</w:t>
      </w:r>
      <w:r>
        <w:rPr>
          <w:rFonts w:hint="default" w:ascii="Times New Roman" w:hAnsi="Times New Roman" w:eastAsia="方正仿宋_GBK" w:cs="Times New Roman"/>
          <w:sz w:val="32"/>
          <w:szCs w:val="32"/>
          <w:shd w:val="clear" w:color="auto" w:fill="FFFFFF"/>
          <w:lang w:eastAsia="zh-CN"/>
        </w:rPr>
        <w:t>未进行</w:t>
      </w:r>
      <w:r>
        <w:rPr>
          <w:rFonts w:hint="default" w:ascii="Times New Roman" w:hAnsi="Times New Roman" w:eastAsia="方正仿宋_GBK" w:cs="Times New Roman"/>
          <w:sz w:val="32"/>
          <w:szCs w:val="32"/>
          <w:shd w:val="clear" w:color="auto" w:fill="FFFFFF"/>
        </w:rPr>
        <w:t>公务</w:t>
      </w:r>
      <w:r>
        <w:rPr>
          <w:rFonts w:hint="default" w:ascii="Times New Roman" w:hAnsi="Times New Roman" w:eastAsia="方正仿宋_GBK" w:cs="Times New Roman"/>
          <w:sz w:val="32"/>
          <w:szCs w:val="32"/>
          <w:shd w:val="clear" w:color="auto" w:fill="FFFFFF"/>
          <w:lang w:eastAsia="zh-CN"/>
        </w:rPr>
        <w:t>用</w:t>
      </w:r>
      <w:r>
        <w:rPr>
          <w:rFonts w:hint="default" w:ascii="Times New Roman" w:hAnsi="Times New Roman" w:eastAsia="方正仿宋_GBK" w:cs="Times New Roman"/>
          <w:sz w:val="32"/>
          <w:szCs w:val="32"/>
          <w:shd w:val="clear" w:color="auto" w:fill="FFFFFF"/>
        </w:rPr>
        <w:t>车购置</w:t>
      </w:r>
      <w:r>
        <w:rPr>
          <w:rFonts w:hint="default" w:ascii="Times New Roman" w:hAnsi="Times New Roman" w:eastAsia="方正仿宋_GBK" w:cs="Times New Roman"/>
          <w:sz w:val="32"/>
          <w:szCs w:val="32"/>
          <w:shd w:val="clear" w:color="auto" w:fill="FFFFFF"/>
          <w:lang w:eastAsia="zh-CN"/>
        </w:rPr>
        <w:t>。</w:t>
      </w:r>
    </w:p>
    <w:p>
      <w:pPr>
        <w:pStyle w:val="9"/>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公务</w:t>
      </w:r>
      <w:r>
        <w:rPr>
          <w:rFonts w:hint="default" w:ascii="Times New Roman" w:hAnsi="Times New Roman" w:eastAsia="方正仿宋_GBK" w:cs="Times New Roman"/>
          <w:sz w:val="32"/>
          <w:szCs w:val="32"/>
          <w:shd w:val="clear" w:color="auto" w:fill="FFFFFF"/>
          <w:lang w:eastAsia="zh-CN"/>
        </w:rPr>
        <w:t>用</w:t>
      </w:r>
      <w:r>
        <w:rPr>
          <w:rFonts w:hint="default" w:ascii="Times New Roman" w:hAnsi="Times New Roman" w:eastAsia="方正仿宋_GBK" w:cs="Times New Roman"/>
          <w:sz w:val="32"/>
          <w:szCs w:val="32"/>
          <w:shd w:val="clear" w:color="auto" w:fill="FFFFFF"/>
        </w:rPr>
        <w:t>车运行维护费4.17万元，主</w:t>
      </w:r>
      <w:r>
        <w:rPr>
          <w:rFonts w:hint="default" w:ascii="Times New Roman" w:hAnsi="Times New Roman" w:eastAsia="方正仿宋_GBK" w:cs="Times New Roman"/>
          <w:color w:val="auto"/>
          <w:sz w:val="32"/>
          <w:szCs w:val="32"/>
          <w:shd w:val="clear" w:color="auto" w:fill="FFFFFF"/>
        </w:rPr>
        <w:t>要用于</w:t>
      </w:r>
      <w:r>
        <w:rPr>
          <w:rFonts w:hint="default" w:ascii="Times New Roman" w:hAnsi="Times New Roman" w:eastAsia="方正仿宋_GBK" w:cs="Times New Roman"/>
          <w:color w:val="auto"/>
          <w:sz w:val="32"/>
          <w:szCs w:val="32"/>
          <w:shd w:val="clear" w:color="auto" w:fill="FFFFFF"/>
          <w:lang w:eastAsia="zh-CN"/>
        </w:rPr>
        <w:t>公务用车维修费用，</w:t>
      </w:r>
      <w:r>
        <w:rPr>
          <w:rFonts w:hint="default" w:ascii="Times New Roman" w:hAnsi="Times New Roman" w:eastAsia="方正仿宋_GBK" w:cs="Times New Roman"/>
          <w:color w:val="auto"/>
          <w:sz w:val="32"/>
          <w:szCs w:val="32"/>
          <w:shd w:val="clear" w:color="auto" w:fill="FFFFFF"/>
        </w:rPr>
        <w:t>费用支出较年初预算数增加1.67万</w:t>
      </w:r>
      <w:r>
        <w:rPr>
          <w:rFonts w:hint="default" w:ascii="Times New Roman" w:hAnsi="Times New Roman" w:eastAsia="方正仿宋_GBK" w:cs="Times New Roman"/>
          <w:sz w:val="32"/>
          <w:szCs w:val="32"/>
          <w:shd w:val="clear" w:color="auto" w:fill="FFFFFF"/>
        </w:rPr>
        <w:t>元，增长66.8%，主要原因是</w:t>
      </w:r>
      <w:r>
        <w:rPr>
          <w:rFonts w:hint="default" w:ascii="Times New Roman" w:hAnsi="Times New Roman" w:eastAsia="方正仿宋_GBK" w:cs="Times New Roman"/>
          <w:sz w:val="32"/>
          <w:szCs w:val="32"/>
          <w:shd w:val="clear" w:color="auto" w:fill="FFFFFF"/>
          <w:lang w:eastAsia="zh-CN"/>
        </w:rPr>
        <w:t>公务用车老旧，维修费较多。</w:t>
      </w:r>
      <w:r>
        <w:rPr>
          <w:rFonts w:hint="default" w:ascii="Times New Roman" w:hAnsi="Times New Roman" w:eastAsia="方正仿宋_GBK" w:cs="Times New Roman"/>
          <w:sz w:val="32"/>
          <w:szCs w:val="32"/>
          <w:shd w:val="clear" w:color="auto" w:fill="FFFFFF"/>
        </w:rPr>
        <w:t>较上年支出数增加1.67万元，增长66.8%，主要原因是</w:t>
      </w:r>
      <w:r>
        <w:rPr>
          <w:rFonts w:hint="default" w:ascii="Times New Roman" w:hAnsi="Times New Roman" w:eastAsia="方正仿宋_GBK" w:cs="Times New Roman"/>
          <w:sz w:val="32"/>
          <w:szCs w:val="32"/>
          <w:shd w:val="clear" w:color="auto" w:fill="FFFFFF"/>
          <w:lang w:eastAsia="zh-CN"/>
        </w:rPr>
        <w:t>公务用车老旧，维修费增加。</w:t>
      </w:r>
    </w:p>
    <w:p>
      <w:pPr>
        <w:pStyle w:val="9"/>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公务接待费1.10万元，主要用</w:t>
      </w:r>
      <w:r>
        <w:rPr>
          <w:rFonts w:hint="default" w:ascii="Times New Roman" w:hAnsi="Times New Roman" w:eastAsia="方正仿宋_GBK" w:cs="Times New Roman"/>
          <w:color w:val="auto"/>
          <w:sz w:val="32"/>
          <w:szCs w:val="32"/>
          <w:shd w:val="clear" w:color="auto" w:fill="FFFFFF"/>
        </w:rPr>
        <w:t>于接待</w:t>
      </w:r>
      <w:r>
        <w:rPr>
          <w:rFonts w:hint="default" w:ascii="Times New Roman" w:hAnsi="Times New Roman" w:eastAsia="方正仿宋_GBK" w:cs="Times New Roman"/>
          <w:color w:val="auto"/>
          <w:sz w:val="32"/>
          <w:szCs w:val="32"/>
          <w:shd w:val="clear" w:color="auto" w:fill="FFFFFF"/>
          <w:lang w:eastAsia="zh-CN"/>
        </w:rPr>
        <w:t>市社领导以及各区县供销社。</w:t>
      </w:r>
      <w:r>
        <w:rPr>
          <w:rFonts w:hint="default" w:ascii="Times New Roman" w:hAnsi="Times New Roman" w:eastAsia="方正仿宋_GBK" w:cs="Times New Roman"/>
          <w:color w:val="auto"/>
          <w:sz w:val="32"/>
          <w:szCs w:val="32"/>
          <w:shd w:val="clear" w:color="auto" w:fill="FFFFFF"/>
        </w:rPr>
        <w:t>费用支出较年初预算数增加0</w:t>
      </w:r>
      <w:r>
        <w:rPr>
          <w:rFonts w:hint="default" w:ascii="Times New Roman" w:hAnsi="Times New Roman" w:eastAsia="方正仿宋_GBK" w:cs="Times New Roman"/>
          <w:sz w:val="32"/>
          <w:szCs w:val="32"/>
          <w:shd w:val="clear" w:color="auto" w:fill="FFFFFF"/>
        </w:rPr>
        <w:t>.10万元，增长10.0%，主要原因是</w:t>
      </w:r>
      <w:r>
        <w:rPr>
          <w:rFonts w:hint="default" w:ascii="Times New Roman" w:hAnsi="Times New Roman" w:eastAsia="方正仿宋_GBK" w:cs="Times New Roman"/>
          <w:sz w:val="32"/>
          <w:szCs w:val="32"/>
          <w:shd w:val="clear" w:color="auto" w:fill="FFFFFF"/>
          <w:lang w:eastAsia="zh-CN"/>
        </w:rPr>
        <w:t>来县社调研人数比预计的较多。</w:t>
      </w:r>
      <w:r>
        <w:rPr>
          <w:rFonts w:hint="default" w:ascii="Times New Roman" w:hAnsi="Times New Roman" w:eastAsia="方正仿宋_GBK" w:cs="Times New Roman"/>
          <w:sz w:val="32"/>
          <w:szCs w:val="32"/>
          <w:shd w:val="clear" w:color="auto" w:fill="FFFFFF"/>
        </w:rPr>
        <w:t>较上年支出数减少3.19万元，下降74.4%，主要原因是严格控制接待人数及接待次数，节约支出</w:t>
      </w:r>
      <w:r>
        <w:rPr>
          <w:rFonts w:hint="default" w:ascii="Times New Roman" w:hAnsi="Times New Roman" w:eastAsia="方正仿宋_GBK" w:cs="Times New Roman"/>
          <w:sz w:val="32"/>
          <w:szCs w:val="32"/>
          <w:shd w:val="clear" w:color="auto" w:fill="FFFFFF"/>
          <w:lang w:eastAsia="zh-CN"/>
        </w:rPr>
        <w:t>。</w:t>
      </w:r>
    </w:p>
    <w:p>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（三）“三公”经费实物量情况</w:t>
      </w:r>
    </w:p>
    <w:p>
      <w:pPr>
        <w:pStyle w:val="9"/>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2024年度本</w:t>
      </w:r>
      <w:r>
        <w:rPr>
          <w:rFonts w:hint="default" w:ascii="Times New Roman" w:hAnsi="Times New Roman" w:eastAsia="方正仿宋_GBK" w:cs="Times New Roman"/>
          <w:sz w:val="32"/>
          <w:szCs w:val="32"/>
          <w:shd w:val="clear" w:color="auto" w:fill="FFFFFF"/>
          <w:lang w:eastAsia="zh-CN"/>
        </w:rPr>
        <w:t>单位</w:t>
      </w:r>
      <w:r>
        <w:rPr>
          <w:rFonts w:hint="default" w:ascii="Times New Roman" w:hAnsi="Times New Roman" w:eastAsia="方正仿宋_GBK" w:cs="Times New Roman"/>
          <w:sz w:val="32"/>
          <w:szCs w:val="32"/>
          <w:shd w:val="clear" w:color="auto" w:fill="FFFFFF"/>
        </w:rPr>
        <w:t>因公出国（境）共计0个团组，0人；公务用车购置0辆，公务车保有量为1辆；国内公务接待10批次80人，其中：国内外事接待0批次，0人；国（境）外公务接待0批次，0人。2024年本</w:t>
      </w:r>
      <w:r>
        <w:rPr>
          <w:rFonts w:hint="default" w:ascii="Times New Roman" w:hAnsi="Times New Roman" w:eastAsia="方正仿宋_GBK" w:cs="Times New Roman"/>
          <w:sz w:val="32"/>
          <w:szCs w:val="32"/>
          <w:shd w:val="clear" w:color="auto" w:fill="FFFFFF"/>
          <w:lang w:eastAsia="zh-CN"/>
        </w:rPr>
        <w:t>单位</w:t>
      </w:r>
      <w:r>
        <w:rPr>
          <w:rFonts w:hint="default" w:ascii="Times New Roman" w:hAnsi="Times New Roman" w:eastAsia="方正仿宋_GBK" w:cs="Times New Roman"/>
          <w:sz w:val="32"/>
          <w:szCs w:val="32"/>
          <w:shd w:val="clear" w:color="auto" w:fill="FFFFFF"/>
        </w:rPr>
        <w:t>人均接待费137.35元，车均购置费0万元，车均维护费4.17万元。</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Times New Roman" w:hAnsi="Times New Roman" w:eastAsia="黑体" w:cs="Times New Roman"/>
          <w:sz w:val="32"/>
          <w:szCs w:val="32"/>
          <w:shd w:val="clear" w:color="auto" w:fill="FFFFFF"/>
        </w:rPr>
      </w:pPr>
      <w:r>
        <w:rPr>
          <w:rStyle w:val="13"/>
          <w:rFonts w:hint="default" w:ascii="Times New Roman" w:hAnsi="Times New Roman" w:eastAsia="黑体" w:cs="Times New Roman"/>
          <w:sz w:val="32"/>
          <w:szCs w:val="32"/>
          <w:shd w:val="clear" w:color="auto" w:fill="FFFFFF"/>
        </w:rPr>
        <w:t>四、其他需要说明的事项</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jc w:val="both"/>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（一）财政拨款会议费、培训费和差旅费情况说明</w:t>
      </w:r>
    </w:p>
    <w:p>
      <w:pPr>
        <w:pStyle w:val="9"/>
        <w:snapToGrid w:val="0"/>
        <w:spacing w:before="0" w:beforeAutospacing="0" w:after="0" w:afterAutospacing="0" w:line="596" w:lineRule="exact"/>
        <w:ind w:firstLine="640" w:firstLineChars="200"/>
        <w:jc w:val="both"/>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sz w:val="32"/>
          <w:szCs w:val="32"/>
          <w:shd w:val="clear" w:color="auto" w:fill="FFFFFF"/>
        </w:rPr>
        <w:t>本年度会议费支出0.18万元，与2023年度相比，增加0.18万元，增长100.0%，主</w:t>
      </w:r>
      <w:r>
        <w:rPr>
          <w:rFonts w:hint="default" w:ascii="Times New Roman" w:hAnsi="Times New Roman" w:eastAsia="方正仿宋_GBK" w:cs="Times New Roman"/>
          <w:color w:val="auto"/>
          <w:sz w:val="32"/>
          <w:szCs w:val="32"/>
          <w:shd w:val="clear" w:color="auto" w:fill="FFFFFF"/>
        </w:rPr>
        <w:t>要原因是</w:t>
      </w:r>
      <w:r>
        <w:rPr>
          <w:rFonts w:hint="default" w:ascii="Times New Roman" w:hAnsi="Times New Roman" w:eastAsia="方正仿宋_GBK" w:cs="Times New Roman"/>
          <w:color w:val="auto"/>
          <w:sz w:val="32"/>
          <w:szCs w:val="32"/>
          <w:shd w:val="clear" w:color="auto" w:fill="FFFFFF"/>
          <w:lang w:eastAsia="zh-CN"/>
        </w:rPr>
        <w:t>本年度召开了一次会议。</w:t>
      </w:r>
      <w:r>
        <w:rPr>
          <w:rFonts w:hint="default" w:ascii="Times New Roman" w:hAnsi="Times New Roman" w:eastAsia="方正仿宋_GBK" w:cs="Times New Roman"/>
          <w:color w:val="auto"/>
          <w:sz w:val="32"/>
          <w:szCs w:val="32"/>
          <w:shd w:val="clear" w:color="auto" w:fill="FFFFFF"/>
        </w:rPr>
        <w:t>本年度培训费支出0.00万元，与2023年度相比，无变化，主要原因是</w:t>
      </w:r>
      <w:r>
        <w:rPr>
          <w:rFonts w:hint="default" w:ascii="Times New Roman" w:hAnsi="Times New Roman" w:eastAsia="方正仿宋_GBK" w:cs="Times New Roman"/>
          <w:color w:val="auto"/>
          <w:sz w:val="32"/>
          <w:szCs w:val="32"/>
          <w:shd w:val="clear" w:color="auto" w:fill="FFFFFF"/>
          <w:lang w:eastAsia="zh-CN"/>
        </w:rPr>
        <w:t>未开展培训</w:t>
      </w:r>
      <w:r>
        <w:rPr>
          <w:rFonts w:hint="default" w:ascii="Times New Roman" w:hAnsi="Times New Roman" w:eastAsia="方正仿宋_GBK" w:cs="Times New Roman"/>
          <w:color w:val="auto"/>
          <w:sz w:val="32"/>
          <w:szCs w:val="32"/>
          <w:shd w:val="clear" w:color="auto" w:fill="FFFFFF"/>
        </w:rPr>
        <w:t>。本年度差旅费支出5.99</w:t>
      </w:r>
      <w:r>
        <w:rPr>
          <w:rFonts w:hint="default" w:ascii="Times New Roman" w:hAnsi="Times New Roman" w:eastAsia="方正仿宋_GBK" w:cs="Times New Roman"/>
          <w:color w:val="auto"/>
          <w:sz w:val="32"/>
          <w:szCs w:val="32"/>
        </w:rPr>
        <w:t>万元，</w:t>
      </w:r>
      <w:r>
        <w:rPr>
          <w:rFonts w:hint="default" w:ascii="Times New Roman" w:hAnsi="Times New Roman" w:eastAsia="方正仿宋_GBK" w:cs="Times New Roman"/>
          <w:color w:val="auto"/>
          <w:sz w:val="32"/>
          <w:szCs w:val="32"/>
          <w:shd w:val="clear" w:color="auto" w:fill="FFFFFF"/>
        </w:rPr>
        <w:t>与2023年度相比，增加2.07万元，增长52.8%，主要原因是</w:t>
      </w:r>
      <w:r>
        <w:rPr>
          <w:rFonts w:hint="default" w:ascii="Times New Roman" w:hAnsi="Times New Roman" w:eastAsia="方正仿宋_GBK" w:cs="Times New Roman"/>
          <w:color w:val="auto"/>
          <w:sz w:val="32"/>
          <w:szCs w:val="32"/>
          <w:shd w:val="clear" w:color="auto" w:fill="FFFFFF"/>
          <w:lang w:eastAsia="zh-CN"/>
        </w:rPr>
        <w:t>外出调研次数增加。</w:t>
      </w:r>
    </w:p>
    <w:p>
      <w:pPr>
        <w:pStyle w:val="14"/>
        <w:keepNext w:val="0"/>
        <w:keepLines w:val="0"/>
        <w:pageBreakBefore w:val="0"/>
        <w:widowControl/>
        <w:kinsoku/>
        <w:wordWrap/>
        <w:overflowPunct/>
        <w:topLinePunct w:val="0"/>
        <w:autoSpaceDE w:val="0"/>
        <w:autoSpaceDN/>
        <w:bidi w:val="0"/>
        <w:adjustRightInd/>
        <w:snapToGrid/>
        <w:spacing w:line="596" w:lineRule="exact"/>
        <w:ind w:firstLine="640" w:firstLineChars="200"/>
        <w:textAlignment w:val="auto"/>
        <w:rPr>
          <w:rFonts w:hint="default" w:ascii="Times New Roman" w:hAnsi="Times New Roman" w:eastAsia="楷体" w:cs="Times New Roman"/>
          <w:b w:val="0"/>
          <w:bCs w:val="0"/>
          <w:sz w:val="32"/>
          <w:szCs w:val="32"/>
          <w:shd w:val="clear" w:color="auto" w:fill="FFFFFF"/>
        </w:rPr>
      </w:pPr>
      <w:r>
        <w:rPr>
          <w:rFonts w:hint="default" w:ascii="Times New Roman" w:hAnsi="Times New Roman" w:eastAsia="楷体" w:cs="Times New Roman"/>
          <w:b w:val="0"/>
          <w:bCs w:val="0"/>
          <w:sz w:val="32"/>
          <w:szCs w:val="32"/>
          <w:shd w:val="clear" w:color="auto" w:fill="FFFFFF"/>
        </w:rPr>
        <w:t>（二）机关运行经费情况说明</w:t>
      </w:r>
    </w:p>
    <w:p>
      <w:pPr>
        <w:pStyle w:val="9"/>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2024年度本</w:t>
      </w:r>
      <w:r>
        <w:rPr>
          <w:rFonts w:hint="default" w:ascii="Times New Roman" w:hAnsi="Times New Roman" w:eastAsia="方正仿宋_GBK" w:cs="Times New Roman"/>
          <w:sz w:val="32"/>
          <w:szCs w:val="32"/>
          <w:shd w:val="clear" w:color="auto" w:fill="FFFFFF"/>
          <w:lang w:eastAsia="zh-CN"/>
        </w:rPr>
        <w:t>单位</w:t>
      </w:r>
      <w:r>
        <w:rPr>
          <w:rFonts w:hint="default" w:ascii="Times New Roman" w:hAnsi="Times New Roman" w:eastAsia="方正仿宋_GBK" w:cs="Times New Roman"/>
          <w:sz w:val="32"/>
          <w:szCs w:val="32"/>
          <w:shd w:val="clear" w:color="auto" w:fill="FFFFFF"/>
        </w:rPr>
        <w:t>机关运行经费支出44.11万元，机关运行经费主要用</w:t>
      </w:r>
      <w:r>
        <w:rPr>
          <w:rFonts w:hint="default" w:ascii="Times New Roman" w:hAnsi="Times New Roman" w:eastAsia="方正仿宋_GBK" w:cs="Times New Roman"/>
          <w:color w:val="auto"/>
          <w:sz w:val="32"/>
          <w:szCs w:val="32"/>
          <w:shd w:val="clear" w:color="auto" w:fill="FFFFFF"/>
        </w:rPr>
        <w:t>于开支</w:t>
      </w:r>
      <w:r>
        <w:rPr>
          <w:rFonts w:hint="default" w:ascii="Times New Roman" w:hAnsi="Times New Roman" w:eastAsia="方正仿宋_GBK" w:cs="Times New Roman"/>
          <w:color w:val="auto"/>
          <w:sz w:val="32"/>
          <w:szCs w:val="32"/>
          <w:shd w:val="clear" w:color="auto" w:fill="FFFFFF"/>
          <w:lang w:eastAsia="zh-CN"/>
        </w:rPr>
        <w:t>办公经费、“三公”经费、食堂费用等。</w:t>
      </w:r>
      <w:r>
        <w:rPr>
          <w:rFonts w:hint="default" w:ascii="Times New Roman" w:hAnsi="Times New Roman" w:eastAsia="方正仿宋_GBK" w:cs="Times New Roman"/>
          <w:color w:val="auto"/>
          <w:sz w:val="32"/>
          <w:szCs w:val="32"/>
          <w:shd w:val="clear" w:color="auto" w:fill="FFFFFF"/>
        </w:rPr>
        <w:t>机关运行经费较上年支出数增加16.99万元，增</w:t>
      </w:r>
      <w:r>
        <w:rPr>
          <w:rFonts w:hint="default" w:ascii="Times New Roman" w:hAnsi="Times New Roman" w:eastAsia="方正仿宋_GBK" w:cs="Times New Roman"/>
          <w:sz w:val="32"/>
          <w:szCs w:val="32"/>
          <w:shd w:val="clear" w:color="auto" w:fill="FFFFFF"/>
        </w:rPr>
        <w:t>长62.7%，主要原因是</w:t>
      </w:r>
      <w:r>
        <w:rPr>
          <w:rFonts w:hint="default" w:ascii="Times New Roman" w:hAnsi="Times New Roman" w:eastAsia="方正仿宋_GBK" w:cs="Times New Roman"/>
          <w:color w:val="auto"/>
          <w:sz w:val="32"/>
          <w:szCs w:val="32"/>
          <w:shd w:val="clear" w:color="auto" w:fill="FFFFFF"/>
          <w:lang w:val="en-US" w:eastAsia="zh-CN"/>
        </w:rPr>
        <w:t>2023年的食堂费用有部分在2024年列支。</w:t>
      </w:r>
    </w:p>
    <w:p>
      <w:pPr>
        <w:pStyle w:val="14"/>
        <w:keepNext w:val="0"/>
        <w:keepLines w:val="0"/>
        <w:pageBreakBefore w:val="0"/>
        <w:widowControl/>
        <w:kinsoku/>
        <w:wordWrap/>
        <w:overflowPunct/>
        <w:topLinePunct w:val="0"/>
        <w:autoSpaceDE w:val="0"/>
        <w:autoSpaceDN/>
        <w:bidi w:val="0"/>
        <w:adjustRightInd/>
        <w:snapToGrid/>
        <w:spacing w:line="596" w:lineRule="exact"/>
        <w:ind w:firstLine="640" w:firstLineChars="200"/>
        <w:textAlignment w:val="auto"/>
        <w:rPr>
          <w:rFonts w:hint="default" w:ascii="Times New Roman" w:hAnsi="Times New Roman" w:eastAsia="楷体" w:cs="Times New Roman"/>
          <w:b w:val="0"/>
          <w:bCs w:val="0"/>
          <w:sz w:val="32"/>
          <w:szCs w:val="32"/>
          <w:shd w:val="clear" w:color="auto" w:fill="FFFFFF"/>
        </w:rPr>
      </w:pPr>
      <w:r>
        <w:rPr>
          <w:rFonts w:hint="default" w:ascii="Times New Roman" w:hAnsi="Times New Roman" w:eastAsia="楷体" w:cs="Times New Roman"/>
          <w:b w:val="0"/>
          <w:bCs w:val="0"/>
          <w:sz w:val="32"/>
          <w:szCs w:val="32"/>
          <w:shd w:val="clear" w:color="auto" w:fill="FFFFFF"/>
        </w:rPr>
        <w:t>（三）国有资产占用情况说明</w:t>
      </w:r>
    </w:p>
    <w:p>
      <w:pPr>
        <w:pStyle w:val="9"/>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截至2024年12月31日，本</w:t>
      </w:r>
      <w:r>
        <w:rPr>
          <w:rFonts w:hint="default" w:ascii="Times New Roman" w:hAnsi="Times New Roman" w:eastAsia="方正仿宋_GBK" w:cs="Times New Roman"/>
          <w:sz w:val="32"/>
          <w:szCs w:val="32"/>
          <w:shd w:val="clear" w:color="auto" w:fill="FFFFFF"/>
          <w:lang w:eastAsia="zh-CN"/>
        </w:rPr>
        <w:t>单位</w:t>
      </w:r>
      <w:r>
        <w:rPr>
          <w:rFonts w:hint="default" w:ascii="Times New Roman" w:hAnsi="Times New Roman" w:eastAsia="方正仿宋_GBK" w:cs="Times New Roman"/>
          <w:sz w:val="32"/>
          <w:szCs w:val="32"/>
          <w:shd w:val="clear" w:color="auto" w:fill="FFFFFF"/>
        </w:rPr>
        <w:t>共有车辆1辆，其中，副部（省）级及以上领导用车0辆、主要负责人用车0辆、机要通信用车0辆、应急保障用车1辆、执法执勤用车0辆，特种专业技术用车0辆，离退休干部用车0辆。单价100万元（含）以上专用设备0台（套）。</w:t>
      </w:r>
    </w:p>
    <w:p>
      <w:pPr>
        <w:pStyle w:val="14"/>
        <w:keepNext w:val="0"/>
        <w:keepLines w:val="0"/>
        <w:pageBreakBefore w:val="0"/>
        <w:widowControl/>
        <w:kinsoku/>
        <w:wordWrap/>
        <w:overflowPunct/>
        <w:topLinePunct w:val="0"/>
        <w:autoSpaceDE w:val="0"/>
        <w:autoSpaceDN/>
        <w:bidi w:val="0"/>
        <w:adjustRightInd/>
        <w:snapToGrid/>
        <w:spacing w:line="596" w:lineRule="exact"/>
        <w:ind w:firstLine="640" w:firstLineChars="200"/>
        <w:textAlignment w:val="auto"/>
        <w:rPr>
          <w:rFonts w:hint="default" w:ascii="Times New Roman" w:hAnsi="Times New Roman" w:eastAsia="楷体" w:cs="Times New Roman"/>
          <w:b w:val="0"/>
          <w:bCs w:val="0"/>
          <w:sz w:val="32"/>
          <w:szCs w:val="32"/>
          <w:shd w:val="clear" w:color="auto" w:fill="FFFFFF"/>
        </w:rPr>
      </w:pPr>
      <w:r>
        <w:rPr>
          <w:rFonts w:hint="default" w:ascii="Times New Roman" w:hAnsi="Times New Roman" w:eastAsia="楷体" w:cs="Times New Roman"/>
          <w:b w:val="0"/>
          <w:bCs w:val="0"/>
          <w:sz w:val="32"/>
          <w:szCs w:val="32"/>
          <w:shd w:val="clear" w:color="auto" w:fill="FFFFFF"/>
        </w:rPr>
        <w:t>（四）政府采购支出情况说明</w:t>
      </w:r>
    </w:p>
    <w:p>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default" w:ascii="Times New Roman" w:hAnsi="Times New Roman" w:eastAsia="方正仿宋_GBK" w:cs="Times New Roman"/>
          <w:sz w:val="32"/>
          <w:szCs w:val="32"/>
          <w:shd w:val="clear" w:color="auto" w:fill="FFFFFF"/>
          <w:lang w:eastAsia="zh-CN"/>
        </w:rPr>
      </w:pPr>
      <w:r>
        <w:rPr>
          <w:rFonts w:hint="default" w:ascii="Times New Roman" w:hAnsi="Times New Roman" w:eastAsia="方正仿宋_GBK" w:cs="Times New Roman"/>
          <w:sz w:val="32"/>
          <w:szCs w:val="32"/>
          <w:shd w:val="clear" w:color="auto" w:fill="FFFFFF"/>
        </w:rPr>
        <w:t>2024年度本</w:t>
      </w:r>
      <w:r>
        <w:rPr>
          <w:rFonts w:hint="default" w:ascii="Times New Roman" w:hAnsi="Times New Roman" w:eastAsia="方正仿宋_GBK" w:cs="Times New Roman"/>
          <w:sz w:val="32"/>
          <w:szCs w:val="32"/>
          <w:shd w:val="clear" w:color="auto" w:fill="FFFFFF"/>
          <w:lang w:eastAsia="zh-CN"/>
        </w:rPr>
        <w:t>单位</w:t>
      </w:r>
      <w:r>
        <w:rPr>
          <w:rFonts w:hint="default" w:ascii="Times New Roman" w:hAnsi="Times New Roman" w:eastAsia="方正仿宋_GBK" w:cs="Times New Roman"/>
          <w:sz w:val="32"/>
          <w:szCs w:val="32"/>
          <w:shd w:val="clear" w:color="auto" w:fill="FFFFFF"/>
        </w:rPr>
        <w:t>政府采购支出总额1.83万元，其中：政府采购货物支出1.83万元、政府采购工程支出0.00万元、政府采购服务支出0.00万元。授予中小企业合同金额1.83</w:t>
      </w:r>
      <w:r>
        <w:rPr>
          <w:rFonts w:hint="default" w:ascii="Times New Roman" w:hAnsi="Times New Roman" w:eastAsia="方正仿宋_GBK" w:cs="Times New Roman"/>
          <w:sz w:val="32"/>
          <w:szCs w:val="32"/>
        </w:rPr>
        <w:t>万</w:t>
      </w:r>
      <w:r>
        <w:rPr>
          <w:rFonts w:hint="default" w:ascii="Times New Roman" w:hAnsi="Times New Roman" w:eastAsia="方正仿宋_GBK" w:cs="Times New Roman"/>
          <w:sz w:val="32"/>
          <w:szCs w:val="32"/>
          <w:shd w:val="clear" w:color="auto" w:fill="FFFFFF"/>
        </w:rPr>
        <w:t>元，占政府采购支出总额的100.0%，其中：授予小微企业合同金额1.83万元，占政府采购支出总额的100.0 %。主要用于采购</w:t>
      </w:r>
      <w:r>
        <w:rPr>
          <w:rFonts w:hint="default" w:ascii="Times New Roman" w:hAnsi="Times New Roman" w:eastAsia="方正仿宋_GBK" w:cs="Times New Roman"/>
          <w:sz w:val="32"/>
          <w:szCs w:val="32"/>
          <w:shd w:val="clear" w:color="auto" w:fill="FFFFFF"/>
          <w:lang w:eastAsia="zh-CN"/>
        </w:rPr>
        <w:t>保密柜等。</w:t>
      </w:r>
    </w:p>
    <w:p>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ind w:firstLine="640" w:firstLineChars="200"/>
        <w:textAlignment w:val="auto"/>
        <w:rPr>
          <w:rStyle w:val="13"/>
          <w:rFonts w:hint="default" w:ascii="Times New Roman" w:hAnsi="Times New Roman" w:eastAsia="黑体" w:cs="Times New Roman"/>
          <w:b w:val="0"/>
          <w:bCs/>
          <w:sz w:val="32"/>
          <w:szCs w:val="32"/>
          <w:shd w:val="clear" w:color="auto" w:fill="FFFFFF"/>
          <w:lang w:val="en-US" w:eastAsia="zh-CN" w:bidi="ar-SA"/>
        </w:rPr>
      </w:pPr>
      <w:r>
        <w:rPr>
          <w:rStyle w:val="13"/>
          <w:rFonts w:hint="default" w:ascii="Times New Roman" w:hAnsi="Times New Roman" w:eastAsia="黑体" w:cs="Times New Roman"/>
          <w:b w:val="0"/>
          <w:bCs/>
          <w:sz w:val="32"/>
          <w:szCs w:val="32"/>
          <w:shd w:val="clear" w:color="auto" w:fill="FFFFFF"/>
          <w:lang w:val="en-US" w:eastAsia="zh-CN" w:bidi="ar-SA"/>
        </w:rPr>
        <w:t>五、2024年度预算绩效管理情况说明</w:t>
      </w:r>
    </w:p>
    <w:p>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0" w:firstLineChars="200"/>
        <w:jc w:val="left"/>
        <w:textAlignment w:val="auto"/>
        <w:rPr>
          <w:rFonts w:hint="default" w:ascii="Times New Roman" w:hAnsi="Times New Roman" w:eastAsia="楷体" w:cs="Times New Roman"/>
          <w:b w:val="0"/>
          <w:bCs/>
          <w:kern w:val="0"/>
          <w:sz w:val="32"/>
          <w:szCs w:val="32"/>
          <w:shd w:val="clear" w:fill="FFFFFF"/>
        </w:rPr>
      </w:pPr>
      <w:r>
        <w:rPr>
          <w:rFonts w:hint="default" w:ascii="Times New Roman" w:hAnsi="Times New Roman" w:eastAsia="楷体" w:cs="Times New Roman"/>
          <w:b w:val="0"/>
          <w:bCs/>
          <w:kern w:val="0"/>
          <w:sz w:val="32"/>
          <w:szCs w:val="32"/>
          <w:shd w:val="clear" w:fill="FFFFFF"/>
        </w:rPr>
        <w:t>（一）单位自评情况</w:t>
      </w:r>
    </w:p>
    <w:p>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0" w:firstLineChars="200"/>
        <w:jc w:val="left"/>
        <w:textAlignment w:val="auto"/>
        <w:rPr>
          <w:rFonts w:hint="default" w:ascii="Times New Roman" w:hAnsi="Times New Roman" w:eastAsia="方正仿宋_GBK" w:cs="Times New Roman"/>
          <w:kern w:val="0"/>
          <w:sz w:val="32"/>
          <w:szCs w:val="32"/>
          <w:shd w:val="clear" w:fill="FFFFFF"/>
          <w:lang w:eastAsia="zh-CN"/>
        </w:rPr>
      </w:pPr>
      <w:r>
        <w:rPr>
          <w:rFonts w:hint="default" w:ascii="Times New Roman" w:hAnsi="Times New Roman" w:eastAsia="方正仿宋_GBK" w:cs="Times New Roman"/>
          <w:kern w:val="0"/>
          <w:sz w:val="32"/>
          <w:szCs w:val="32"/>
          <w:shd w:val="clear" w:fill="FFFFFF"/>
        </w:rPr>
        <w:t>根据预算绩效管理要求，我部门对部门整体和</w:t>
      </w:r>
      <w:r>
        <w:rPr>
          <w:rFonts w:hint="default" w:ascii="Times New Roman" w:hAnsi="Times New Roman" w:eastAsia="方正仿宋_GBK" w:cs="Times New Roman"/>
          <w:kern w:val="0"/>
          <w:sz w:val="32"/>
          <w:szCs w:val="32"/>
          <w:shd w:val="clear" w:fill="FFFFFF"/>
          <w:lang w:val="en-US" w:eastAsia="zh-CN"/>
        </w:rPr>
        <w:t>13</w:t>
      </w:r>
      <w:r>
        <w:rPr>
          <w:rFonts w:hint="default" w:ascii="Times New Roman" w:hAnsi="Times New Roman" w:eastAsia="方正仿宋_GBK" w:cs="Times New Roman"/>
          <w:kern w:val="0"/>
          <w:sz w:val="32"/>
          <w:szCs w:val="32"/>
          <w:shd w:val="clear" w:fill="FFFFFF"/>
        </w:rPr>
        <w:t>个二级项目开展了绩效自评，涉及财政拨款项目支出资金</w:t>
      </w:r>
      <w:r>
        <w:rPr>
          <w:rFonts w:hint="default" w:ascii="Times New Roman" w:hAnsi="Times New Roman" w:eastAsia="方正仿宋_GBK" w:cs="Times New Roman"/>
          <w:kern w:val="0"/>
          <w:sz w:val="32"/>
          <w:szCs w:val="32"/>
          <w:shd w:val="clear" w:fill="FFFFFF"/>
          <w:lang w:val="en-US" w:eastAsia="zh-CN"/>
        </w:rPr>
        <w:t>364.65</w:t>
      </w:r>
      <w:r>
        <w:rPr>
          <w:rFonts w:hint="default" w:ascii="Times New Roman" w:hAnsi="Times New Roman" w:eastAsia="方正仿宋_GBK" w:cs="Times New Roman"/>
          <w:kern w:val="0"/>
          <w:sz w:val="32"/>
          <w:szCs w:val="32"/>
          <w:shd w:val="clear" w:fill="FFFFFF"/>
        </w:rPr>
        <w:t>万元</w:t>
      </w:r>
      <w:r>
        <w:rPr>
          <w:rFonts w:hint="default" w:ascii="Times New Roman" w:hAnsi="Times New Roman" w:eastAsia="方正仿宋_GBK" w:cs="Times New Roman"/>
          <w:kern w:val="0"/>
          <w:sz w:val="32"/>
          <w:szCs w:val="32"/>
          <w:shd w:val="clear" w:fill="FFFFFF"/>
          <w:lang w:eastAsia="zh-CN"/>
        </w:rPr>
        <w:t>。</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jc w:val="left"/>
        <w:textAlignment w:val="auto"/>
        <w:rPr>
          <w:rFonts w:hint="default" w:ascii="Times New Roman" w:hAnsi="Times New Roman" w:eastAsia="方正仿宋_GBK" w:cs="Times New Roman"/>
          <w:b/>
          <w:bCs/>
          <w:kern w:val="0"/>
          <w:sz w:val="32"/>
          <w:szCs w:val="32"/>
          <w:shd w:val="clear" w:fill="FFFFFF"/>
          <w:lang w:eastAsia="zh-CN"/>
        </w:rPr>
      </w:pPr>
      <w:r>
        <w:rPr>
          <w:rFonts w:hint="default" w:ascii="Times New Roman" w:hAnsi="Times New Roman" w:eastAsia="方正仿宋_GBK" w:cs="Times New Roman"/>
          <w:b/>
          <w:bCs/>
          <w:kern w:val="0"/>
          <w:sz w:val="32"/>
          <w:szCs w:val="32"/>
          <w:shd w:val="clear" w:fill="FFFFFF"/>
        </w:rPr>
        <w:t>部门整体绩效自评</w:t>
      </w:r>
      <w:r>
        <w:rPr>
          <w:rFonts w:hint="default" w:ascii="Times New Roman" w:hAnsi="Times New Roman" w:eastAsia="方正仿宋_GBK" w:cs="Times New Roman"/>
          <w:b/>
          <w:bCs/>
          <w:kern w:val="0"/>
          <w:sz w:val="32"/>
          <w:szCs w:val="32"/>
          <w:shd w:val="clear" w:fill="FFFFFF"/>
          <w:lang w:eastAsia="zh-CN"/>
        </w:rPr>
        <w:t>表</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0" w:firstLineChars="200"/>
        <w:textAlignment w:val="auto"/>
        <w:rPr>
          <w:rFonts w:hint="default" w:ascii="Times New Roman" w:hAnsi="Times New Roman" w:eastAsia="方正仿宋_GBK" w:cs="Times New Roman"/>
          <w:b w:val="0"/>
          <w:bCs w:val="0"/>
          <w:kern w:val="0"/>
          <w:sz w:val="32"/>
          <w:szCs w:val="32"/>
          <w:highlight w:val="none"/>
          <w:shd w:val="clear" w:fill="FFFFFF"/>
          <w:lang w:eastAsia="zh-CN"/>
        </w:rPr>
      </w:pPr>
      <w:r>
        <w:rPr>
          <w:rFonts w:hint="default" w:ascii="Times New Roman" w:hAnsi="Times New Roman" w:eastAsia="方正仿宋_GBK" w:cs="Times New Roman"/>
          <w:b w:val="0"/>
          <w:bCs w:val="0"/>
          <w:kern w:val="0"/>
          <w:sz w:val="32"/>
          <w:szCs w:val="32"/>
          <w:highlight w:val="none"/>
          <w:shd w:val="clear" w:fill="FFFFFF"/>
          <w:lang w:eastAsia="zh-CN"/>
        </w:rPr>
        <w:t>附表</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b/>
          <w:bCs/>
          <w:kern w:val="0"/>
          <w:sz w:val="32"/>
          <w:szCs w:val="32"/>
          <w:shd w:val="clear" w:fill="FFFFFF"/>
        </w:rPr>
      </w:pPr>
      <w:r>
        <w:rPr>
          <w:rFonts w:hint="default" w:ascii="Times New Roman" w:hAnsi="Times New Roman" w:eastAsia="方正仿宋_GBK" w:cs="Times New Roman"/>
          <w:b/>
          <w:bCs/>
          <w:kern w:val="0"/>
          <w:sz w:val="32"/>
          <w:szCs w:val="32"/>
          <w:shd w:val="clear" w:fill="FFFFFF"/>
        </w:rPr>
        <w:t>项目支出绩效自评表（一级项目）</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0" w:firstLineChars="200"/>
        <w:textAlignment w:val="auto"/>
        <w:rPr>
          <w:rFonts w:hint="default" w:ascii="Times New Roman" w:hAnsi="Times New Roman" w:eastAsia="方正仿宋_GBK" w:cs="Times New Roman"/>
          <w:b w:val="0"/>
          <w:bCs w:val="0"/>
          <w:kern w:val="0"/>
          <w:sz w:val="32"/>
          <w:szCs w:val="32"/>
          <w:shd w:val="clear" w:fill="FFFFFF"/>
          <w:lang w:val="en-US" w:eastAsia="zh-CN" w:bidi="ar"/>
        </w:rPr>
      </w:pPr>
      <w:r>
        <w:rPr>
          <w:rFonts w:hint="default" w:ascii="Times New Roman" w:hAnsi="Times New Roman" w:eastAsia="方正仿宋_GBK" w:cs="Times New Roman"/>
          <w:b w:val="0"/>
          <w:bCs w:val="0"/>
          <w:kern w:val="0"/>
          <w:sz w:val="32"/>
          <w:szCs w:val="32"/>
          <w:shd w:val="clear" w:fill="FFFFFF"/>
          <w:lang w:val="en-US" w:eastAsia="zh-CN" w:bidi="ar"/>
        </w:rPr>
        <w:t>本单位无一级项目</w:t>
      </w:r>
    </w:p>
    <w:p>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0" w:firstLineChars="200"/>
        <w:jc w:val="left"/>
        <w:textAlignment w:val="auto"/>
        <w:rPr>
          <w:rFonts w:hint="default" w:ascii="Times New Roman" w:hAnsi="Times New Roman" w:eastAsia="楷体" w:cs="Times New Roman"/>
          <w:b w:val="0"/>
          <w:bCs w:val="0"/>
          <w:kern w:val="0"/>
          <w:sz w:val="32"/>
          <w:szCs w:val="32"/>
          <w:shd w:val="clear" w:fill="FFFFFF"/>
        </w:rPr>
      </w:pPr>
      <w:r>
        <w:rPr>
          <w:rFonts w:hint="default" w:ascii="Times New Roman" w:hAnsi="Times New Roman" w:eastAsia="楷体" w:cs="Times New Roman"/>
          <w:b w:val="0"/>
          <w:bCs w:val="0"/>
          <w:kern w:val="0"/>
          <w:sz w:val="32"/>
          <w:szCs w:val="32"/>
          <w:shd w:val="clear" w:fill="FFFFFF"/>
        </w:rPr>
        <w:t>（二）部门绩效评价情况</w:t>
      </w:r>
    </w:p>
    <w:p>
      <w:pPr>
        <w:pStyle w:val="19"/>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0" w:firstLineChars="200"/>
        <w:textAlignment w:val="auto"/>
        <w:rPr>
          <w:rFonts w:hint="default" w:ascii="Times New Roman" w:hAnsi="Times New Roman" w:eastAsia="方正仿宋_GBK" w:cs="Times New Roman"/>
          <w:kern w:val="0"/>
          <w:sz w:val="32"/>
          <w:szCs w:val="32"/>
          <w:shd w:val="clear" w:fill="FFFFFF"/>
        </w:rPr>
      </w:pPr>
      <w:r>
        <w:rPr>
          <w:rFonts w:hint="default" w:ascii="Times New Roman" w:hAnsi="Times New Roman" w:eastAsia="方正仿宋_GBK" w:cs="Times New Roman"/>
          <w:kern w:val="0"/>
          <w:sz w:val="32"/>
          <w:szCs w:val="32"/>
          <w:shd w:val="clear" w:fill="FFFFFF"/>
        </w:rPr>
        <w:t>我部门对</w:t>
      </w:r>
      <w:r>
        <w:rPr>
          <w:rFonts w:hint="default" w:ascii="Times New Roman" w:hAnsi="Times New Roman" w:eastAsia="方正仿宋_GBK" w:cs="Times New Roman"/>
          <w:kern w:val="0"/>
          <w:sz w:val="32"/>
          <w:szCs w:val="32"/>
          <w:shd w:val="clear" w:fill="FFFFFF"/>
          <w:lang w:eastAsia="zh-CN"/>
        </w:rPr>
        <w:t>“</w:t>
      </w:r>
      <w:r>
        <w:rPr>
          <w:rFonts w:hint="default" w:ascii="Times New Roman" w:hAnsi="Times New Roman" w:eastAsia="方正仿宋_GBK" w:cs="Times New Roman"/>
          <w:kern w:val="0"/>
          <w:sz w:val="32"/>
          <w:szCs w:val="32"/>
          <w:shd w:val="clear" w:fill="FFFFFF"/>
        </w:rPr>
        <w:t>2024年“三社”融合发展资金（区域性为农服务中心）</w:t>
      </w:r>
      <w:r>
        <w:rPr>
          <w:rFonts w:hint="default" w:ascii="Times New Roman" w:hAnsi="Times New Roman" w:eastAsia="方正仿宋_GBK" w:cs="Times New Roman"/>
          <w:kern w:val="0"/>
          <w:sz w:val="32"/>
          <w:szCs w:val="32"/>
          <w:shd w:val="clear" w:fill="FFFFFF"/>
          <w:lang w:eastAsia="zh-CN"/>
        </w:rPr>
        <w:t>”</w:t>
      </w:r>
      <w:r>
        <w:rPr>
          <w:rFonts w:hint="default" w:ascii="Times New Roman" w:hAnsi="Times New Roman" w:eastAsia="方正仿宋_GBK" w:cs="Times New Roman"/>
          <w:kern w:val="0"/>
          <w:sz w:val="32"/>
          <w:szCs w:val="32"/>
          <w:shd w:val="clear" w:fill="FFFFFF"/>
        </w:rPr>
        <w:t>开展了绩效评价，涉及财政拨款项目资金</w:t>
      </w:r>
      <w:r>
        <w:rPr>
          <w:rFonts w:hint="default" w:ascii="Times New Roman" w:hAnsi="Times New Roman" w:eastAsia="方正仿宋_GBK" w:cs="Times New Roman"/>
          <w:kern w:val="0"/>
          <w:sz w:val="32"/>
          <w:szCs w:val="32"/>
          <w:shd w:val="clear" w:fill="FFFFFF"/>
          <w:lang w:val="en-US" w:eastAsia="zh-CN"/>
        </w:rPr>
        <w:t>46.4</w:t>
      </w:r>
      <w:r>
        <w:rPr>
          <w:rFonts w:hint="default" w:ascii="Times New Roman" w:hAnsi="Times New Roman" w:eastAsia="方正仿宋_GBK" w:cs="Times New Roman"/>
          <w:kern w:val="0"/>
          <w:sz w:val="32"/>
          <w:szCs w:val="32"/>
          <w:shd w:val="clear" w:fill="FFFFFF"/>
        </w:rPr>
        <w:t>万元，评价得分</w:t>
      </w:r>
      <w:r>
        <w:rPr>
          <w:rFonts w:hint="default" w:ascii="Times New Roman" w:hAnsi="Times New Roman" w:eastAsia="方正仿宋_GBK" w:cs="Times New Roman"/>
          <w:kern w:val="0"/>
          <w:sz w:val="32"/>
          <w:szCs w:val="32"/>
          <w:shd w:val="clear" w:fill="FFFFFF"/>
          <w:lang w:val="en-US" w:eastAsia="zh-CN"/>
        </w:rPr>
        <w:t>100</w:t>
      </w:r>
      <w:r>
        <w:rPr>
          <w:rFonts w:hint="default" w:ascii="Times New Roman" w:hAnsi="Times New Roman" w:eastAsia="方正仿宋_GBK" w:cs="Times New Roman"/>
          <w:kern w:val="0"/>
          <w:sz w:val="32"/>
          <w:szCs w:val="32"/>
          <w:shd w:val="clear" w:fill="FFFFFF"/>
        </w:rPr>
        <w:t>分，评价等次为</w:t>
      </w:r>
      <w:r>
        <w:rPr>
          <w:rFonts w:hint="default" w:ascii="Times New Roman" w:hAnsi="Times New Roman" w:eastAsia="方正仿宋_GBK" w:cs="Times New Roman"/>
          <w:kern w:val="0"/>
          <w:sz w:val="32"/>
          <w:szCs w:val="32"/>
          <w:shd w:val="clear" w:fill="FFFFFF"/>
          <w:lang w:eastAsia="zh-CN"/>
        </w:rPr>
        <w:t>优</w:t>
      </w:r>
      <w:r>
        <w:rPr>
          <w:rFonts w:hint="default" w:ascii="Times New Roman" w:hAnsi="Times New Roman" w:eastAsia="方正仿宋_GBK" w:cs="Times New Roman"/>
          <w:kern w:val="0"/>
          <w:sz w:val="32"/>
          <w:szCs w:val="32"/>
          <w:shd w:val="clear" w:fill="FFFFFF"/>
        </w:rPr>
        <w:t>；对</w:t>
      </w:r>
      <w:r>
        <w:rPr>
          <w:rFonts w:hint="default" w:ascii="Times New Roman" w:hAnsi="Times New Roman" w:eastAsia="方正仿宋_GBK" w:cs="Times New Roman"/>
          <w:kern w:val="0"/>
          <w:sz w:val="32"/>
          <w:szCs w:val="32"/>
          <w:shd w:val="clear" w:fill="FFFFFF"/>
          <w:lang w:eastAsia="zh-CN"/>
        </w:rPr>
        <w:t>“2024年农民合作社服务中心运营资金”</w:t>
      </w:r>
      <w:r>
        <w:rPr>
          <w:rFonts w:hint="default" w:ascii="Times New Roman" w:hAnsi="Times New Roman" w:eastAsia="方正仿宋_GBK" w:cs="Times New Roman"/>
          <w:kern w:val="0"/>
          <w:sz w:val="32"/>
          <w:szCs w:val="32"/>
          <w:shd w:val="clear" w:fill="FFFFFF"/>
        </w:rPr>
        <w:t>开展了绩效评价，涉及财政拨款项目资金</w:t>
      </w:r>
      <w:r>
        <w:rPr>
          <w:rFonts w:hint="default" w:ascii="Times New Roman" w:hAnsi="Times New Roman" w:eastAsia="方正仿宋_GBK" w:cs="Times New Roman"/>
          <w:kern w:val="0"/>
          <w:sz w:val="32"/>
          <w:szCs w:val="32"/>
          <w:shd w:val="clear" w:fill="FFFFFF"/>
          <w:lang w:val="en-US" w:eastAsia="zh-CN"/>
        </w:rPr>
        <w:t>9</w:t>
      </w:r>
      <w:r>
        <w:rPr>
          <w:rFonts w:hint="default" w:ascii="Times New Roman" w:hAnsi="Times New Roman" w:eastAsia="方正仿宋_GBK" w:cs="Times New Roman"/>
          <w:kern w:val="0"/>
          <w:sz w:val="32"/>
          <w:szCs w:val="32"/>
          <w:shd w:val="clear" w:fill="FFFFFF"/>
        </w:rPr>
        <w:t>万元，评价得分</w:t>
      </w:r>
      <w:r>
        <w:rPr>
          <w:rFonts w:hint="default" w:ascii="Times New Roman" w:hAnsi="Times New Roman" w:eastAsia="方正仿宋_GBK" w:cs="Times New Roman"/>
          <w:kern w:val="0"/>
          <w:sz w:val="32"/>
          <w:szCs w:val="32"/>
          <w:shd w:val="clear" w:fill="FFFFFF"/>
          <w:lang w:val="en-US" w:eastAsia="zh-CN"/>
        </w:rPr>
        <w:t>100</w:t>
      </w:r>
      <w:r>
        <w:rPr>
          <w:rFonts w:hint="default" w:ascii="Times New Roman" w:hAnsi="Times New Roman" w:eastAsia="方正仿宋_GBK" w:cs="Times New Roman"/>
          <w:kern w:val="0"/>
          <w:sz w:val="32"/>
          <w:szCs w:val="32"/>
          <w:shd w:val="clear" w:fill="FFFFFF"/>
        </w:rPr>
        <w:t>分，评价等次为</w:t>
      </w:r>
      <w:r>
        <w:rPr>
          <w:rFonts w:hint="default" w:ascii="Times New Roman" w:hAnsi="Times New Roman" w:eastAsia="方正仿宋_GBK" w:cs="Times New Roman"/>
          <w:kern w:val="0"/>
          <w:sz w:val="32"/>
          <w:szCs w:val="32"/>
          <w:shd w:val="clear" w:fill="FFFFFF"/>
          <w:lang w:eastAsia="zh-CN"/>
        </w:rPr>
        <w:t>优；</w:t>
      </w:r>
      <w:r>
        <w:rPr>
          <w:rFonts w:hint="default" w:ascii="Times New Roman" w:hAnsi="Times New Roman" w:eastAsia="方正仿宋_GBK" w:cs="Times New Roman"/>
          <w:kern w:val="0"/>
          <w:sz w:val="32"/>
          <w:szCs w:val="32"/>
          <w:shd w:val="clear" w:fill="FFFFFF"/>
        </w:rPr>
        <w:t>对</w:t>
      </w:r>
      <w:r>
        <w:rPr>
          <w:rFonts w:hint="default" w:ascii="Times New Roman" w:hAnsi="Times New Roman" w:eastAsia="方正仿宋_GBK" w:cs="Times New Roman"/>
          <w:kern w:val="0"/>
          <w:sz w:val="32"/>
          <w:szCs w:val="32"/>
          <w:shd w:val="clear" w:fill="FFFFFF"/>
          <w:lang w:eastAsia="zh-CN"/>
        </w:rPr>
        <w:t>“2024年烟花爆竹专营、零售网点布点与管理”</w:t>
      </w:r>
      <w:r>
        <w:rPr>
          <w:rFonts w:hint="default" w:ascii="Times New Roman" w:hAnsi="Times New Roman" w:eastAsia="方正仿宋_GBK" w:cs="Times New Roman"/>
          <w:kern w:val="0"/>
          <w:sz w:val="32"/>
          <w:szCs w:val="32"/>
          <w:shd w:val="clear" w:fill="FFFFFF"/>
        </w:rPr>
        <w:t>开展了绩效评价，涉及财政拨款项目资金</w:t>
      </w:r>
      <w:r>
        <w:rPr>
          <w:rFonts w:hint="default" w:ascii="Times New Roman" w:hAnsi="Times New Roman" w:eastAsia="方正仿宋_GBK" w:cs="Times New Roman"/>
          <w:kern w:val="0"/>
          <w:sz w:val="32"/>
          <w:szCs w:val="32"/>
          <w:shd w:val="clear" w:fill="FFFFFF"/>
          <w:lang w:val="en-US" w:eastAsia="zh-CN"/>
        </w:rPr>
        <w:t>9</w:t>
      </w:r>
      <w:r>
        <w:rPr>
          <w:rFonts w:hint="default" w:ascii="Times New Roman" w:hAnsi="Times New Roman" w:eastAsia="方正仿宋_GBK" w:cs="Times New Roman"/>
          <w:kern w:val="0"/>
          <w:sz w:val="32"/>
          <w:szCs w:val="32"/>
          <w:shd w:val="clear" w:fill="FFFFFF"/>
        </w:rPr>
        <w:t>万元，评价得分</w:t>
      </w:r>
      <w:r>
        <w:rPr>
          <w:rFonts w:hint="default" w:ascii="Times New Roman" w:hAnsi="Times New Roman" w:eastAsia="方正仿宋_GBK" w:cs="Times New Roman"/>
          <w:kern w:val="0"/>
          <w:sz w:val="32"/>
          <w:szCs w:val="32"/>
          <w:shd w:val="clear" w:fill="FFFFFF"/>
          <w:lang w:val="en-US" w:eastAsia="zh-CN"/>
        </w:rPr>
        <w:t>100</w:t>
      </w:r>
      <w:r>
        <w:rPr>
          <w:rFonts w:hint="default" w:ascii="Times New Roman" w:hAnsi="Times New Roman" w:eastAsia="方正仿宋_GBK" w:cs="Times New Roman"/>
          <w:kern w:val="0"/>
          <w:sz w:val="32"/>
          <w:szCs w:val="32"/>
          <w:shd w:val="clear" w:fill="FFFFFF"/>
        </w:rPr>
        <w:t>分，评价等次为</w:t>
      </w:r>
      <w:r>
        <w:rPr>
          <w:rFonts w:hint="default" w:ascii="Times New Roman" w:hAnsi="Times New Roman" w:eastAsia="方正仿宋_GBK" w:cs="Times New Roman"/>
          <w:kern w:val="0"/>
          <w:sz w:val="32"/>
          <w:szCs w:val="32"/>
          <w:shd w:val="clear" w:fill="FFFFFF"/>
          <w:lang w:eastAsia="zh-CN"/>
        </w:rPr>
        <w:t>优；</w:t>
      </w:r>
      <w:r>
        <w:rPr>
          <w:rFonts w:hint="default" w:ascii="Times New Roman" w:hAnsi="Times New Roman" w:eastAsia="方正仿宋_GBK" w:cs="Times New Roman"/>
          <w:kern w:val="0"/>
          <w:sz w:val="32"/>
          <w:szCs w:val="32"/>
          <w:shd w:val="clear" w:fill="FFFFFF"/>
        </w:rPr>
        <w:t>对</w:t>
      </w:r>
      <w:r>
        <w:rPr>
          <w:rFonts w:hint="default" w:ascii="Times New Roman" w:hAnsi="Times New Roman" w:eastAsia="方正仿宋_GBK" w:cs="Times New Roman"/>
          <w:kern w:val="0"/>
          <w:sz w:val="32"/>
          <w:szCs w:val="32"/>
          <w:shd w:val="clear" w:fill="FFFFFF"/>
          <w:lang w:eastAsia="zh-CN"/>
        </w:rPr>
        <w:t>“城口县2022年“三社"融合贷款贴息项目”</w:t>
      </w:r>
      <w:r>
        <w:rPr>
          <w:rFonts w:hint="default" w:ascii="Times New Roman" w:hAnsi="Times New Roman" w:eastAsia="方正仿宋_GBK" w:cs="Times New Roman"/>
          <w:kern w:val="0"/>
          <w:sz w:val="32"/>
          <w:szCs w:val="32"/>
          <w:shd w:val="clear" w:fill="FFFFFF"/>
        </w:rPr>
        <w:t>开展了绩效评价，涉及财政拨款项目资金</w:t>
      </w:r>
      <w:r>
        <w:rPr>
          <w:rFonts w:hint="default" w:ascii="Times New Roman" w:hAnsi="Times New Roman" w:eastAsia="方正仿宋_GBK" w:cs="Times New Roman"/>
          <w:kern w:val="0"/>
          <w:sz w:val="32"/>
          <w:szCs w:val="32"/>
          <w:shd w:val="clear" w:fill="FFFFFF"/>
          <w:lang w:val="en-US" w:eastAsia="zh-CN"/>
        </w:rPr>
        <w:t>1.61</w:t>
      </w:r>
      <w:r>
        <w:rPr>
          <w:rFonts w:hint="default" w:ascii="Times New Roman" w:hAnsi="Times New Roman" w:eastAsia="方正仿宋_GBK" w:cs="Times New Roman"/>
          <w:kern w:val="0"/>
          <w:sz w:val="32"/>
          <w:szCs w:val="32"/>
          <w:shd w:val="clear" w:fill="FFFFFF"/>
        </w:rPr>
        <w:t>万元，评价得分</w:t>
      </w:r>
      <w:r>
        <w:rPr>
          <w:rFonts w:hint="default" w:ascii="Times New Roman" w:hAnsi="Times New Roman" w:eastAsia="方正仿宋_GBK" w:cs="Times New Roman"/>
          <w:kern w:val="0"/>
          <w:sz w:val="32"/>
          <w:szCs w:val="32"/>
          <w:shd w:val="clear" w:fill="FFFFFF"/>
          <w:lang w:val="en-US" w:eastAsia="zh-CN"/>
        </w:rPr>
        <w:t>100</w:t>
      </w:r>
      <w:r>
        <w:rPr>
          <w:rFonts w:hint="default" w:ascii="Times New Roman" w:hAnsi="Times New Roman" w:eastAsia="方正仿宋_GBK" w:cs="Times New Roman"/>
          <w:kern w:val="0"/>
          <w:sz w:val="32"/>
          <w:szCs w:val="32"/>
          <w:shd w:val="clear" w:fill="FFFFFF"/>
        </w:rPr>
        <w:t>分，评价等次为</w:t>
      </w:r>
      <w:r>
        <w:rPr>
          <w:rFonts w:hint="default" w:ascii="Times New Roman" w:hAnsi="Times New Roman" w:eastAsia="方正仿宋_GBK" w:cs="Times New Roman"/>
          <w:kern w:val="0"/>
          <w:sz w:val="32"/>
          <w:szCs w:val="32"/>
          <w:shd w:val="clear" w:fill="FFFFFF"/>
          <w:lang w:eastAsia="zh-CN"/>
        </w:rPr>
        <w:t>优；</w:t>
      </w:r>
      <w:r>
        <w:rPr>
          <w:rFonts w:hint="default" w:ascii="Times New Roman" w:hAnsi="Times New Roman" w:eastAsia="方正仿宋_GBK" w:cs="Times New Roman"/>
          <w:kern w:val="0"/>
          <w:sz w:val="32"/>
          <w:szCs w:val="32"/>
          <w:shd w:val="clear" w:fill="FFFFFF"/>
        </w:rPr>
        <w:t>对</w:t>
      </w:r>
      <w:r>
        <w:rPr>
          <w:rFonts w:hint="default" w:ascii="Times New Roman" w:hAnsi="Times New Roman" w:eastAsia="方正仿宋_GBK" w:cs="Times New Roman"/>
          <w:kern w:val="0"/>
          <w:sz w:val="32"/>
          <w:szCs w:val="32"/>
          <w:shd w:val="clear" w:fill="FFFFFF"/>
          <w:lang w:eastAsia="zh-CN"/>
        </w:rPr>
        <w:t>“2024年农村“三社”融合发展资金（农民专业合作社服务中心）”</w:t>
      </w:r>
      <w:r>
        <w:rPr>
          <w:rFonts w:hint="default" w:ascii="Times New Roman" w:hAnsi="Times New Roman" w:eastAsia="方正仿宋_GBK" w:cs="Times New Roman"/>
          <w:kern w:val="0"/>
          <w:sz w:val="32"/>
          <w:szCs w:val="32"/>
          <w:shd w:val="clear" w:fill="FFFFFF"/>
        </w:rPr>
        <w:t>开展了绩效评价，涉及财政拨款项目资金</w:t>
      </w:r>
      <w:r>
        <w:rPr>
          <w:rFonts w:hint="default" w:ascii="Times New Roman" w:hAnsi="Times New Roman" w:eastAsia="方正仿宋_GBK" w:cs="Times New Roman"/>
          <w:kern w:val="0"/>
          <w:sz w:val="32"/>
          <w:szCs w:val="32"/>
          <w:shd w:val="clear" w:fill="FFFFFF"/>
          <w:lang w:val="en-US" w:eastAsia="zh-CN"/>
        </w:rPr>
        <w:t>15</w:t>
      </w:r>
      <w:r>
        <w:rPr>
          <w:rFonts w:hint="default" w:ascii="Times New Roman" w:hAnsi="Times New Roman" w:eastAsia="方正仿宋_GBK" w:cs="Times New Roman"/>
          <w:kern w:val="0"/>
          <w:sz w:val="32"/>
          <w:szCs w:val="32"/>
          <w:shd w:val="clear" w:fill="FFFFFF"/>
        </w:rPr>
        <w:t>万元，评价得分</w:t>
      </w:r>
      <w:r>
        <w:rPr>
          <w:rFonts w:hint="default" w:ascii="Times New Roman" w:hAnsi="Times New Roman" w:eastAsia="方正仿宋_GBK" w:cs="Times New Roman"/>
          <w:kern w:val="0"/>
          <w:sz w:val="32"/>
          <w:szCs w:val="32"/>
          <w:shd w:val="clear" w:fill="FFFFFF"/>
          <w:lang w:val="en-US" w:eastAsia="zh-CN"/>
        </w:rPr>
        <w:t>100</w:t>
      </w:r>
      <w:r>
        <w:rPr>
          <w:rFonts w:hint="default" w:ascii="Times New Roman" w:hAnsi="Times New Roman" w:eastAsia="方正仿宋_GBK" w:cs="Times New Roman"/>
          <w:kern w:val="0"/>
          <w:sz w:val="32"/>
          <w:szCs w:val="32"/>
          <w:shd w:val="clear" w:fill="FFFFFF"/>
        </w:rPr>
        <w:t>分，评价等次为</w:t>
      </w:r>
      <w:r>
        <w:rPr>
          <w:rFonts w:hint="default" w:ascii="Times New Roman" w:hAnsi="Times New Roman" w:eastAsia="方正仿宋_GBK" w:cs="Times New Roman"/>
          <w:kern w:val="0"/>
          <w:sz w:val="32"/>
          <w:szCs w:val="32"/>
          <w:shd w:val="clear" w:fill="FFFFFF"/>
          <w:lang w:eastAsia="zh-CN"/>
        </w:rPr>
        <w:t>优；</w:t>
      </w:r>
      <w:r>
        <w:rPr>
          <w:rFonts w:hint="default" w:ascii="Times New Roman" w:hAnsi="Times New Roman" w:eastAsia="方正仿宋_GBK" w:cs="Times New Roman"/>
          <w:kern w:val="0"/>
          <w:sz w:val="32"/>
          <w:szCs w:val="32"/>
          <w:shd w:val="clear" w:fill="FFFFFF"/>
        </w:rPr>
        <w:t>对</w:t>
      </w:r>
      <w:r>
        <w:rPr>
          <w:rFonts w:hint="default" w:ascii="Times New Roman" w:hAnsi="Times New Roman" w:eastAsia="方正仿宋_GBK" w:cs="Times New Roman"/>
          <w:kern w:val="0"/>
          <w:sz w:val="32"/>
          <w:szCs w:val="32"/>
          <w:shd w:val="clear" w:fill="FFFFFF"/>
          <w:lang w:eastAsia="zh-CN"/>
        </w:rPr>
        <w:t>“2024年“三社”融合发展资金（农村综合服务社）”</w:t>
      </w:r>
      <w:r>
        <w:rPr>
          <w:rFonts w:hint="default" w:ascii="Times New Roman" w:hAnsi="Times New Roman" w:eastAsia="方正仿宋_GBK" w:cs="Times New Roman"/>
          <w:kern w:val="0"/>
          <w:sz w:val="32"/>
          <w:szCs w:val="32"/>
          <w:shd w:val="clear" w:fill="FFFFFF"/>
        </w:rPr>
        <w:t>开展了绩效评价，涉及财政拨款项目资金</w:t>
      </w:r>
      <w:r>
        <w:rPr>
          <w:rFonts w:hint="default" w:ascii="Times New Roman" w:hAnsi="Times New Roman" w:eastAsia="方正仿宋_GBK" w:cs="Times New Roman"/>
          <w:kern w:val="0"/>
          <w:sz w:val="32"/>
          <w:szCs w:val="32"/>
          <w:shd w:val="clear" w:fill="FFFFFF"/>
          <w:lang w:val="en-US" w:eastAsia="zh-CN"/>
        </w:rPr>
        <w:t>14</w:t>
      </w:r>
      <w:r>
        <w:rPr>
          <w:rFonts w:hint="default" w:ascii="Times New Roman" w:hAnsi="Times New Roman" w:eastAsia="方正仿宋_GBK" w:cs="Times New Roman"/>
          <w:kern w:val="0"/>
          <w:sz w:val="32"/>
          <w:szCs w:val="32"/>
          <w:shd w:val="clear" w:fill="FFFFFF"/>
        </w:rPr>
        <w:t>万元，评价得分</w:t>
      </w:r>
      <w:r>
        <w:rPr>
          <w:rFonts w:hint="default" w:ascii="Times New Roman" w:hAnsi="Times New Roman" w:eastAsia="方正仿宋_GBK" w:cs="Times New Roman"/>
          <w:kern w:val="0"/>
          <w:sz w:val="32"/>
          <w:szCs w:val="32"/>
          <w:shd w:val="clear" w:fill="FFFFFF"/>
          <w:lang w:val="en-US" w:eastAsia="zh-CN"/>
        </w:rPr>
        <w:t>98.23</w:t>
      </w:r>
      <w:r>
        <w:rPr>
          <w:rFonts w:hint="default" w:ascii="Times New Roman" w:hAnsi="Times New Roman" w:eastAsia="方正仿宋_GBK" w:cs="Times New Roman"/>
          <w:kern w:val="0"/>
          <w:sz w:val="32"/>
          <w:szCs w:val="32"/>
          <w:shd w:val="clear" w:fill="FFFFFF"/>
        </w:rPr>
        <w:t>分，评价等次为</w:t>
      </w:r>
      <w:r>
        <w:rPr>
          <w:rFonts w:hint="default" w:ascii="Times New Roman" w:hAnsi="Times New Roman" w:eastAsia="方正仿宋_GBK" w:cs="Times New Roman"/>
          <w:kern w:val="0"/>
          <w:sz w:val="32"/>
          <w:szCs w:val="32"/>
          <w:shd w:val="clear" w:fill="FFFFFF"/>
          <w:lang w:eastAsia="zh-CN"/>
        </w:rPr>
        <w:t>优；</w:t>
      </w:r>
      <w:r>
        <w:rPr>
          <w:rFonts w:hint="default" w:ascii="Times New Roman" w:hAnsi="Times New Roman" w:eastAsia="方正仿宋_GBK" w:cs="Times New Roman"/>
          <w:kern w:val="0"/>
          <w:sz w:val="32"/>
          <w:szCs w:val="32"/>
          <w:shd w:val="clear" w:fill="FFFFFF"/>
        </w:rPr>
        <w:t>对</w:t>
      </w:r>
      <w:r>
        <w:rPr>
          <w:rFonts w:hint="default" w:ascii="Times New Roman" w:hAnsi="Times New Roman" w:eastAsia="方正仿宋_GBK" w:cs="Times New Roman"/>
          <w:kern w:val="0"/>
          <w:sz w:val="32"/>
          <w:szCs w:val="32"/>
          <w:shd w:val="clear" w:fill="FFFFFF"/>
          <w:lang w:eastAsia="zh-CN"/>
        </w:rPr>
        <w:t>““三社”融合发展专项资金”</w:t>
      </w:r>
      <w:r>
        <w:rPr>
          <w:rFonts w:hint="default" w:ascii="Times New Roman" w:hAnsi="Times New Roman" w:eastAsia="方正仿宋_GBK" w:cs="Times New Roman"/>
          <w:kern w:val="0"/>
          <w:sz w:val="32"/>
          <w:szCs w:val="32"/>
          <w:shd w:val="clear" w:fill="FFFFFF"/>
        </w:rPr>
        <w:t>开展了绩效评价，涉及财政拨款项目资金</w:t>
      </w:r>
      <w:r>
        <w:rPr>
          <w:rFonts w:hint="default" w:ascii="Times New Roman" w:hAnsi="Times New Roman" w:eastAsia="方正仿宋_GBK" w:cs="Times New Roman"/>
          <w:kern w:val="0"/>
          <w:sz w:val="32"/>
          <w:szCs w:val="32"/>
          <w:shd w:val="clear" w:fill="FFFFFF"/>
          <w:lang w:val="en-US" w:eastAsia="zh-CN"/>
        </w:rPr>
        <w:t>17.83</w:t>
      </w:r>
      <w:r>
        <w:rPr>
          <w:rFonts w:hint="default" w:ascii="Times New Roman" w:hAnsi="Times New Roman" w:eastAsia="方正仿宋_GBK" w:cs="Times New Roman"/>
          <w:kern w:val="0"/>
          <w:sz w:val="32"/>
          <w:szCs w:val="32"/>
          <w:shd w:val="clear" w:fill="FFFFFF"/>
        </w:rPr>
        <w:t>万元，评价得分</w:t>
      </w:r>
      <w:r>
        <w:rPr>
          <w:rFonts w:hint="default" w:ascii="Times New Roman" w:hAnsi="Times New Roman" w:eastAsia="方正仿宋_GBK" w:cs="Times New Roman"/>
          <w:kern w:val="0"/>
          <w:sz w:val="32"/>
          <w:szCs w:val="32"/>
          <w:shd w:val="clear" w:fill="FFFFFF"/>
          <w:lang w:val="en-US" w:eastAsia="zh-CN"/>
        </w:rPr>
        <w:t>99.9</w:t>
      </w:r>
      <w:r>
        <w:rPr>
          <w:rFonts w:hint="default" w:ascii="Times New Roman" w:hAnsi="Times New Roman" w:eastAsia="方正仿宋_GBK" w:cs="Times New Roman"/>
          <w:kern w:val="0"/>
          <w:sz w:val="32"/>
          <w:szCs w:val="32"/>
          <w:shd w:val="clear" w:fill="FFFFFF"/>
        </w:rPr>
        <w:t>分，评价等次为</w:t>
      </w:r>
      <w:r>
        <w:rPr>
          <w:rFonts w:hint="default" w:ascii="Times New Roman" w:hAnsi="Times New Roman" w:eastAsia="方正仿宋_GBK" w:cs="Times New Roman"/>
          <w:kern w:val="0"/>
          <w:sz w:val="32"/>
          <w:szCs w:val="32"/>
          <w:shd w:val="clear" w:fill="FFFFFF"/>
          <w:lang w:eastAsia="zh-CN"/>
        </w:rPr>
        <w:t>优；</w:t>
      </w:r>
      <w:r>
        <w:rPr>
          <w:rFonts w:hint="default" w:ascii="Times New Roman" w:hAnsi="Times New Roman" w:eastAsia="方正仿宋_GBK" w:cs="Times New Roman"/>
          <w:kern w:val="0"/>
          <w:sz w:val="32"/>
          <w:szCs w:val="32"/>
          <w:shd w:val="clear" w:fill="FFFFFF"/>
        </w:rPr>
        <w:t>对</w:t>
      </w:r>
      <w:r>
        <w:rPr>
          <w:rFonts w:hint="default" w:ascii="Times New Roman" w:hAnsi="Times New Roman" w:eastAsia="方正仿宋_GBK" w:cs="Times New Roman"/>
          <w:kern w:val="0"/>
          <w:sz w:val="32"/>
          <w:szCs w:val="32"/>
          <w:shd w:val="clear" w:fill="FFFFFF"/>
          <w:lang w:eastAsia="zh-CN"/>
        </w:rPr>
        <w:t>“黑臭水体清零县创建废弃农膜回收工作经费”</w:t>
      </w:r>
      <w:r>
        <w:rPr>
          <w:rFonts w:hint="default" w:ascii="Times New Roman" w:hAnsi="Times New Roman" w:eastAsia="方正仿宋_GBK" w:cs="Times New Roman"/>
          <w:kern w:val="0"/>
          <w:sz w:val="32"/>
          <w:szCs w:val="32"/>
          <w:shd w:val="clear" w:fill="FFFFFF"/>
        </w:rPr>
        <w:t>开展了绩效评价，涉及财政拨款项目资金</w:t>
      </w:r>
      <w:r>
        <w:rPr>
          <w:rFonts w:hint="default" w:ascii="Times New Roman" w:hAnsi="Times New Roman" w:eastAsia="方正仿宋_GBK" w:cs="Times New Roman"/>
          <w:kern w:val="0"/>
          <w:sz w:val="32"/>
          <w:szCs w:val="32"/>
          <w:shd w:val="clear" w:fill="FFFFFF"/>
          <w:lang w:val="en-US" w:eastAsia="zh-CN"/>
        </w:rPr>
        <w:t>10</w:t>
      </w:r>
      <w:r>
        <w:rPr>
          <w:rFonts w:hint="default" w:ascii="Times New Roman" w:hAnsi="Times New Roman" w:eastAsia="方正仿宋_GBK" w:cs="Times New Roman"/>
          <w:kern w:val="0"/>
          <w:sz w:val="32"/>
          <w:szCs w:val="32"/>
          <w:shd w:val="clear" w:fill="FFFFFF"/>
        </w:rPr>
        <w:t>万元，评价得分</w:t>
      </w:r>
      <w:r>
        <w:rPr>
          <w:rFonts w:hint="default" w:ascii="Times New Roman" w:hAnsi="Times New Roman" w:eastAsia="方正仿宋_GBK" w:cs="Times New Roman"/>
          <w:kern w:val="0"/>
          <w:sz w:val="32"/>
          <w:szCs w:val="32"/>
          <w:shd w:val="clear" w:fill="FFFFFF"/>
          <w:lang w:val="en-US" w:eastAsia="zh-CN"/>
        </w:rPr>
        <w:t>100</w:t>
      </w:r>
      <w:r>
        <w:rPr>
          <w:rFonts w:hint="default" w:ascii="Times New Roman" w:hAnsi="Times New Roman" w:eastAsia="方正仿宋_GBK" w:cs="Times New Roman"/>
          <w:kern w:val="0"/>
          <w:sz w:val="32"/>
          <w:szCs w:val="32"/>
          <w:shd w:val="clear" w:fill="FFFFFF"/>
        </w:rPr>
        <w:t>分，评价等次为</w:t>
      </w:r>
      <w:r>
        <w:rPr>
          <w:rFonts w:hint="default" w:ascii="Times New Roman" w:hAnsi="Times New Roman" w:eastAsia="方正仿宋_GBK" w:cs="Times New Roman"/>
          <w:kern w:val="0"/>
          <w:sz w:val="32"/>
          <w:szCs w:val="32"/>
          <w:shd w:val="clear" w:fill="FFFFFF"/>
          <w:lang w:eastAsia="zh-CN"/>
        </w:rPr>
        <w:t>优；</w:t>
      </w:r>
      <w:r>
        <w:rPr>
          <w:rFonts w:hint="default" w:ascii="Times New Roman" w:hAnsi="Times New Roman" w:eastAsia="方正仿宋_GBK" w:cs="Times New Roman"/>
          <w:kern w:val="0"/>
          <w:sz w:val="32"/>
          <w:szCs w:val="32"/>
          <w:shd w:val="clear" w:fill="FFFFFF"/>
        </w:rPr>
        <w:t>对</w:t>
      </w:r>
      <w:r>
        <w:rPr>
          <w:rFonts w:hint="default" w:ascii="Times New Roman" w:hAnsi="Times New Roman" w:eastAsia="方正仿宋_GBK" w:cs="Times New Roman"/>
          <w:kern w:val="0"/>
          <w:sz w:val="32"/>
          <w:szCs w:val="32"/>
          <w:shd w:val="clear" w:fill="FFFFFF"/>
          <w:lang w:eastAsia="zh-CN"/>
        </w:rPr>
        <w:t>“供销合作社农业社会化服务试点”</w:t>
      </w:r>
      <w:r>
        <w:rPr>
          <w:rFonts w:hint="default" w:ascii="Times New Roman" w:hAnsi="Times New Roman" w:eastAsia="方正仿宋_GBK" w:cs="Times New Roman"/>
          <w:kern w:val="0"/>
          <w:sz w:val="32"/>
          <w:szCs w:val="32"/>
          <w:shd w:val="clear" w:fill="FFFFFF"/>
        </w:rPr>
        <w:t>开展了绩效评价，涉及财政拨款项目资金</w:t>
      </w:r>
      <w:r>
        <w:rPr>
          <w:rFonts w:hint="default" w:ascii="Times New Roman" w:hAnsi="Times New Roman" w:eastAsia="方正仿宋_GBK" w:cs="Times New Roman"/>
          <w:kern w:val="0"/>
          <w:sz w:val="32"/>
          <w:szCs w:val="32"/>
          <w:shd w:val="clear" w:fill="FFFFFF"/>
          <w:lang w:val="en-US" w:eastAsia="zh-CN"/>
        </w:rPr>
        <w:t>68</w:t>
      </w:r>
      <w:r>
        <w:rPr>
          <w:rFonts w:hint="default" w:ascii="Times New Roman" w:hAnsi="Times New Roman" w:eastAsia="方正仿宋_GBK" w:cs="Times New Roman"/>
          <w:kern w:val="0"/>
          <w:sz w:val="32"/>
          <w:szCs w:val="32"/>
          <w:shd w:val="clear" w:fill="FFFFFF"/>
        </w:rPr>
        <w:t>万元，评价得分</w:t>
      </w:r>
      <w:r>
        <w:rPr>
          <w:rFonts w:hint="default" w:ascii="Times New Roman" w:hAnsi="Times New Roman" w:eastAsia="方正仿宋_GBK" w:cs="Times New Roman"/>
          <w:kern w:val="0"/>
          <w:sz w:val="32"/>
          <w:szCs w:val="32"/>
          <w:shd w:val="clear" w:fill="FFFFFF"/>
          <w:lang w:val="en-US" w:eastAsia="zh-CN"/>
        </w:rPr>
        <w:t>100</w:t>
      </w:r>
      <w:r>
        <w:rPr>
          <w:rFonts w:hint="default" w:ascii="Times New Roman" w:hAnsi="Times New Roman" w:eastAsia="方正仿宋_GBK" w:cs="Times New Roman"/>
          <w:kern w:val="0"/>
          <w:sz w:val="32"/>
          <w:szCs w:val="32"/>
          <w:shd w:val="clear" w:fill="FFFFFF"/>
        </w:rPr>
        <w:t>分，评价等次为</w:t>
      </w:r>
      <w:r>
        <w:rPr>
          <w:rFonts w:hint="default" w:ascii="Times New Roman" w:hAnsi="Times New Roman" w:eastAsia="方正仿宋_GBK" w:cs="Times New Roman"/>
          <w:kern w:val="0"/>
          <w:sz w:val="32"/>
          <w:szCs w:val="32"/>
          <w:shd w:val="clear" w:fill="FFFFFF"/>
          <w:lang w:eastAsia="zh-CN"/>
        </w:rPr>
        <w:t>优；</w:t>
      </w:r>
      <w:r>
        <w:rPr>
          <w:rFonts w:hint="default" w:ascii="Times New Roman" w:hAnsi="Times New Roman" w:eastAsia="方正仿宋_GBK" w:cs="Times New Roman"/>
          <w:kern w:val="0"/>
          <w:sz w:val="32"/>
          <w:szCs w:val="32"/>
          <w:shd w:val="clear" w:fill="FFFFFF"/>
        </w:rPr>
        <w:t>对</w:t>
      </w:r>
      <w:r>
        <w:rPr>
          <w:rFonts w:hint="default" w:ascii="Times New Roman" w:hAnsi="Times New Roman" w:eastAsia="方正仿宋_GBK" w:cs="Times New Roman"/>
          <w:kern w:val="0"/>
          <w:sz w:val="32"/>
          <w:szCs w:val="32"/>
          <w:shd w:val="clear" w:fill="FFFFFF"/>
          <w:lang w:eastAsia="zh-CN"/>
        </w:rPr>
        <w:t>“2024年供销行业综合服务资金（2024年废弃农膜回收补助资金）”</w:t>
      </w:r>
      <w:r>
        <w:rPr>
          <w:rFonts w:hint="default" w:ascii="Times New Roman" w:hAnsi="Times New Roman" w:eastAsia="方正仿宋_GBK" w:cs="Times New Roman"/>
          <w:kern w:val="0"/>
          <w:sz w:val="32"/>
          <w:szCs w:val="32"/>
          <w:shd w:val="clear" w:fill="FFFFFF"/>
        </w:rPr>
        <w:t>开展了绩效评价，涉及财政拨款项目资金</w:t>
      </w:r>
      <w:r>
        <w:rPr>
          <w:rFonts w:hint="default" w:ascii="Times New Roman" w:hAnsi="Times New Roman" w:eastAsia="方正仿宋_GBK" w:cs="Times New Roman"/>
          <w:kern w:val="0"/>
          <w:sz w:val="32"/>
          <w:szCs w:val="32"/>
          <w:shd w:val="clear" w:fill="FFFFFF"/>
          <w:lang w:val="en-US" w:eastAsia="zh-CN"/>
        </w:rPr>
        <w:t>29.74</w:t>
      </w:r>
      <w:r>
        <w:rPr>
          <w:rFonts w:hint="default" w:ascii="Times New Roman" w:hAnsi="Times New Roman" w:eastAsia="方正仿宋_GBK" w:cs="Times New Roman"/>
          <w:kern w:val="0"/>
          <w:sz w:val="32"/>
          <w:szCs w:val="32"/>
          <w:shd w:val="clear" w:fill="FFFFFF"/>
        </w:rPr>
        <w:t>万元，评价得分</w:t>
      </w:r>
      <w:r>
        <w:rPr>
          <w:rFonts w:hint="default" w:ascii="Times New Roman" w:hAnsi="Times New Roman" w:eastAsia="方正仿宋_GBK" w:cs="Times New Roman"/>
          <w:kern w:val="0"/>
          <w:sz w:val="32"/>
          <w:szCs w:val="32"/>
          <w:shd w:val="clear" w:fill="FFFFFF"/>
          <w:lang w:val="en-US" w:eastAsia="zh-CN"/>
        </w:rPr>
        <w:t>100</w:t>
      </w:r>
      <w:r>
        <w:rPr>
          <w:rFonts w:hint="default" w:ascii="Times New Roman" w:hAnsi="Times New Roman" w:eastAsia="方正仿宋_GBK" w:cs="Times New Roman"/>
          <w:kern w:val="0"/>
          <w:sz w:val="32"/>
          <w:szCs w:val="32"/>
          <w:shd w:val="clear" w:fill="FFFFFF"/>
        </w:rPr>
        <w:t>分，评价等次为</w:t>
      </w:r>
      <w:r>
        <w:rPr>
          <w:rFonts w:hint="default" w:ascii="Times New Roman" w:hAnsi="Times New Roman" w:eastAsia="方正仿宋_GBK" w:cs="Times New Roman"/>
          <w:kern w:val="0"/>
          <w:sz w:val="32"/>
          <w:szCs w:val="32"/>
          <w:shd w:val="clear" w:fill="FFFFFF"/>
          <w:lang w:eastAsia="zh-CN"/>
        </w:rPr>
        <w:t>优；</w:t>
      </w:r>
      <w:r>
        <w:rPr>
          <w:rFonts w:hint="default" w:ascii="Times New Roman" w:hAnsi="Times New Roman" w:eastAsia="方正仿宋_GBK" w:cs="Times New Roman"/>
          <w:kern w:val="0"/>
          <w:sz w:val="32"/>
          <w:szCs w:val="32"/>
          <w:shd w:val="clear" w:fill="FFFFFF"/>
        </w:rPr>
        <w:t>对</w:t>
      </w:r>
      <w:r>
        <w:rPr>
          <w:rFonts w:hint="default" w:ascii="Times New Roman" w:hAnsi="Times New Roman" w:eastAsia="方正仿宋_GBK" w:cs="Times New Roman"/>
          <w:kern w:val="0"/>
          <w:sz w:val="32"/>
          <w:szCs w:val="32"/>
          <w:shd w:val="clear" w:fill="FFFFFF"/>
          <w:lang w:eastAsia="zh-CN"/>
        </w:rPr>
        <w:t>“城口县2023年农产品流通服务体系设施建设项目”</w:t>
      </w:r>
      <w:r>
        <w:rPr>
          <w:rFonts w:hint="default" w:ascii="Times New Roman" w:hAnsi="Times New Roman" w:eastAsia="方正仿宋_GBK" w:cs="Times New Roman"/>
          <w:kern w:val="0"/>
          <w:sz w:val="32"/>
          <w:szCs w:val="32"/>
          <w:shd w:val="clear" w:fill="FFFFFF"/>
        </w:rPr>
        <w:t>开展了绩效评价，涉及财政拨款项目资金</w:t>
      </w:r>
      <w:r>
        <w:rPr>
          <w:rFonts w:hint="default" w:ascii="Times New Roman" w:hAnsi="Times New Roman" w:eastAsia="方正仿宋_GBK" w:cs="Times New Roman"/>
          <w:kern w:val="0"/>
          <w:sz w:val="32"/>
          <w:szCs w:val="32"/>
          <w:shd w:val="clear" w:fill="FFFFFF"/>
          <w:lang w:val="en-US" w:eastAsia="zh-CN"/>
        </w:rPr>
        <w:t>22</w:t>
      </w:r>
      <w:r>
        <w:rPr>
          <w:rFonts w:hint="default" w:ascii="Times New Roman" w:hAnsi="Times New Roman" w:eastAsia="方正仿宋_GBK" w:cs="Times New Roman"/>
          <w:kern w:val="0"/>
          <w:sz w:val="32"/>
          <w:szCs w:val="32"/>
          <w:shd w:val="clear" w:fill="FFFFFF"/>
        </w:rPr>
        <w:t>万元，评价得分</w:t>
      </w:r>
      <w:r>
        <w:rPr>
          <w:rFonts w:hint="default" w:ascii="Times New Roman" w:hAnsi="Times New Roman" w:eastAsia="方正仿宋_GBK" w:cs="Times New Roman"/>
          <w:kern w:val="0"/>
          <w:sz w:val="32"/>
          <w:szCs w:val="32"/>
          <w:shd w:val="clear" w:fill="FFFFFF"/>
          <w:lang w:val="en-US" w:eastAsia="zh-CN"/>
        </w:rPr>
        <w:t>100</w:t>
      </w:r>
      <w:r>
        <w:rPr>
          <w:rFonts w:hint="default" w:ascii="Times New Roman" w:hAnsi="Times New Roman" w:eastAsia="方正仿宋_GBK" w:cs="Times New Roman"/>
          <w:kern w:val="0"/>
          <w:sz w:val="32"/>
          <w:szCs w:val="32"/>
          <w:shd w:val="clear" w:fill="FFFFFF"/>
        </w:rPr>
        <w:t>分，评价等次为</w:t>
      </w:r>
      <w:r>
        <w:rPr>
          <w:rFonts w:hint="default" w:ascii="Times New Roman" w:hAnsi="Times New Roman" w:eastAsia="方正仿宋_GBK" w:cs="Times New Roman"/>
          <w:kern w:val="0"/>
          <w:sz w:val="32"/>
          <w:szCs w:val="32"/>
          <w:shd w:val="clear" w:fill="FFFFFF"/>
          <w:lang w:eastAsia="zh-CN"/>
        </w:rPr>
        <w:t>优；</w:t>
      </w:r>
      <w:r>
        <w:rPr>
          <w:rFonts w:hint="default" w:ascii="Times New Roman" w:hAnsi="Times New Roman" w:eastAsia="方正仿宋_GBK" w:cs="Times New Roman"/>
          <w:kern w:val="0"/>
          <w:sz w:val="32"/>
          <w:szCs w:val="32"/>
          <w:shd w:val="clear" w:fill="FFFFFF"/>
        </w:rPr>
        <w:t>对</w:t>
      </w:r>
      <w:r>
        <w:rPr>
          <w:rFonts w:hint="default" w:ascii="Times New Roman" w:hAnsi="Times New Roman" w:eastAsia="方正仿宋_GBK" w:cs="Times New Roman"/>
          <w:kern w:val="0"/>
          <w:sz w:val="32"/>
          <w:szCs w:val="32"/>
          <w:shd w:val="clear" w:fill="FFFFFF"/>
          <w:lang w:eastAsia="zh-CN"/>
        </w:rPr>
        <w:t>“城口县2024年地源性生物饲料产品研发项目”</w:t>
      </w:r>
      <w:r>
        <w:rPr>
          <w:rFonts w:hint="default" w:ascii="Times New Roman" w:hAnsi="Times New Roman" w:eastAsia="方正仿宋_GBK" w:cs="Times New Roman"/>
          <w:kern w:val="0"/>
          <w:sz w:val="32"/>
          <w:szCs w:val="32"/>
          <w:shd w:val="clear" w:fill="FFFFFF"/>
        </w:rPr>
        <w:t>开展了绩效评价，涉及财政拨款项目资金</w:t>
      </w:r>
      <w:r>
        <w:rPr>
          <w:rFonts w:hint="default" w:ascii="Times New Roman" w:hAnsi="Times New Roman" w:eastAsia="方正仿宋_GBK" w:cs="Times New Roman"/>
          <w:kern w:val="0"/>
          <w:sz w:val="32"/>
          <w:szCs w:val="32"/>
          <w:shd w:val="clear" w:fill="FFFFFF"/>
          <w:lang w:val="en-US" w:eastAsia="zh-CN"/>
        </w:rPr>
        <w:t>75</w:t>
      </w:r>
      <w:r>
        <w:rPr>
          <w:rFonts w:hint="default" w:ascii="Times New Roman" w:hAnsi="Times New Roman" w:eastAsia="方正仿宋_GBK" w:cs="Times New Roman"/>
          <w:kern w:val="0"/>
          <w:sz w:val="32"/>
          <w:szCs w:val="32"/>
          <w:shd w:val="clear" w:fill="FFFFFF"/>
        </w:rPr>
        <w:t>万元，评价得分</w:t>
      </w:r>
      <w:r>
        <w:rPr>
          <w:rFonts w:hint="default" w:ascii="Times New Roman" w:hAnsi="Times New Roman" w:eastAsia="方正仿宋_GBK" w:cs="Times New Roman"/>
          <w:kern w:val="0"/>
          <w:sz w:val="32"/>
          <w:szCs w:val="32"/>
          <w:shd w:val="clear" w:fill="FFFFFF"/>
          <w:lang w:val="en-US" w:eastAsia="zh-CN"/>
        </w:rPr>
        <w:t>100</w:t>
      </w:r>
      <w:r>
        <w:rPr>
          <w:rFonts w:hint="default" w:ascii="Times New Roman" w:hAnsi="Times New Roman" w:eastAsia="方正仿宋_GBK" w:cs="Times New Roman"/>
          <w:kern w:val="0"/>
          <w:sz w:val="32"/>
          <w:szCs w:val="32"/>
          <w:shd w:val="clear" w:fill="FFFFFF"/>
        </w:rPr>
        <w:t>分，评价等次为</w:t>
      </w:r>
      <w:r>
        <w:rPr>
          <w:rFonts w:hint="default" w:ascii="Times New Roman" w:hAnsi="Times New Roman" w:eastAsia="方正仿宋_GBK" w:cs="Times New Roman"/>
          <w:kern w:val="0"/>
          <w:sz w:val="32"/>
          <w:szCs w:val="32"/>
          <w:shd w:val="clear" w:fill="FFFFFF"/>
          <w:lang w:eastAsia="zh-CN"/>
        </w:rPr>
        <w:t>优；</w:t>
      </w:r>
      <w:r>
        <w:rPr>
          <w:rFonts w:hint="default" w:ascii="Times New Roman" w:hAnsi="Times New Roman" w:eastAsia="方正仿宋_GBK" w:cs="Times New Roman"/>
          <w:kern w:val="0"/>
          <w:sz w:val="32"/>
          <w:szCs w:val="32"/>
          <w:shd w:val="clear" w:fill="FFFFFF"/>
        </w:rPr>
        <w:t>对</w:t>
      </w:r>
      <w:r>
        <w:rPr>
          <w:rFonts w:hint="default" w:ascii="Times New Roman" w:hAnsi="Times New Roman" w:eastAsia="方正仿宋_GBK" w:cs="Times New Roman"/>
          <w:kern w:val="0"/>
          <w:sz w:val="32"/>
          <w:szCs w:val="32"/>
          <w:shd w:val="clear" w:fill="FFFFFF"/>
          <w:lang w:eastAsia="zh-CN"/>
        </w:rPr>
        <w:t>“2024年供销行业综合服务资金（2024年新网工程资金）”</w:t>
      </w:r>
      <w:r>
        <w:rPr>
          <w:rFonts w:hint="default" w:ascii="Times New Roman" w:hAnsi="Times New Roman" w:eastAsia="方正仿宋_GBK" w:cs="Times New Roman"/>
          <w:kern w:val="0"/>
          <w:sz w:val="32"/>
          <w:szCs w:val="32"/>
          <w:shd w:val="clear" w:fill="FFFFFF"/>
        </w:rPr>
        <w:t>开展了绩效评价，涉及财政拨款项目资金</w:t>
      </w:r>
      <w:r>
        <w:rPr>
          <w:rFonts w:hint="default" w:ascii="Times New Roman" w:hAnsi="Times New Roman" w:eastAsia="方正仿宋_GBK" w:cs="Times New Roman"/>
          <w:kern w:val="0"/>
          <w:sz w:val="32"/>
          <w:szCs w:val="32"/>
          <w:shd w:val="clear" w:fill="FFFFFF"/>
          <w:lang w:val="en-US" w:eastAsia="zh-CN"/>
        </w:rPr>
        <w:t>47.08</w:t>
      </w:r>
      <w:r>
        <w:rPr>
          <w:rFonts w:hint="default" w:ascii="Times New Roman" w:hAnsi="Times New Roman" w:eastAsia="方正仿宋_GBK" w:cs="Times New Roman"/>
          <w:kern w:val="0"/>
          <w:sz w:val="32"/>
          <w:szCs w:val="32"/>
          <w:shd w:val="clear" w:fill="FFFFFF"/>
        </w:rPr>
        <w:t>万元，评价得分</w:t>
      </w:r>
      <w:r>
        <w:rPr>
          <w:rFonts w:hint="default" w:ascii="Times New Roman" w:hAnsi="Times New Roman" w:eastAsia="方正仿宋_GBK" w:cs="Times New Roman"/>
          <w:kern w:val="0"/>
          <w:sz w:val="32"/>
          <w:szCs w:val="32"/>
          <w:shd w:val="clear" w:fill="FFFFFF"/>
          <w:lang w:val="en-US" w:eastAsia="zh-CN"/>
        </w:rPr>
        <w:t>100</w:t>
      </w:r>
      <w:r>
        <w:rPr>
          <w:rFonts w:hint="default" w:ascii="Times New Roman" w:hAnsi="Times New Roman" w:eastAsia="方正仿宋_GBK" w:cs="Times New Roman"/>
          <w:kern w:val="0"/>
          <w:sz w:val="32"/>
          <w:szCs w:val="32"/>
          <w:shd w:val="clear" w:fill="FFFFFF"/>
        </w:rPr>
        <w:t>分，评价等次为</w:t>
      </w:r>
      <w:r>
        <w:rPr>
          <w:rFonts w:hint="default" w:ascii="Times New Roman" w:hAnsi="Times New Roman" w:eastAsia="方正仿宋_GBK" w:cs="Times New Roman"/>
          <w:kern w:val="0"/>
          <w:sz w:val="32"/>
          <w:szCs w:val="32"/>
          <w:shd w:val="clear" w:fill="FFFFFF"/>
          <w:lang w:eastAsia="zh-CN"/>
        </w:rPr>
        <w:t>优。</w:t>
      </w:r>
    </w:p>
    <w:p>
      <w:pPr>
        <w:pStyle w:val="19"/>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0" w:firstLineChars="200"/>
        <w:textAlignment w:val="auto"/>
        <w:rPr>
          <w:rFonts w:hint="default" w:ascii="Times New Roman" w:hAnsi="Times New Roman" w:eastAsia="方正仿宋_GBK" w:cs="Times New Roman"/>
          <w:b w:val="0"/>
          <w:bCs w:val="0"/>
          <w:kern w:val="0"/>
          <w:sz w:val="32"/>
          <w:szCs w:val="32"/>
          <w:shd w:val="clear" w:fill="FFFFFF"/>
        </w:rPr>
      </w:pPr>
      <w:r>
        <w:rPr>
          <w:rFonts w:hint="default" w:ascii="Times New Roman" w:hAnsi="Times New Roman" w:eastAsia="楷体" w:cs="Times New Roman"/>
          <w:b w:val="0"/>
          <w:bCs w:val="0"/>
          <w:kern w:val="0"/>
          <w:sz w:val="32"/>
          <w:szCs w:val="32"/>
          <w:shd w:val="clear" w:fill="FFFFFF"/>
          <w:lang w:val="en-US" w:eastAsia="zh-CN" w:bidi="ar"/>
        </w:rPr>
        <w:t>（三）财政绩效评价情况</w:t>
      </w:r>
    </w:p>
    <w:p>
      <w:pPr>
        <w:pStyle w:val="19"/>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0" w:firstLineChars="200"/>
        <w:textAlignment w:val="auto"/>
        <w:rPr>
          <w:rFonts w:hint="default" w:ascii="Times New Roman" w:hAnsi="Times New Roman" w:eastAsia="方正仿宋_GBK" w:cs="Times New Roman"/>
          <w:kern w:val="0"/>
          <w:sz w:val="32"/>
          <w:szCs w:val="32"/>
          <w:shd w:val="clear" w:fill="FFFFFF"/>
          <w:lang w:eastAsia="zh-CN"/>
        </w:rPr>
      </w:pPr>
      <w:r>
        <w:rPr>
          <w:rFonts w:hint="default" w:ascii="Times New Roman" w:hAnsi="Times New Roman" w:eastAsia="方正仿宋_GBK" w:cs="Times New Roman"/>
          <w:kern w:val="0"/>
          <w:sz w:val="32"/>
          <w:szCs w:val="32"/>
          <w:shd w:val="clear" w:fill="FFFFFF"/>
        </w:rPr>
        <w:t>市财政局</w:t>
      </w:r>
      <w:r>
        <w:rPr>
          <w:rFonts w:hint="default" w:ascii="Times New Roman" w:hAnsi="Times New Roman" w:eastAsia="方正仿宋_GBK" w:cs="Times New Roman"/>
          <w:kern w:val="0"/>
          <w:sz w:val="32"/>
          <w:szCs w:val="32"/>
          <w:shd w:val="clear" w:fill="FFFFFF"/>
          <w:lang w:eastAsia="zh-CN"/>
        </w:rPr>
        <w:t>未</w:t>
      </w:r>
      <w:r>
        <w:rPr>
          <w:rFonts w:hint="default" w:ascii="Times New Roman" w:hAnsi="Times New Roman" w:eastAsia="方正仿宋_GBK" w:cs="Times New Roman"/>
          <w:kern w:val="0"/>
          <w:sz w:val="32"/>
          <w:szCs w:val="32"/>
          <w:shd w:val="clear" w:fill="FFFFFF"/>
        </w:rPr>
        <w:t>委托第三方对我部门项目开展绩效评价</w:t>
      </w:r>
      <w:r>
        <w:rPr>
          <w:rFonts w:hint="default" w:ascii="Times New Roman" w:hAnsi="Times New Roman" w:eastAsia="方正仿宋_GBK" w:cs="Times New Roman"/>
          <w:kern w:val="0"/>
          <w:sz w:val="32"/>
          <w:szCs w:val="32"/>
          <w:shd w:val="clear" w:fill="FFFFFF"/>
          <w:lang w:eastAsia="zh-CN"/>
        </w:rPr>
        <w:t>。</w:t>
      </w:r>
    </w:p>
    <w:p>
      <w:pPr>
        <w:pStyle w:val="15"/>
        <w:keepNext w:val="0"/>
        <w:keepLines w:val="0"/>
        <w:pageBreakBefore w:val="0"/>
        <w:widowControl/>
        <w:kinsoku/>
        <w:wordWrap/>
        <w:overflowPunct/>
        <w:topLinePunct w:val="0"/>
        <w:autoSpaceDE w:val="0"/>
        <w:autoSpaceDN/>
        <w:bidi w:val="0"/>
        <w:adjustRightInd/>
        <w:snapToGrid/>
        <w:spacing w:before="0" w:beforeAutospacing="0" w:after="0" w:afterAutospacing="0" w:line="596" w:lineRule="exact"/>
        <w:textAlignment w:val="auto"/>
        <w:rPr>
          <w:rFonts w:hint="default" w:ascii="Times New Roman" w:hAnsi="Times New Roman" w:eastAsia="方正仿宋_GBK" w:cs="Times New Roman"/>
          <w:b w:val="0"/>
          <w:bCs/>
          <w:kern w:val="0"/>
          <w:sz w:val="32"/>
          <w:szCs w:val="32"/>
        </w:rPr>
      </w:pPr>
      <w:r>
        <w:rPr>
          <w:rStyle w:val="16"/>
          <w:rFonts w:hint="default" w:ascii="Times New Roman" w:hAnsi="Times New Roman" w:eastAsia="方正仿宋_GBK" w:cs="Times New Roman"/>
          <w:b/>
          <w:bCs/>
          <w:sz w:val="32"/>
          <w:szCs w:val="32"/>
          <w:shd w:val="clear" w:fill="FFFFFF"/>
        </w:rPr>
        <w:t xml:space="preserve"> </w:t>
      </w:r>
      <w:r>
        <w:rPr>
          <w:rStyle w:val="16"/>
          <w:rFonts w:hint="default" w:ascii="Times New Roman" w:hAnsi="Times New Roman" w:eastAsia="方正仿宋_GBK" w:cs="Times New Roman"/>
          <w:b/>
          <w:bCs/>
          <w:sz w:val="32"/>
          <w:szCs w:val="32"/>
          <w:shd w:val="clear" w:fill="FFFFFF"/>
          <w:lang w:val="en-US" w:eastAsia="zh-CN"/>
        </w:rPr>
        <w:t xml:space="preserve">  </w:t>
      </w:r>
      <w:r>
        <w:rPr>
          <w:rStyle w:val="13"/>
          <w:rFonts w:hint="default" w:ascii="Times New Roman" w:hAnsi="Times New Roman" w:eastAsia="黑体" w:cs="Times New Roman"/>
          <w:sz w:val="32"/>
          <w:szCs w:val="32"/>
          <w:shd w:val="clear" w:color="auto" w:fill="FFFFFF"/>
          <w:lang w:val="en-US" w:eastAsia="zh-CN" w:bidi="ar-SA"/>
        </w:rPr>
        <w:t xml:space="preserve"> </w:t>
      </w:r>
      <w:r>
        <w:rPr>
          <w:rStyle w:val="13"/>
          <w:rFonts w:hint="default" w:ascii="Times New Roman" w:hAnsi="Times New Roman" w:eastAsia="黑体" w:cs="Times New Roman"/>
          <w:b w:val="0"/>
          <w:bCs/>
          <w:sz w:val="32"/>
          <w:szCs w:val="32"/>
          <w:shd w:val="clear" w:color="auto" w:fill="FFFFFF"/>
          <w:lang w:val="en-US" w:eastAsia="zh-CN" w:bidi="ar-SA"/>
        </w:rPr>
        <w:t>六、专业名词解释</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3"/>
          <w:rFonts w:hint="default" w:ascii="Times New Roman" w:hAnsi="Times New Roman" w:eastAsia="楷体" w:cs="Times New Roman"/>
          <w:sz w:val="32"/>
          <w:szCs w:val="32"/>
          <w:shd w:val="clear" w:color="auto" w:fill="FFFFFF"/>
          <w:lang w:val="en-US" w:eastAsia="zh-CN" w:bidi="ar-SA"/>
        </w:rPr>
        <w:t>（一）财政拨款收入：</w:t>
      </w:r>
      <w:r>
        <w:rPr>
          <w:rFonts w:hint="default" w:ascii="Times New Roman" w:hAnsi="Times New Roman" w:eastAsia="方正仿宋_GBK" w:cs="Times New Roman"/>
          <w:kern w:val="0"/>
          <w:sz w:val="32"/>
          <w:szCs w:val="32"/>
          <w:shd w:val="clear" w:fill="FFFFFF"/>
        </w:rPr>
        <w:t>指本年度从本级财政部门取得的财政拨款，包括一般公共预算财政拨款和政府性基金预算财政拨款。</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3"/>
          <w:rFonts w:hint="default" w:ascii="Times New Roman" w:hAnsi="Times New Roman" w:eastAsia="楷体" w:cs="Times New Roman"/>
          <w:sz w:val="32"/>
          <w:szCs w:val="32"/>
          <w:shd w:val="clear" w:color="auto" w:fill="FFFFFF"/>
          <w:lang w:val="en-US" w:eastAsia="zh-CN" w:bidi="ar-SA"/>
        </w:rPr>
        <w:t>（二）事业收入：</w:t>
      </w:r>
      <w:r>
        <w:rPr>
          <w:rFonts w:hint="default" w:ascii="Times New Roman" w:hAnsi="Times New Roman" w:eastAsia="方正仿宋_GBK" w:cs="Times New Roman"/>
          <w:kern w:val="0"/>
          <w:sz w:val="32"/>
          <w:szCs w:val="32"/>
          <w:shd w:val="clear" w:fill="FFFFFF"/>
        </w:rPr>
        <w:t>指事业单位开展专业业务活动及其辅助活动取得的现金流入；事业单位收到的财政专户实际核拨的教育收费等资金在此反映。</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3"/>
          <w:rFonts w:hint="default" w:ascii="Times New Roman" w:hAnsi="Times New Roman" w:eastAsia="楷体" w:cs="Times New Roman"/>
          <w:sz w:val="32"/>
          <w:szCs w:val="32"/>
          <w:shd w:val="clear" w:color="auto" w:fill="FFFFFF"/>
          <w:lang w:val="en-US" w:eastAsia="zh-CN" w:bidi="ar-SA"/>
        </w:rPr>
        <w:t>（三）经营收入：</w:t>
      </w:r>
      <w:r>
        <w:rPr>
          <w:rFonts w:hint="default" w:ascii="Times New Roman" w:hAnsi="Times New Roman" w:eastAsia="方正仿宋_GBK" w:cs="Times New Roman"/>
          <w:kern w:val="0"/>
          <w:sz w:val="32"/>
          <w:szCs w:val="32"/>
          <w:shd w:val="clear" w:fill="FFFFFF"/>
        </w:rPr>
        <w:t>指事业单位在专业业务活动及其辅助活动之外开展非独立核算经营活动取得的现金流入。</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3"/>
          <w:rFonts w:hint="default" w:ascii="Times New Roman" w:hAnsi="Times New Roman" w:eastAsia="楷体" w:cs="Times New Roman"/>
          <w:sz w:val="32"/>
          <w:szCs w:val="32"/>
          <w:shd w:val="clear" w:color="auto" w:fill="FFFFFF"/>
          <w:lang w:val="en-US" w:eastAsia="zh-CN" w:bidi="ar-SA"/>
        </w:rPr>
        <w:t>（四）其他收入：</w:t>
      </w:r>
      <w:r>
        <w:rPr>
          <w:rFonts w:hint="default" w:ascii="Times New Roman" w:hAnsi="Times New Roman" w:eastAsia="方正仿宋_GBK" w:cs="Times New Roman"/>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3"/>
          <w:rFonts w:hint="default" w:ascii="Times New Roman" w:hAnsi="Times New Roman" w:eastAsia="楷体" w:cs="Times New Roman"/>
          <w:sz w:val="32"/>
          <w:szCs w:val="32"/>
          <w:shd w:val="clear" w:color="auto" w:fill="FFFFFF"/>
          <w:lang w:val="en-US" w:eastAsia="zh-CN" w:bidi="ar-SA"/>
        </w:rPr>
        <w:t>（五）使用非财政拨款结余（含专用结余）：</w:t>
      </w:r>
      <w:r>
        <w:rPr>
          <w:rFonts w:hint="default" w:ascii="Times New Roman" w:hAnsi="Times New Roman" w:eastAsia="方正仿宋_GBK" w:cs="Times New Roman"/>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3"/>
          <w:rFonts w:hint="default" w:ascii="Times New Roman" w:hAnsi="Times New Roman" w:eastAsia="楷体" w:cs="Times New Roman"/>
          <w:sz w:val="32"/>
          <w:szCs w:val="32"/>
          <w:shd w:val="clear" w:color="auto" w:fill="FFFFFF"/>
          <w:lang w:val="en-US" w:eastAsia="zh-CN" w:bidi="ar-SA"/>
        </w:rPr>
        <w:t>（六）年初结转和结余：</w:t>
      </w:r>
      <w:r>
        <w:rPr>
          <w:rFonts w:hint="default" w:ascii="Times New Roman" w:hAnsi="Times New Roman" w:eastAsia="方正仿宋_GBK" w:cs="Times New Roman"/>
          <w:kern w:val="0"/>
          <w:sz w:val="32"/>
          <w:szCs w:val="32"/>
          <w:shd w:val="clear" w:fill="FFFFFF"/>
        </w:rPr>
        <w:t>指单位上年结转本年使用的基本支出结转、项目支出结转和结余、经营结余。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3"/>
          <w:rFonts w:hint="default" w:ascii="Times New Roman" w:hAnsi="Times New Roman" w:eastAsia="楷体" w:cs="Times New Roman"/>
          <w:sz w:val="32"/>
          <w:szCs w:val="32"/>
          <w:shd w:val="clear" w:color="auto" w:fill="FFFFFF"/>
          <w:lang w:val="en-US" w:eastAsia="zh-CN" w:bidi="ar-SA"/>
        </w:rPr>
        <w:t>（七）结余分配：</w:t>
      </w:r>
      <w:r>
        <w:rPr>
          <w:rFonts w:hint="default" w:ascii="Times New Roman" w:hAnsi="Times New Roman" w:eastAsia="方正仿宋_GBK" w:cs="Times New Roman"/>
          <w:kern w:val="0"/>
          <w:sz w:val="32"/>
          <w:szCs w:val="32"/>
          <w:shd w:val="clear" w:fill="FFFFFF"/>
        </w:rPr>
        <w:t>指单位按照国家有关规定，缴纳所得税、提取专用基金、转入非财政拨款结余等当年结余的分配情况。</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3"/>
          <w:rFonts w:hint="default" w:ascii="Times New Roman" w:hAnsi="Times New Roman" w:eastAsia="楷体" w:cs="Times New Roman"/>
          <w:sz w:val="32"/>
          <w:szCs w:val="32"/>
          <w:shd w:val="clear" w:color="auto" w:fill="FFFFFF"/>
          <w:lang w:val="en-US" w:eastAsia="zh-CN" w:bidi="ar-SA"/>
        </w:rPr>
        <w:t>（八）年末结转和结余：</w:t>
      </w:r>
      <w:r>
        <w:rPr>
          <w:rFonts w:hint="default" w:ascii="Times New Roman" w:hAnsi="Times New Roman" w:eastAsia="方正仿宋_GBK" w:cs="Times New Roman"/>
          <w:kern w:val="0"/>
          <w:sz w:val="32"/>
          <w:szCs w:val="32"/>
          <w:shd w:val="clear" w:fill="FFFFFF"/>
        </w:rPr>
        <w:t>指单位结转下年的基本支出结转、项目支出结转和结余、经营结余。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3"/>
          <w:rFonts w:hint="default" w:ascii="Times New Roman" w:hAnsi="Times New Roman" w:eastAsia="楷体" w:cs="Times New Roman"/>
          <w:sz w:val="32"/>
          <w:szCs w:val="32"/>
          <w:shd w:val="clear" w:color="auto" w:fill="FFFFFF"/>
          <w:lang w:val="en-US" w:eastAsia="zh-CN" w:bidi="ar-SA"/>
        </w:rPr>
        <w:t>（九）基本支出：</w:t>
      </w:r>
      <w:r>
        <w:rPr>
          <w:rFonts w:hint="default" w:ascii="Times New Roman" w:hAnsi="Times New Roman" w:eastAsia="方正仿宋_GBK" w:cs="Times New Roman"/>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3"/>
          <w:rFonts w:hint="default" w:ascii="Times New Roman" w:hAnsi="Times New Roman" w:eastAsia="楷体" w:cs="Times New Roman"/>
          <w:sz w:val="32"/>
          <w:szCs w:val="32"/>
          <w:shd w:val="clear" w:color="auto" w:fill="FFFFFF"/>
          <w:lang w:val="en-US" w:eastAsia="zh-CN" w:bidi="ar-SA"/>
        </w:rPr>
        <w:t>（十）项目支出：</w:t>
      </w:r>
      <w:r>
        <w:rPr>
          <w:rFonts w:hint="default" w:ascii="Times New Roman" w:hAnsi="Times New Roman" w:eastAsia="方正仿宋_GBK" w:cs="Times New Roman"/>
          <w:kern w:val="0"/>
          <w:sz w:val="32"/>
          <w:szCs w:val="32"/>
          <w:shd w:val="clear" w:fill="FFFFFF"/>
        </w:rPr>
        <w:t>指在基本支出之外为完成特定行政任务和事业发展目标所发生的支出。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3"/>
          <w:rFonts w:hint="default" w:ascii="Times New Roman" w:hAnsi="Times New Roman" w:eastAsia="楷体" w:cs="Times New Roman"/>
          <w:sz w:val="32"/>
          <w:szCs w:val="32"/>
          <w:shd w:val="clear" w:color="auto" w:fill="FFFFFF"/>
          <w:lang w:val="en-US" w:eastAsia="zh-CN" w:bidi="ar-SA"/>
        </w:rPr>
        <w:t>（十一）经营支出：</w:t>
      </w:r>
      <w:r>
        <w:rPr>
          <w:rFonts w:hint="default" w:ascii="Times New Roman" w:hAnsi="Times New Roman" w:eastAsia="方正仿宋_GBK" w:cs="Times New Roman"/>
          <w:kern w:val="0"/>
          <w:sz w:val="32"/>
          <w:szCs w:val="32"/>
          <w:shd w:val="clear" w:fill="FFFFFF"/>
        </w:rPr>
        <w:t>指事业单位在专业业务活动及其辅助活动之外开展非独立核算经营活动发生的支出。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3"/>
          <w:rFonts w:hint="default" w:ascii="Times New Roman" w:hAnsi="Times New Roman" w:eastAsia="楷体" w:cs="Times New Roman"/>
          <w:sz w:val="32"/>
          <w:szCs w:val="32"/>
          <w:shd w:val="clear" w:color="auto" w:fill="FFFFFF"/>
          <w:lang w:val="en-US" w:eastAsia="zh-CN" w:bidi="ar-SA"/>
        </w:rPr>
        <w:t>（十二）“三公”经费：</w:t>
      </w:r>
      <w:r>
        <w:rPr>
          <w:rFonts w:hint="default" w:ascii="Times New Roman" w:hAnsi="Times New Roman" w:eastAsia="方正仿宋_GBK" w:cs="Times New Roman"/>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3"/>
          <w:rFonts w:hint="default" w:ascii="Times New Roman" w:hAnsi="Times New Roman" w:eastAsia="楷体" w:cs="Times New Roman"/>
          <w:sz w:val="32"/>
          <w:szCs w:val="32"/>
          <w:shd w:val="clear" w:color="auto" w:fill="FFFFFF"/>
          <w:lang w:val="en-US" w:eastAsia="zh-CN" w:bidi="ar-SA"/>
        </w:rPr>
        <w:t>（十三）机关运行经费：</w:t>
      </w:r>
      <w:r>
        <w:rPr>
          <w:rFonts w:hint="default" w:ascii="Times New Roman" w:hAnsi="Times New Roman" w:eastAsia="方正仿宋_GBK" w:cs="Times New Roman"/>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3"/>
          <w:rFonts w:hint="default" w:ascii="Times New Roman" w:hAnsi="Times New Roman" w:eastAsia="楷体" w:cs="Times New Roman"/>
          <w:sz w:val="32"/>
          <w:szCs w:val="32"/>
          <w:shd w:val="clear" w:color="auto" w:fill="FFFFFF"/>
          <w:lang w:val="en-US" w:eastAsia="zh-CN" w:bidi="ar-SA"/>
        </w:rPr>
        <w:t>（十四）工资福利支出（支出经济分类科目类级）：</w:t>
      </w:r>
      <w:r>
        <w:rPr>
          <w:rFonts w:hint="default" w:ascii="Times New Roman" w:hAnsi="Times New Roman" w:eastAsia="方正仿宋_GBK" w:cs="Times New Roman"/>
          <w:kern w:val="0"/>
          <w:sz w:val="32"/>
          <w:szCs w:val="32"/>
          <w:shd w:val="clear" w:fill="FFFFFF"/>
        </w:rPr>
        <w:t>反映单位开支的在职职工和编制外长期聘用人员的各类劳动报酬，以及为上述人员缴纳的各项社会保险费等。</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3"/>
          <w:rFonts w:hint="default" w:ascii="Times New Roman" w:hAnsi="Times New Roman" w:eastAsia="楷体" w:cs="Times New Roman"/>
          <w:sz w:val="32"/>
          <w:szCs w:val="32"/>
          <w:shd w:val="clear" w:color="auto" w:fill="FFFFFF"/>
          <w:lang w:val="en-US" w:eastAsia="zh-CN" w:bidi="ar-SA"/>
        </w:rPr>
        <w:t>（十五）商品和服务支出（支出经济分类科目类级）：</w:t>
      </w:r>
      <w:r>
        <w:rPr>
          <w:rFonts w:hint="default" w:ascii="Times New Roman" w:hAnsi="Times New Roman" w:eastAsia="方正仿宋_GBK" w:cs="Times New Roman"/>
          <w:kern w:val="0"/>
          <w:sz w:val="32"/>
          <w:szCs w:val="32"/>
          <w:shd w:val="clear" w:fill="FFFFFF"/>
        </w:rPr>
        <w:t>反映单位购买商品和服务的支出（不包括用于购置固定资产的支出、战略性和应急储备支出）。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3"/>
          <w:rFonts w:hint="default" w:ascii="Times New Roman" w:hAnsi="Times New Roman" w:eastAsia="楷体" w:cs="Times New Roman"/>
          <w:sz w:val="32"/>
          <w:szCs w:val="32"/>
          <w:shd w:val="clear" w:color="auto" w:fill="FFFFFF"/>
          <w:lang w:val="en-US" w:eastAsia="zh-CN" w:bidi="ar-SA"/>
        </w:rPr>
        <w:t>（十六）对个人和家庭的补助（支出经济分类科目类级）：</w:t>
      </w:r>
      <w:r>
        <w:rPr>
          <w:rFonts w:hint="default" w:ascii="Times New Roman" w:hAnsi="Times New Roman" w:eastAsia="方正仿宋_GBK" w:cs="Times New Roman"/>
          <w:kern w:val="0"/>
          <w:sz w:val="32"/>
          <w:szCs w:val="32"/>
          <w:shd w:val="clear" w:fill="FFFFFF"/>
        </w:rPr>
        <w:t>反映用于对个人和家庭的补助支出。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3"/>
          <w:rFonts w:hint="default" w:ascii="Times New Roman" w:hAnsi="Times New Roman" w:eastAsia="楷体" w:cs="Times New Roman"/>
          <w:sz w:val="32"/>
          <w:szCs w:val="32"/>
          <w:shd w:val="clear" w:color="auto" w:fill="FFFFFF"/>
          <w:lang w:val="en-US" w:eastAsia="zh-CN" w:bidi="ar-SA"/>
        </w:rPr>
        <w:t>（十七）其他资本性支出（支出经济分类科目类级）：</w:t>
      </w:r>
      <w:r>
        <w:rPr>
          <w:rFonts w:hint="default" w:ascii="Times New Roman" w:hAnsi="Times New Roman" w:eastAsia="方正仿宋_GBK" w:cs="Times New Roman"/>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3"/>
          <w:rFonts w:hint="default" w:ascii="Times New Roman" w:hAnsi="Times New Roman" w:eastAsia="黑体" w:cs="Times New Roman"/>
          <w:sz w:val="32"/>
          <w:szCs w:val="32"/>
          <w:shd w:val="clear" w:color="auto" w:fill="FFFFFF"/>
          <w:lang w:val="en-US" w:eastAsia="zh-CN" w:bidi="ar-SA"/>
        </w:rPr>
        <w:t>七、决算公开联系方式及信息反馈渠道</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shd w:val="clear" w:fill="FFFFFF"/>
        </w:rPr>
        <w:t>本单位决算公开信息反馈和联系方式：</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0" w:firstLineChars="200"/>
        <w:textAlignment w:val="auto"/>
        <w:rPr>
          <w:rFonts w:hint="default" w:ascii="Times New Roman" w:hAnsi="Times New Roman" w:cs="Times New Roman"/>
          <w:sz w:val="18"/>
          <w:szCs w:val="18"/>
        </w:rPr>
      </w:pPr>
      <w:r>
        <w:rPr>
          <w:rFonts w:hint="default" w:ascii="Times New Roman" w:hAnsi="Times New Roman" w:eastAsia="方正仿宋_GBK" w:cs="Times New Roman"/>
          <w:kern w:val="0"/>
          <w:sz w:val="32"/>
          <w:szCs w:val="32"/>
          <w:shd w:val="clear" w:fill="FFFFFF"/>
          <w:lang w:eastAsia="zh-CN"/>
        </w:rPr>
        <w:t>敖静怡</w:t>
      </w:r>
      <w:r>
        <w:rPr>
          <w:rFonts w:hint="default" w:ascii="Times New Roman" w:hAnsi="Times New Roman" w:eastAsia="方正仿宋_GBK" w:cs="Times New Roman"/>
          <w:kern w:val="0"/>
          <w:sz w:val="32"/>
          <w:szCs w:val="32"/>
          <w:shd w:val="clear" w:fill="FFFFFF"/>
        </w:rPr>
        <w:t xml:space="preserve">   023-</w:t>
      </w:r>
      <w:r>
        <w:rPr>
          <w:rFonts w:hint="default" w:ascii="Times New Roman" w:hAnsi="Times New Roman" w:eastAsia="方正仿宋_GBK" w:cs="Times New Roman"/>
          <w:kern w:val="0"/>
          <w:sz w:val="32"/>
          <w:szCs w:val="32"/>
          <w:shd w:val="clear" w:fill="FFFFFF"/>
          <w:lang w:val="en-US" w:eastAsia="zh-CN"/>
        </w:rPr>
        <w:t>59222735</w:t>
      </w:r>
    </w:p>
    <w:sectPr>
      <w:headerReference r:id="rId3" w:type="default"/>
      <w:footerReference r:id="rId4" w:type="default"/>
      <w:pgSz w:w="11850" w:h="16783"/>
      <w:pgMar w:top="2098" w:right="1474" w:bottom="1984" w:left="1587" w:header="0" w:footer="283" w:gutter="0"/>
      <w:paperSrc/>
      <w:pgNumType w:fmt="numberInDash"/>
      <w:cols w:space="0" w:num="1"/>
      <w:rtlGutter w:val="0"/>
      <w:docGrid w:type="lines" w:linePitch="33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rFonts w:hint="default"/>
      </w:rPr>
    </w:pPr>
    <w:r>
      <w:rPr>
        <w:rFonts w:hint="default"/>
      </w:rPr>
      <w:pict>
        <v:shape id="_x0000_s1032" o:spid="_x0000_s1032" o:spt="202" type="#_x0000_t202" style="position:absolute;left:0pt;margin-top:0pt;height:144pt;width:144pt;mso-position-horizontal:center;mso-position-horizontal-relative:margin;mso-wrap-style:none;z-index:251664384;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path/>
          <v:fill on="f" focussize="0,0"/>
          <v:stroke on="f" weight="0.5pt" joinstyle="miter"/>
          <v:imagedata o:title=""/>
          <o:lock v:ext="edit"/>
          <v:textbox inset="0mm,0mm,0mm,0mm" style="mso-fit-shape-to-text:t;">
            <w:txbxContent>
              <w:p>
                <w:pPr>
                  <w:pStyle w:val="6"/>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v:textbox>
        </v:shape>
      </w:pict>
    </w:r>
    <w:r>
      <w:rPr>
        <w:rFonts w:hint="default"/>
      </w:rPr>
      <w:pict>
        <v:shape id="_x0000_s1031" o:spid="_x0000_s1031" o:spt="202" type="#_x0000_t202" style="position:absolute;left:0pt;margin-top:1160.4pt;height:17.4pt;width:144pt;mso-position-horizontal:center;mso-position-horizontal-relative:margin;mso-position-vertical-relative:page;mso-wrap-style:none;z-index:251663360;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path/>
          <v:fill on="f" focussize="0,0"/>
          <v:stroke on="f" weight="0.5pt" joinstyle="miter"/>
          <v:imagedata o:title=""/>
          <o:lock v:ext="edit"/>
          <v:textbox inset="0mm,0mm,0mm,0mm">
            <w:txbxContent>
              <w:p>
                <w:pPr>
                  <w:pStyle w:val="6"/>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HorizontalSpacing w:val="120"/>
  <w:drawingGridVerticalSpacing w:val="167"/>
  <w:displayHorizontalDrawingGridEvery w:val="1"/>
  <w:displayVerticalDrawingGridEvery w:val="2"/>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GQwYWQ1YTE0ZDA0NjgxYzlhMjZlMDExNTFmMWI3MmEifQ=="/>
  </w:docVars>
  <w:rsids>
    <w:rsidRoot w:val="00B03CCD"/>
    <w:rsid w:val="000239C6"/>
    <w:rsid w:val="001D3BB7"/>
    <w:rsid w:val="002B254B"/>
    <w:rsid w:val="0034050A"/>
    <w:rsid w:val="0044504F"/>
    <w:rsid w:val="00466C9B"/>
    <w:rsid w:val="00486CFC"/>
    <w:rsid w:val="00491DDD"/>
    <w:rsid w:val="00550ABE"/>
    <w:rsid w:val="00623A85"/>
    <w:rsid w:val="00770383"/>
    <w:rsid w:val="007819D4"/>
    <w:rsid w:val="007B419D"/>
    <w:rsid w:val="007B7C4B"/>
    <w:rsid w:val="007D3D39"/>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F3521E"/>
    <w:rsid w:val="03B87EA0"/>
    <w:rsid w:val="03E3214F"/>
    <w:rsid w:val="044C50BA"/>
    <w:rsid w:val="05BC6D49"/>
    <w:rsid w:val="06194FF1"/>
    <w:rsid w:val="06A2550B"/>
    <w:rsid w:val="06F80EE2"/>
    <w:rsid w:val="07001CCA"/>
    <w:rsid w:val="075678DB"/>
    <w:rsid w:val="077B465F"/>
    <w:rsid w:val="079D7CC7"/>
    <w:rsid w:val="08051BCA"/>
    <w:rsid w:val="086C12F4"/>
    <w:rsid w:val="08705944"/>
    <w:rsid w:val="08BA052C"/>
    <w:rsid w:val="08DB07BA"/>
    <w:rsid w:val="0969353F"/>
    <w:rsid w:val="098305D0"/>
    <w:rsid w:val="09B1218B"/>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4370EA1"/>
    <w:rsid w:val="157C6E2C"/>
    <w:rsid w:val="163A6CEE"/>
    <w:rsid w:val="173708E3"/>
    <w:rsid w:val="17C374FC"/>
    <w:rsid w:val="182E4AB6"/>
    <w:rsid w:val="189079DC"/>
    <w:rsid w:val="189B0D0B"/>
    <w:rsid w:val="18B43F7C"/>
    <w:rsid w:val="191C433B"/>
    <w:rsid w:val="194A1770"/>
    <w:rsid w:val="19B906A4"/>
    <w:rsid w:val="1B6F15B6"/>
    <w:rsid w:val="1BAA2EDC"/>
    <w:rsid w:val="1CA55E64"/>
    <w:rsid w:val="1D014A01"/>
    <w:rsid w:val="1D022362"/>
    <w:rsid w:val="1D1B04B0"/>
    <w:rsid w:val="1DA52501"/>
    <w:rsid w:val="1DBD6767"/>
    <w:rsid w:val="1DC52125"/>
    <w:rsid w:val="1DD26311"/>
    <w:rsid w:val="1E374ACB"/>
    <w:rsid w:val="1ECF0A66"/>
    <w:rsid w:val="1ED2597F"/>
    <w:rsid w:val="1EF67CA4"/>
    <w:rsid w:val="1F020D3A"/>
    <w:rsid w:val="1F2C5189"/>
    <w:rsid w:val="1F4B0B02"/>
    <w:rsid w:val="1FBB35CD"/>
    <w:rsid w:val="1FCD26AF"/>
    <w:rsid w:val="20642787"/>
    <w:rsid w:val="21556F04"/>
    <w:rsid w:val="22403BD3"/>
    <w:rsid w:val="22AD3177"/>
    <w:rsid w:val="235417B6"/>
    <w:rsid w:val="24B92327"/>
    <w:rsid w:val="24C14514"/>
    <w:rsid w:val="2533755C"/>
    <w:rsid w:val="25791755"/>
    <w:rsid w:val="26396DF4"/>
    <w:rsid w:val="27167136"/>
    <w:rsid w:val="271B442C"/>
    <w:rsid w:val="27B23302"/>
    <w:rsid w:val="29310A5F"/>
    <w:rsid w:val="29C37A35"/>
    <w:rsid w:val="2A076083"/>
    <w:rsid w:val="2A73162E"/>
    <w:rsid w:val="2B167953"/>
    <w:rsid w:val="2B200583"/>
    <w:rsid w:val="2B2729C0"/>
    <w:rsid w:val="2B8209DE"/>
    <w:rsid w:val="2B821C91"/>
    <w:rsid w:val="2BF81A22"/>
    <w:rsid w:val="2C636760"/>
    <w:rsid w:val="2C6762A3"/>
    <w:rsid w:val="2FCA4B37"/>
    <w:rsid w:val="2FE029D7"/>
    <w:rsid w:val="2FF06E00"/>
    <w:rsid w:val="30586FEC"/>
    <w:rsid w:val="315F0B22"/>
    <w:rsid w:val="31A15828"/>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6A77C9"/>
    <w:rsid w:val="3ADD7F09"/>
    <w:rsid w:val="3B1705E5"/>
    <w:rsid w:val="3B18334B"/>
    <w:rsid w:val="3B36794F"/>
    <w:rsid w:val="3B6F6EE0"/>
    <w:rsid w:val="3C566AD6"/>
    <w:rsid w:val="3C594871"/>
    <w:rsid w:val="3C6A5B02"/>
    <w:rsid w:val="3D083B3A"/>
    <w:rsid w:val="3D2757A1"/>
    <w:rsid w:val="3D3D4FC4"/>
    <w:rsid w:val="3DDF3AB1"/>
    <w:rsid w:val="3E1D0952"/>
    <w:rsid w:val="3E42660A"/>
    <w:rsid w:val="3E7555B1"/>
    <w:rsid w:val="3E787ED9"/>
    <w:rsid w:val="3F032E93"/>
    <w:rsid w:val="3F0527E5"/>
    <w:rsid w:val="3F4C52C6"/>
    <w:rsid w:val="3F694D83"/>
    <w:rsid w:val="3F885DCC"/>
    <w:rsid w:val="3FCD675E"/>
    <w:rsid w:val="4004000C"/>
    <w:rsid w:val="40760DD1"/>
    <w:rsid w:val="40BD5482"/>
    <w:rsid w:val="411B6CE5"/>
    <w:rsid w:val="412070D7"/>
    <w:rsid w:val="41314E40"/>
    <w:rsid w:val="41E0734B"/>
    <w:rsid w:val="426C1EA8"/>
    <w:rsid w:val="42736402"/>
    <w:rsid w:val="42E86A87"/>
    <w:rsid w:val="43307B09"/>
    <w:rsid w:val="439A3EB9"/>
    <w:rsid w:val="43BB152F"/>
    <w:rsid w:val="44C37687"/>
    <w:rsid w:val="45CB699A"/>
    <w:rsid w:val="46423C66"/>
    <w:rsid w:val="465B470D"/>
    <w:rsid w:val="469D6AD4"/>
    <w:rsid w:val="471E6C84"/>
    <w:rsid w:val="4748792B"/>
    <w:rsid w:val="475D719D"/>
    <w:rsid w:val="47674801"/>
    <w:rsid w:val="48225EF7"/>
    <w:rsid w:val="488F422B"/>
    <w:rsid w:val="48E36915"/>
    <w:rsid w:val="48EB6572"/>
    <w:rsid w:val="495C4A24"/>
    <w:rsid w:val="497135DF"/>
    <w:rsid w:val="4A263DF2"/>
    <w:rsid w:val="4A2F278B"/>
    <w:rsid w:val="4A6F6675"/>
    <w:rsid w:val="4B135857"/>
    <w:rsid w:val="4B7951CB"/>
    <w:rsid w:val="4B7C315C"/>
    <w:rsid w:val="4D1F53CA"/>
    <w:rsid w:val="4DAC4ACA"/>
    <w:rsid w:val="4DBE01D2"/>
    <w:rsid w:val="4EFD467F"/>
    <w:rsid w:val="4F0C6BA3"/>
    <w:rsid w:val="4F186D58"/>
    <w:rsid w:val="4FFE7F08"/>
    <w:rsid w:val="504B6EAA"/>
    <w:rsid w:val="50F06B6E"/>
    <w:rsid w:val="51064DCD"/>
    <w:rsid w:val="51D21804"/>
    <w:rsid w:val="52234D33"/>
    <w:rsid w:val="522F6E0C"/>
    <w:rsid w:val="52463BA1"/>
    <w:rsid w:val="52F163D4"/>
    <w:rsid w:val="531A2DB4"/>
    <w:rsid w:val="53C0244D"/>
    <w:rsid w:val="53DD4D4E"/>
    <w:rsid w:val="53E578CE"/>
    <w:rsid w:val="541330F0"/>
    <w:rsid w:val="54272666"/>
    <w:rsid w:val="543B029D"/>
    <w:rsid w:val="54861779"/>
    <w:rsid w:val="55084A4C"/>
    <w:rsid w:val="552256E1"/>
    <w:rsid w:val="554E5773"/>
    <w:rsid w:val="555829E0"/>
    <w:rsid w:val="555A3CBC"/>
    <w:rsid w:val="5582012B"/>
    <w:rsid w:val="558E4E05"/>
    <w:rsid w:val="55BE2E85"/>
    <w:rsid w:val="56530F5D"/>
    <w:rsid w:val="567700D3"/>
    <w:rsid w:val="56FF7E9E"/>
    <w:rsid w:val="578867FC"/>
    <w:rsid w:val="5842572D"/>
    <w:rsid w:val="5A3B59D6"/>
    <w:rsid w:val="5AD134D8"/>
    <w:rsid w:val="5BF41F67"/>
    <w:rsid w:val="5C263CE4"/>
    <w:rsid w:val="5C5D2777"/>
    <w:rsid w:val="5CF66BF3"/>
    <w:rsid w:val="5D290C69"/>
    <w:rsid w:val="5DA80C2C"/>
    <w:rsid w:val="5F2D4A41"/>
    <w:rsid w:val="60793B1E"/>
    <w:rsid w:val="60C74F6C"/>
    <w:rsid w:val="61015958"/>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6C2D2F"/>
    <w:rsid w:val="66AF5D7C"/>
    <w:rsid w:val="66EE5541"/>
    <w:rsid w:val="67924660"/>
    <w:rsid w:val="68407834"/>
    <w:rsid w:val="6883293E"/>
    <w:rsid w:val="688412AD"/>
    <w:rsid w:val="68EB1B71"/>
    <w:rsid w:val="696C0310"/>
    <w:rsid w:val="6A6C7940"/>
    <w:rsid w:val="6A9F1565"/>
    <w:rsid w:val="6AAD2300"/>
    <w:rsid w:val="6B474EF5"/>
    <w:rsid w:val="6BC938E5"/>
    <w:rsid w:val="6C0A5AC5"/>
    <w:rsid w:val="6C560CAE"/>
    <w:rsid w:val="6C576495"/>
    <w:rsid w:val="6D903FF5"/>
    <w:rsid w:val="6DA955B8"/>
    <w:rsid w:val="6DE346AB"/>
    <w:rsid w:val="6DE5391A"/>
    <w:rsid w:val="6EFD1324"/>
    <w:rsid w:val="6F5A53AC"/>
    <w:rsid w:val="6FAC003D"/>
    <w:rsid w:val="6FD926BF"/>
    <w:rsid w:val="6FE55E12"/>
    <w:rsid w:val="6FFB2E76"/>
    <w:rsid w:val="708F6F7F"/>
    <w:rsid w:val="70D94BD3"/>
    <w:rsid w:val="71574775"/>
    <w:rsid w:val="71C34D91"/>
    <w:rsid w:val="72DB435C"/>
    <w:rsid w:val="72E2613A"/>
    <w:rsid w:val="72F771F4"/>
    <w:rsid w:val="73934AD2"/>
    <w:rsid w:val="750837F0"/>
    <w:rsid w:val="754758CF"/>
    <w:rsid w:val="75595ECD"/>
    <w:rsid w:val="764F62AB"/>
    <w:rsid w:val="765C45EC"/>
    <w:rsid w:val="768A7619"/>
    <w:rsid w:val="76BD23AB"/>
    <w:rsid w:val="772E1EBA"/>
    <w:rsid w:val="781926BC"/>
    <w:rsid w:val="796D60A4"/>
    <w:rsid w:val="79A031D5"/>
    <w:rsid w:val="79B47FDF"/>
    <w:rsid w:val="79E569A9"/>
    <w:rsid w:val="7A1525F7"/>
    <w:rsid w:val="7B420052"/>
    <w:rsid w:val="7BD06A28"/>
    <w:rsid w:val="7C3A7C0B"/>
    <w:rsid w:val="7C5248E4"/>
    <w:rsid w:val="7C566698"/>
    <w:rsid w:val="7C5866A3"/>
    <w:rsid w:val="7D7406BB"/>
    <w:rsid w:val="7DE94331"/>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列出段落1"/>
    <w:basedOn w:val="1"/>
    <w:qFormat/>
    <w:uiPriority w:val="99"/>
    <w:pPr>
      <w:ind w:firstLine="420" w:firstLineChars="200"/>
    </w:pPr>
    <w:rPr>
      <w:rFonts w:hint="default"/>
    </w:rPr>
  </w:style>
  <w:style w:type="paragraph" w:customStyle="1" w:styleId="15">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qFormat/>
    <w:uiPriority w:val="0"/>
    <w:rPr>
      <w:rFonts w:hint="default" w:ascii="Wingdings" w:hAnsi="Wingdings" w:cs="Wingdings"/>
      <w:b/>
      <w:bCs/>
    </w:rPr>
  </w:style>
  <w:style w:type="paragraph" w:customStyle="1" w:styleId="17">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5"/>
    <w:qFormat/>
    <w:uiPriority w:val="0"/>
    <w:rPr>
      <w:rFonts w:ascii="宋体" w:hAnsi="宋体"/>
      <w:sz w:val="18"/>
      <w:szCs w:val="18"/>
    </w:rPr>
  </w:style>
  <w:style w:type="paragraph" w:customStyle="1" w:styleId="19">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2"/>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3935</Words>
  <Characters>22430</Characters>
  <Lines>186</Lines>
  <Paragraphs>52</Paragraphs>
  <TotalTime>11</TotalTime>
  <ScaleCrop>false</ScaleCrop>
  <LinksUpToDate>false</LinksUpToDate>
  <CharactersWithSpaces>26313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Administrator</cp:lastModifiedBy>
  <dcterms:modified xsi:type="dcterms:W3CDTF">2025-12-07T07:36:40Z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BB46EABDBB2749749395447164B066B3_12</vt:lpwstr>
  </property>
</Properties>
</file>