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重庆市城口县复兴街道综合行政执法大队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复兴街道综合行政执法大队的宗旨是开展综合行政执法，维护辖区管理秩序。主要职责是：协助平安法治办公室工作。承担依法执法职责，集中行使本街道法定行政执法事项、赋权行政执法事项和委托行政执法事项的行政执法权。负责加强与县级执法部门的联系，开展协同联动执法工作。负责所涉执法领域的普法宣传等工作职责。</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ageBreakBefore w:val="0"/>
        <w:widowControl/>
        <w:kinsoku/>
        <w:wordWrap/>
        <w:overflowPunct/>
        <w:topLinePunct w:val="0"/>
        <w:autoSpaceDN/>
        <w:bidi w:val="0"/>
        <w:adjustRightInd/>
        <w:spacing w:beforeAutospacing="0" w:afterAutospacing="0" w:line="240" w:lineRule="auto"/>
        <w:ind w:firstLine="640" w:firstLineChars="200"/>
        <w:textAlignment w:val="auto"/>
        <w:rPr>
          <w:rFonts w:hint="eastAsia" w:eastAsia="方正仿宋_GBK" w:cs="Times New Roman"/>
          <w:sz w:val="32"/>
        </w:rPr>
      </w:pPr>
      <w:r>
        <w:rPr>
          <w:rFonts w:hint="eastAsia" w:eastAsia="方正仿宋_GBK" w:cs="Times New Roman"/>
          <w:sz w:val="32"/>
        </w:rPr>
        <w:t>1.机构情况：立复兴街道综合行政执法大队为复兴街道办事处所属公益一类事业单位。</w:t>
      </w:r>
    </w:p>
    <w:p>
      <w:pPr>
        <w:pageBreakBefore w:val="0"/>
        <w:widowControl/>
        <w:kinsoku/>
        <w:wordWrap/>
        <w:overflowPunct/>
        <w:topLinePunct w:val="0"/>
        <w:autoSpaceDN/>
        <w:bidi w:val="0"/>
        <w:adjustRightInd/>
        <w:spacing w:beforeAutospacing="0" w:afterAutospacing="0" w:line="240" w:lineRule="auto"/>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eastAsia="方正仿宋_GBK" w:cs="Times New Roman"/>
          <w:sz w:val="32"/>
        </w:rPr>
        <w:t>2.人员情况，事业编制10名。领导职数2名，即：大队长1名，副大队长1名。根据2022年12月工资统发数据，本单位在职职工</w:t>
      </w:r>
      <w:r>
        <w:rPr>
          <w:rFonts w:hint="eastAsia" w:eastAsia="方正仿宋_GBK" w:cs="Times New Roman"/>
          <w:sz w:val="32"/>
          <w:lang w:val="en-US" w:eastAsia="zh-CN"/>
        </w:rPr>
        <w:t>9</w:t>
      </w:r>
      <w:r>
        <w:rPr>
          <w:rFonts w:hint="eastAsia" w:eastAsia="方正仿宋_GBK" w:cs="Times New Roman"/>
          <w:sz w:val="32"/>
        </w:rPr>
        <w:t>人</w:t>
      </w:r>
      <w:r>
        <w:rPr>
          <w:rFonts w:hint="eastAsia" w:eastAsia="方正仿宋_GBK" w:cs="Times New Roman"/>
          <w:sz w:val="32"/>
          <w:lang w:eastAsia="zh-CN"/>
        </w:rPr>
        <w:t>。</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收、支与2023年度相比，增加87.18万元，增长100.0%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与2023年度相比，增加87.18万元，增长100.0%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与2023年度相比，增加87.18万元，增长100.0%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财政拨款收、支总计各增加87.18万元，增长100.0%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与2023年度相比，增加87.18万元，增长100.0%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较年初预算数增加87.18万元，增长100.0%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与2023年度相比，增加87.18万元，增长100.0%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hint="default" w:ascii="Times New Roman" w:hAnsi="Times New Roman" w:eastAsia="方正仿宋_GBK"/>
          <w:sz w:val="32"/>
          <w:szCs w:val="32"/>
          <w:shd w:val="clear" w:color="auto" w:fill="FFFFFF"/>
        </w:rPr>
        <w:t>较年初预算数增加87.18万元，增长100.0%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72.21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较年初预算数增加72.21万元，增长100.0%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较年初预算数增加7.85万元，增长100.0%</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较年初预算数增加3.19万元，增长100.0%</w:t>
      </w:r>
      <w:r>
        <w:rPr>
          <w:rFonts w:ascii="方正仿宋_GBK" w:hAnsi="方正仿宋_GBK" w:eastAsia="方正仿宋_GBK" w:cs="方正仿宋_GBK"/>
          <w:sz w:val="32"/>
          <w:szCs w:val="32"/>
          <w:shd w:val="clear" w:color="auto" w:fill="FFFFFF"/>
        </w:rPr>
        <w:t>，主要原因是主要原因是主要原因是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spacing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较年初预算数增加3.93万元，增长100.0%</w:t>
      </w:r>
      <w:r>
        <w:rPr>
          <w:rFonts w:ascii="方正仿宋_GBK" w:hAnsi="方正仿宋_GBK" w:eastAsia="方正仿宋_GBK" w:cs="方正仿宋_GBK"/>
          <w:sz w:val="32"/>
          <w:szCs w:val="32"/>
          <w:shd w:val="clear" w:color="auto" w:fill="FFFFFF"/>
        </w:rPr>
        <w:t>，主要原因是主要原因是主要原因是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87.18</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77.57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与2023年度相比，增加77.57万元，增长100.0%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：工资待遇、公积金及社保费用等。</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与2023年度相比，增加9.62万元，增长100.0%</w:t>
      </w:r>
      <w:r>
        <w:rPr>
          <w:rFonts w:ascii="方正仿宋_GBK" w:hAnsi="方正仿宋_GBK" w:eastAsia="方正仿宋_GBK" w:cs="方正仿宋_GBK"/>
          <w:sz w:val="32"/>
          <w:szCs w:val="32"/>
          <w:shd w:val="clear" w:color="auto" w:fill="FFFFFF"/>
        </w:rPr>
        <w:t>，主要原因是主要原因</w:t>
      </w:r>
      <w:r>
        <w:rPr>
          <w:rFonts w:hint="eastAsia" w:ascii="方正仿宋_GBK" w:hAnsi="方正仿宋_GBK" w:eastAsia="方正仿宋_GBK" w:cs="方正仿宋_GBK"/>
          <w:sz w:val="32"/>
          <w:szCs w:val="32"/>
          <w:shd w:val="clear" w:color="auto" w:fill="FFFFFF"/>
          <w:lang w:eastAsia="zh-CN"/>
        </w:rPr>
        <w:t>：财政改革，本单位为2024年新增核算单位，上年无数据。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：水电费和办公费。</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本部门2024年度无国有资本经营预算财政拨款支出。</w:t>
      </w:r>
    </w:p>
    <w:p>
      <w:p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本单位无公务车，</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bidi w:val="0"/>
        <w:rPr>
          <w:rFonts w:hint="eastAsia" w:ascii="黑体" w:hAnsi="黑体" w:eastAsia="黑体" w:cs="黑体"/>
          <w:sz w:val="32"/>
          <w:szCs w:val="32"/>
        </w:rPr>
      </w:pPr>
      <w:r>
        <w:rPr>
          <w:rFonts w:hint="eastAsia" w:ascii="黑体" w:hAnsi="黑体" w:eastAsia="黑体" w:cs="黑体"/>
          <w:sz w:val="32"/>
          <w:szCs w:val="32"/>
        </w:rPr>
        <w:t>四、其他需要说明的事项</w:t>
      </w:r>
    </w:p>
    <w:p>
      <w:pPr>
        <w:pStyle w:val="9"/>
        <w:bidi w:val="0"/>
        <w:rPr>
          <w:rFonts w:hint="default"/>
        </w:rPr>
      </w:pPr>
      <w:r>
        <w:rPr>
          <w:rFonts w:hint="eastAsia"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本单位为复兴街道办事处下设事业单位，会议、培训等费用在政府本级核算的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培训费</w:t>
      </w:r>
      <w:r>
        <w:rPr>
          <w:rFonts w:ascii="方正仿宋_GBK" w:hAnsi="方正仿宋_GBK" w:eastAsia="方正仿宋_GBK" w:cs="方正仿宋_GBK"/>
          <w:sz w:val="32"/>
          <w:szCs w:val="32"/>
          <w:shd w:val="clear" w:color="auto" w:fill="FFFFFF"/>
        </w:rPr>
        <w:t>和差旅费</w:t>
      </w:r>
      <w:r>
        <w:rPr>
          <w:rFonts w:hint="default"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按照部门决算列报口径，我</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2024年度我</w:t>
      </w:r>
      <w:r>
        <w:rPr>
          <w:rFonts w:hint="eastAsia" w:ascii="Times New Roman" w:hAnsi="Times New Roman" w:eastAsia="方正仿宋_GBK" w:cs="Times New Roman"/>
          <w:sz w:val="32"/>
          <w:szCs w:val="32"/>
          <w:shd w:val="clear" w:color="auto" w:fill="FFFFFF"/>
        </w:rPr>
        <w:t>部门</w:t>
      </w:r>
      <w:r>
        <w:rPr>
          <w:rFonts w:hint="default" w:ascii="Times New Roman" w:hAnsi="Times New Roman" w:eastAsia="方正仿宋_GBK" w:cs="Times New Roman"/>
          <w:sz w:val="32"/>
          <w:szCs w:val="32"/>
          <w:shd w:val="clear" w:color="auto" w:fill="FFFFFF"/>
        </w:rPr>
        <w:t>未发生政府采购事项，无相关经费支出</w:t>
      </w:r>
      <w:r>
        <w:rPr>
          <w:rFonts w:hint="eastAsia" w:ascii="Times New Roman" w:hAnsi="Times New Roman" w:eastAsia="方正仿宋_GBK" w:cs="Times New Roman"/>
          <w:sz w:val="32"/>
          <w:szCs w:val="32"/>
          <w:shd w:val="clear" w:color="auto" w:fill="FFFFFF"/>
          <w:lang w:eastAsia="zh-CN"/>
        </w:rPr>
        <w:t>。</w:t>
      </w:r>
    </w:p>
    <w:p>
      <w:pPr>
        <w:numPr>
          <w:ilvl w:val="0"/>
          <w:numId w:val="1"/>
        </w:numPr>
        <w:bidi w:val="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numPr>
          <w:ilvl w:val="0"/>
          <w:numId w:val="2"/>
        </w:numPr>
        <w:kinsoku/>
        <w:wordWrap/>
        <w:overflowPunct/>
        <w:topLinePunct w:val="0"/>
        <w:autoSpaceDE w:val="0"/>
        <w:autoSpaceDN/>
        <w:bidi w:val="0"/>
        <w:adjustRightInd/>
        <w:spacing w:beforeAutospacing="0" w:afterAutospacing="0" w:line="240" w:lineRule="auto"/>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属于城口县复兴街道办事处统筹管理的事业单位，项目建设均在街道办事处实施核算，本单位无项目建设，未开展项目绩效评价。</w:t>
      </w:r>
    </w:p>
    <w:p>
      <w:pPr>
        <w:pStyle w:val="9"/>
        <w:pageBreakBefore w:val="0"/>
        <w:widowControl/>
        <w:kinsoku/>
        <w:wordWrap/>
        <w:overflowPunct/>
        <w:topLinePunct w:val="0"/>
        <w:autoSpaceDE w:val="0"/>
        <w:autoSpaceDN/>
        <w:bidi w:val="0"/>
        <w:adjustRightInd/>
        <w:spacing w:beforeAutospacing="0" w:after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5"/>
        <w:snapToGrid w:val="0"/>
        <w:spacing w:before="0" w:beforeAutospacing="0" w:after="0" w:afterAutospacing="0" w:line="596" w:lineRule="exact"/>
        <w:ind w:firstLine="640" w:firstLineChars="200"/>
        <w:jc w:val="both"/>
        <w:rPr>
          <w:rStyle w:val="8"/>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属于城口县复兴街道办事处统筹管理的事业单位，项目建设均在街道办事处实施核算，本单位无项目建设，财政未对我单位开展绩效评价。</w:t>
      </w:r>
      <w:r>
        <w:rPr>
          <w:rStyle w:val="8"/>
          <w:rFonts w:ascii="方正仿宋_GBK" w:hAnsi="方正仿宋_GBK" w:eastAsia="方正仿宋_GBK" w:cs="方正仿宋_GBK"/>
          <w:sz w:val="32"/>
          <w:szCs w:val="32"/>
          <w:shd w:val="clear" w:color="auto" w:fill="FFFFFF"/>
        </w:rPr>
        <w:t xml:space="preserve">  </w:t>
      </w:r>
    </w:p>
    <w:p>
      <w:pPr>
        <w:bidi w:val="0"/>
        <w:rPr>
          <w:rStyle w:val="8"/>
          <w:rFonts w:hint="default" w:ascii="方正仿宋_GBK" w:hAnsi="方正仿宋_GBK" w:eastAsia="方正仿宋_GBK" w:cs="方正仿宋_GBK"/>
          <w:sz w:val="32"/>
          <w:szCs w:val="32"/>
          <w:shd w:val="clear" w:color="auto" w:fill="FFFFFF"/>
        </w:rPr>
      </w:pPr>
      <w:bookmarkStart w:id="0" w:name="_GoBack"/>
      <w:bookmarkEnd w:id="0"/>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w:t>
      </w:r>
      <w:r>
        <w:rPr>
          <w:rFonts w:hint="eastAsia" w:ascii="方正仿宋_GBK" w:hAnsi="方正仿宋_GBK" w:eastAsia="方正仿宋_GBK" w:cs="方正仿宋_GBK"/>
          <w:sz w:val="32"/>
          <w:szCs w:val="32"/>
          <w:shd w:val="clear" w:color="auto" w:fill="FFFFFF"/>
          <w:lang w:eastAsia="zh-CN"/>
        </w:rPr>
        <w:t>从本级财政部门取得的财政拨款，包括一般公共预算财政拨款</w:t>
      </w:r>
      <w:r>
        <w:rPr>
          <w:rFonts w:ascii="方正仿宋_GBK" w:hAnsi="方正仿宋_GBK" w:eastAsia="方正仿宋_GBK" w:cs="方正仿宋_GBK"/>
          <w:sz w:val="32"/>
          <w:szCs w:val="32"/>
          <w:shd w:val="clear" w:color="auto" w:fill="FFFFFF"/>
        </w:rPr>
        <w:t>和政府性基金预算财政拨款。</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w:t>
      </w:r>
      <w:r>
        <w:rPr>
          <w:rStyle w:val="8"/>
          <w:rFonts w:ascii="楷体" w:hAnsi="楷体" w:eastAsia="楷体" w:cs="楷体"/>
          <w:sz w:val="32"/>
          <w:szCs w:val="32"/>
          <w:shd w:val="clear" w:color="auto" w:fill="FFFFFF"/>
        </w:rPr>
        <w:t>单位</w:t>
      </w:r>
      <w:r>
        <w:rPr>
          <w:rFonts w:ascii="方正仿宋_GBK" w:hAnsi="方正仿宋_GBK" w:eastAsia="方正仿宋_GBK" w:cs="方正仿宋_GBK"/>
          <w:sz w:val="32"/>
          <w:szCs w:val="32"/>
          <w:shd w:val="clear" w:color="auto" w:fill="FFFFFF"/>
        </w:rPr>
        <w:t>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bidi w:val="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rPr>
        <w:t>59502228</w:t>
      </w:r>
    </w:p>
    <w:p>
      <w:pPr>
        <w:pStyle w:val="9"/>
        <w:autoSpaceDE w:val="0"/>
        <w:ind w:firstLine="0" w:firstLineChars="0"/>
        <w:rPr>
          <w:rFonts w:hint="default" w:ascii="宋体" w:hAnsi="宋体" w:eastAsia="宋体" w:cs="宋体"/>
          <w:sz w:val="21"/>
          <w:szCs w:val="21"/>
        </w:rPr>
      </w:pPr>
    </w:p>
    <w:sectPr>
      <w:headerReference r:id="rId3" w:type="default"/>
      <w:footerReference r:id="rId4" w:type="default"/>
      <w:pgSz w:w="11850" w:h="16783"/>
      <w:pgMar w:top="1417" w:right="567" w:bottom="1587" w:left="2154"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757A0"/>
    <w:multiLevelType w:val="singleLevel"/>
    <w:tmpl w:val="AD2757A0"/>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504BF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D9633D"/>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5C2851"/>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4E825DC"/>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257E36"/>
    <w:rsid w:val="62944DD7"/>
    <w:rsid w:val="63497036"/>
    <w:rsid w:val="63655F2B"/>
    <w:rsid w:val="63C1619B"/>
    <w:rsid w:val="63C25DC5"/>
    <w:rsid w:val="63C62057"/>
    <w:rsid w:val="63C73832"/>
    <w:rsid w:val="64192A39"/>
    <w:rsid w:val="643C085D"/>
    <w:rsid w:val="64FB113D"/>
    <w:rsid w:val="6544377C"/>
    <w:rsid w:val="655F5939"/>
    <w:rsid w:val="656152C6"/>
    <w:rsid w:val="6587477F"/>
    <w:rsid w:val="658C3A08"/>
    <w:rsid w:val="65C031CA"/>
    <w:rsid w:val="65CE6852"/>
    <w:rsid w:val="65F004F9"/>
    <w:rsid w:val="66267C04"/>
    <w:rsid w:val="663F505A"/>
    <w:rsid w:val="667F2393"/>
    <w:rsid w:val="66EE5541"/>
    <w:rsid w:val="67086152"/>
    <w:rsid w:val="67F5682E"/>
    <w:rsid w:val="687E45FE"/>
    <w:rsid w:val="68CA5D19"/>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2025-11-10T12:48:43Z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BB46EABDBB2749749395447164B066B3_12</vt:lpwstr>
  </property>
</Properties>
</file>