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CCBC5B9">
      <w:pPr>
        <w:spacing w:line="600" w:lineRule="exact"/>
        <w:jc w:val="center"/>
        <w:rPr>
          <w:rFonts w:hint="default" w:ascii="方正小标宋_GBK" w:hAnsi="Times New Roman" w:eastAsia="方正小标宋_GBK" w:cs="Times New Roman"/>
          <w:bCs/>
          <w:sz w:val="44"/>
          <w:szCs w:val="44"/>
          <w:lang w:val="en-US"/>
        </w:rPr>
      </w:pPr>
      <w:r>
        <w:rPr>
          <w:rFonts w:ascii="方正小标宋_GBK" w:hAnsi="方正小标宋_GBK"/>
          <w:bCs/>
          <w:sz w:val="44"/>
          <w:szCs w:val="44"/>
          <w:lang w:eastAsia="zh-CN"/>
        </w:rPr>
        <w:t>重庆市城口县生态环境局</w:t>
      </w:r>
    </w:p>
    <w:p w14:paraId="5F8C44A1">
      <w:pPr>
        <w:spacing w:line="600" w:lineRule="exact"/>
        <w:jc w:val="center"/>
        <w:rPr>
          <w:rFonts w:hint="default" w:ascii="方正小标宋_GBK" w:hAnsi="Times New Roman" w:eastAsia="方正小标宋_GBK" w:cs="Times New Roman"/>
          <w:bCs/>
          <w:sz w:val="44"/>
          <w:szCs w:val="44"/>
          <w:lang w:val="en-US"/>
        </w:rPr>
      </w:pPr>
      <w:r>
        <w:rPr>
          <w:rFonts w:hint="default" w:ascii="方正小标宋_GBK" w:hAnsi="方正小标宋_GBK" w:eastAsia="方正小标宋_GBK" w:cs="方正小标宋_GBK"/>
          <w:bCs/>
          <w:sz w:val="44"/>
          <w:szCs w:val="44"/>
          <w:lang w:val="en-US"/>
        </w:rPr>
        <w:t>2020</w:t>
      </w:r>
      <w:r>
        <w:rPr>
          <w:rFonts w:ascii="方正小标宋_GBK" w:hAnsi="方正小标宋_GBK"/>
          <w:bCs/>
          <w:sz w:val="44"/>
          <w:szCs w:val="44"/>
          <w:lang w:eastAsia="zh-CN"/>
        </w:rPr>
        <w:t>年度部门决算公开情况说明</w:t>
      </w:r>
    </w:p>
    <w:p w14:paraId="39550665">
      <w:pPr>
        <w:autoSpaceDE w:val="0"/>
        <w:autoSpaceDN/>
        <w:spacing w:line="500" w:lineRule="exact"/>
        <w:ind w:left="0" w:firstLine="643" w:firstLineChars="200"/>
        <w:rPr>
          <w:rFonts w:hint="default" w:ascii="Times New Roman" w:hAnsi="Times New Roman" w:cs="Times New Roman"/>
          <w:b/>
          <w:bCs/>
          <w:sz w:val="32"/>
          <w:szCs w:val="32"/>
          <w:lang w:val="en-US"/>
        </w:rPr>
      </w:pPr>
      <w:r>
        <w:rPr>
          <w:rFonts w:hint="default" w:ascii="Times New Roman" w:hAnsi="Times New Roman" w:cs="Times New Roman"/>
          <w:b/>
          <w:bCs/>
          <w:sz w:val="32"/>
          <w:szCs w:val="32"/>
          <w:lang w:val="en-US"/>
        </w:rPr>
        <w:t xml:space="preserve"> </w:t>
      </w:r>
    </w:p>
    <w:p w14:paraId="795519AD">
      <w:pPr>
        <w:autoSpaceDE w:val="0"/>
        <w:autoSpaceDN/>
        <w:spacing w:line="500" w:lineRule="exact"/>
        <w:ind w:left="0" w:firstLine="640" w:firstLineChars="200"/>
        <w:rPr>
          <w:rFonts w:hint="default" w:ascii="方正黑体_GBK" w:hAnsi="Times New Roman" w:eastAsia="方正黑体_GBK" w:cs="Times New Roman"/>
          <w:bCs/>
          <w:sz w:val="32"/>
          <w:szCs w:val="32"/>
          <w:lang w:val="en-US"/>
        </w:rPr>
      </w:pPr>
      <w:r>
        <w:rPr>
          <w:rFonts w:ascii="方正黑体_GBK" w:hAnsi="方正黑体_GBK"/>
          <w:bCs/>
          <w:sz w:val="32"/>
          <w:szCs w:val="32"/>
          <w:lang w:eastAsia="zh-CN"/>
        </w:rPr>
        <w:t>一、部门基本情况</w:t>
      </w:r>
    </w:p>
    <w:p w14:paraId="783C8C4B">
      <w:pPr>
        <w:autoSpaceDE w:val="0"/>
        <w:autoSpaceDN/>
        <w:spacing w:line="500" w:lineRule="exact"/>
        <w:ind w:left="0" w:firstLine="640" w:firstLineChars="200"/>
        <w:rPr>
          <w:rFonts w:hint="default" w:ascii="方正楷体_GBK" w:hAnsi="方正楷体_GBK" w:eastAsia="方正楷体_GBK" w:cs="方正楷体_GBK"/>
          <w:sz w:val="32"/>
          <w:szCs w:val="32"/>
          <w:lang w:val="en-US"/>
        </w:rPr>
      </w:pPr>
      <w:r>
        <w:rPr>
          <w:rFonts w:ascii="方正楷体_GBK" w:hAnsi="方正楷体_GBK"/>
          <w:sz w:val="32"/>
          <w:szCs w:val="32"/>
          <w:lang w:eastAsia="zh-CN"/>
        </w:rPr>
        <w:t>（一）职能职责。</w:t>
      </w:r>
    </w:p>
    <w:p w14:paraId="685E3FF7">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rPr>
        <w:t>1</w:t>
      </w:r>
      <w:r>
        <w:rPr>
          <w:rFonts w:ascii="方正仿宋_GBK" w:hAnsi="方正仿宋_GBK"/>
          <w:sz w:val="32"/>
          <w:szCs w:val="32"/>
          <w:lang w:eastAsia="zh-CN"/>
        </w:rPr>
        <w:t>、贯彻执行生态环境保护法律、法规、规章、标准和方针政策。按照县委、县政府的要求，</w:t>
      </w:r>
      <w:r>
        <w:rPr>
          <w:rFonts w:hint="default" w:ascii="Times New Roman" w:hAnsi="Times New Roman" w:eastAsia="方正仿宋_GBK" w:cs="Times New Roman"/>
          <w:sz w:val="32"/>
          <w:szCs w:val="32"/>
          <w:lang w:eastAsia="zh-CN"/>
        </w:rPr>
        <w:t xml:space="preserve"> </w:t>
      </w:r>
      <w:r>
        <w:rPr>
          <w:rFonts w:ascii="方正仿宋_GBK" w:hAnsi="方正仿宋_GBK"/>
          <w:sz w:val="32"/>
          <w:szCs w:val="32"/>
          <w:lang w:eastAsia="zh-CN"/>
        </w:rPr>
        <w:t>起草本县有关生态环境保护的政策和意见，并报县委、县政府审定后组织施。</w:t>
      </w:r>
    </w:p>
    <w:p w14:paraId="7761FAC4">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rPr>
        <w:t>2</w:t>
      </w:r>
      <w:r>
        <w:rPr>
          <w:rFonts w:ascii="方正仿宋_GBK" w:hAnsi="方正仿宋_GBK"/>
          <w:sz w:val="32"/>
          <w:szCs w:val="32"/>
          <w:lang w:eastAsia="zh-CN"/>
        </w:rPr>
        <w:t>、拟订并组织实施生态环境保护规划；组织拟订并监督实施污染防治规划和生态环境保护规划；组织拟订生态环境功能区划和生态功能区划；组织实施生态环境保护、生态环境综合整治目标责任制及其定量考核工作；</w:t>
      </w:r>
      <w:r>
        <w:rPr>
          <w:rFonts w:hint="default" w:ascii="Times New Roman" w:hAnsi="Times New Roman" w:eastAsia="方正仿宋_GBK" w:cs="Times New Roman"/>
          <w:sz w:val="32"/>
          <w:szCs w:val="32"/>
          <w:lang w:eastAsia="zh-CN"/>
        </w:rPr>
        <w:t xml:space="preserve"> </w:t>
      </w:r>
      <w:r>
        <w:rPr>
          <w:rFonts w:ascii="方正仿宋_GBK" w:hAnsi="方正仿宋_GBK"/>
          <w:sz w:val="32"/>
          <w:szCs w:val="32"/>
          <w:lang w:eastAsia="zh-CN"/>
        </w:rPr>
        <w:t>会同有关部门编制并监督实施重点区域、流域、饮用水水源地生态环境规划和水功能区划；</w:t>
      </w:r>
      <w:r>
        <w:rPr>
          <w:rFonts w:hint="default" w:ascii="Times New Roman" w:hAnsi="Times New Roman" w:eastAsia="方正仿宋_GBK" w:cs="Times New Roman"/>
          <w:sz w:val="32"/>
          <w:szCs w:val="32"/>
          <w:lang w:eastAsia="zh-CN"/>
        </w:rPr>
        <w:t xml:space="preserve"> </w:t>
      </w:r>
      <w:r>
        <w:rPr>
          <w:rFonts w:ascii="方正仿宋_GBK" w:hAnsi="方正仿宋_GBK"/>
          <w:sz w:val="32"/>
          <w:szCs w:val="32"/>
          <w:lang w:eastAsia="zh-CN"/>
        </w:rPr>
        <w:t>参与拟订与生态环境保护有关的其他专项规划。</w:t>
      </w:r>
    </w:p>
    <w:p w14:paraId="4BF556C6">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rPr>
        <w:t>3</w:t>
      </w:r>
      <w:r>
        <w:rPr>
          <w:rFonts w:ascii="方正仿宋_GBK" w:hAnsi="方正仿宋_GBK"/>
          <w:sz w:val="32"/>
          <w:szCs w:val="32"/>
          <w:lang w:eastAsia="zh-CN"/>
        </w:rPr>
        <w:t>、牵头协调重大生态环境污染事故和生态破坏事件调查处理；建立健全突发生态环境事件的应急预警机制，</w:t>
      </w:r>
      <w:r>
        <w:rPr>
          <w:rFonts w:hint="default" w:ascii="Times New Roman" w:hAnsi="Times New Roman" w:eastAsia="方正仿宋_GBK" w:cs="Times New Roman"/>
          <w:sz w:val="32"/>
          <w:szCs w:val="32"/>
          <w:lang w:eastAsia="zh-CN"/>
        </w:rPr>
        <w:t xml:space="preserve"> </w:t>
      </w:r>
      <w:r>
        <w:rPr>
          <w:rFonts w:ascii="方正仿宋_GBK" w:hAnsi="方正仿宋_GBK"/>
          <w:sz w:val="32"/>
          <w:szCs w:val="32"/>
          <w:lang w:eastAsia="zh-CN"/>
        </w:rPr>
        <w:t>协调跨流域、跨地区的生态环境污染纠纷。</w:t>
      </w:r>
    </w:p>
    <w:p w14:paraId="46A98AEA">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rPr>
        <w:t>4</w:t>
      </w:r>
      <w:r>
        <w:rPr>
          <w:rFonts w:ascii="方正仿宋_GBK" w:hAnsi="方正仿宋_GBK"/>
          <w:sz w:val="32"/>
          <w:szCs w:val="32"/>
          <w:lang w:eastAsia="zh-CN"/>
        </w:rPr>
        <w:t>、承担从源头上预防、控制生态环境污染和生态环境破坏的责任；受县政府委托对经济和技术政策、发展规划以及经济开发计划进行环境影响评价，组织审查开发建设规划环境影响评价，监督管理对生态环境有影响的建设项目执行环境影响评价制度和</w:t>
      </w:r>
      <w:r>
        <w:rPr>
          <w:rFonts w:hint="default" w:ascii="Times New Roman" w:hAnsi="Times New Roman" w:eastAsia="方正仿宋_GBK" w:cs="Times New Roman"/>
          <w:sz w:val="32"/>
          <w:szCs w:val="32"/>
          <w:lang w:val="en-US"/>
        </w:rPr>
        <w:t>“</w:t>
      </w:r>
      <w:r>
        <w:rPr>
          <w:rFonts w:ascii="方正仿宋_GBK" w:hAnsi="方正仿宋_GBK"/>
          <w:sz w:val="32"/>
          <w:szCs w:val="32"/>
          <w:lang w:eastAsia="zh-CN"/>
        </w:rPr>
        <w:t>同时设计、同时施工、同时投产使用</w:t>
      </w:r>
      <w:r>
        <w:rPr>
          <w:rFonts w:hint="default" w:ascii="Times New Roman" w:hAnsi="Times New Roman" w:eastAsia="方正仿宋_GBK" w:cs="Times New Roman"/>
          <w:sz w:val="32"/>
          <w:szCs w:val="32"/>
          <w:lang w:val="en-US"/>
        </w:rPr>
        <w:t>”</w:t>
      </w:r>
      <w:r>
        <w:rPr>
          <w:rFonts w:ascii="方正仿宋_GBK" w:hAnsi="方正仿宋_GBK"/>
          <w:sz w:val="32"/>
          <w:szCs w:val="32"/>
          <w:lang w:eastAsia="zh-CN"/>
        </w:rPr>
        <w:t>的</w:t>
      </w:r>
      <w:r>
        <w:rPr>
          <w:rFonts w:hint="default" w:ascii="Times New Roman" w:hAnsi="Times New Roman" w:eastAsia="方正仿宋_GBK" w:cs="Times New Roman"/>
          <w:sz w:val="32"/>
          <w:szCs w:val="32"/>
          <w:lang w:val="en-US"/>
        </w:rPr>
        <w:t>“</w:t>
      </w:r>
      <w:r>
        <w:rPr>
          <w:rFonts w:ascii="方正仿宋_GBK" w:hAnsi="方正仿宋_GBK"/>
          <w:sz w:val="32"/>
          <w:szCs w:val="32"/>
          <w:lang w:eastAsia="zh-CN"/>
        </w:rPr>
        <w:t>三同时</w:t>
      </w:r>
      <w:r>
        <w:rPr>
          <w:rFonts w:hint="default" w:ascii="Times New Roman" w:hAnsi="Times New Roman" w:eastAsia="方正仿宋_GBK" w:cs="Times New Roman"/>
          <w:sz w:val="32"/>
          <w:szCs w:val="32"/>
          <w:lang w:val="en-US"/>
        </w:rPr>
        <w:t>”</w:t>
      </w:r>
      <w:r>
        <w:rPr>
          <w:rFonts w:ascii="方正仿宋_GBK" w:hAnsi="方正仿宋_GBK"/>
          <w:sz w:val="32"/>
          <w:szCs w:val="32"/>
          <w:lang w:eastAsia="zh-CN"/>
        </w:rPr>
        <w:t>制度按照规定审批建设项目环境影响评价文件，组织实施环境准入清单。</w:t>
      </w:r>
    </w:p>
    <w:p w14:paraId="3C24D779">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rPr>
        <w:t>5</w:t>
      </w:r>
      <w:r>
        <w:rPr>
          <w:rFonts w:ascii="方正仿宋_GBK" w:hAnsi="方正仿宋_GBK"/>
          <w:sz w:val="32"/>
          <w:szCs w:val="32"/>
          <w:lang w:eastAsia="zh-CN"/>
        </w:rPr>
        <w:t>、负责生态环境污染防治的对大气、水体、噪声、固体废物、土壤和光、恶臭以及机动车等的污染防治和生态环境保护实施统一监督管理；监督化学品生态环境管理；依法推进强制性清洁生产工作；组织拟订主要污染物排放总量控制实施方案，监督落实主要污染物减排目标任务；组织开展排污权交易工作，组织实施排污申报制度、排污许可证制度和限期治理制度；组织确定水、大气等纳污能力；负责流域水生态环境保护，监督防止地下水污染。负责入河排污口的设置管理；</w:t>
      </w:r>
      <w:r>
        <w:rPr>
          <w:rFonts w:hint="default" w:ascii="Times New Roman" w:hAnsi="Times New Roman" w:eastAsia="方正仿宋_GBK" w:cs="Times New Roman"/>
          <w:sz w:val="32"/>
          <w:szCs w:val="32"/>
          <w:lang w:eastAsia="zh-CN"/>
        </w:rPr>
        <w:t xml:space="preserve"> </w:t>
      </w:r>
      <w:r>
        <w:rPr>
          <w:rFonts w:ascii="方正仿宋_GBK" w:hAnsi="方正仿宋_GBK"/>
          <w:sz w:val="32"/>
          <w:szCs w:val="32"/>
          <w:lang w:eastAsia="zh-CN"/>
        </w:rPr>
        <w:t>协调和指导城镇、农村的环境综合整治工作。</w:t>
      </w:r>
    </w:p>
    <w:p w14:paraId="0ACD3B1D">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rPr>
        <w:t>6</w:t>
      </w:r>
      <w:r>
        <w:rPr>
          <w:rFonts w:ascii="方正仿宋_GBK" w:hAnsi="方正仿宋_GBK"/>
          <w:sz w:val="32"/>
          <w:szCs w:val="32"/>
          <w:lang w:eastAsia="zh-CN"/>
        </w:rPr>
        <w:t>、组织开展生态环境质量调查，进行生态环境质量分析、评估、考核；监督对生态环境有影响的自然资源开发利用活动、生态环境建设和生态破坏恢复工作；统筹协调和指导生态示范区、生态县建设，并组织定量考核工作；</w:t>
      </w:r>
      <w:r>
        <w:rPr>
          <w:rFonts w:hint="default" w:ascii="Times New Roman" w:hAnsi="Times New Roman" w:eastAsia="方正仿宋_GBK" w:cs="Times New Roman"/>
          <w:sz w:val="32"/>
          <w:szCs w:val="32"/>
          <w:lang w:eastAsia="zh-CN"/>
        </w:rPr>
        <w:t xml:space="preserve"> </w:t>
      </w:r>
      <w:r>
        <w:rPr>
          <w:rFonts w:ascii="方正仿宋_GBK" w:hAnsi="方正仿宋_GBK"/>
          <w:sz w:val="32"/>
          <w:szCs w:val="32"/>
          <w:lang w:eastAsia="zh-CN"/>
        </w:rPr>
        <w:t>指导、协调、监督自然保护地的生态环境保护工作；指导协调和监督农村生态环境保护工作；组织指导城乡生态环境野境安全；综合整治工作，监督指导农业面源污理工作；</w:t>
      </w:r>
      <w:r>
        <w:rPr>
          <w:rFonts w:hint="default" w:ascii="Times New Roman" w:hAnsi="Times New Roman" w:eastAsia="方正仿宋_GBK" w:cs="Times New Roman"/>
          <w:sz w:val="32"/>
          <w:szCs w:val="32"/>
          <w:lang w:eastAsia="zh-CN"/>
        </w:rPr>
        <w:t xml:space="preserve"> </w:t>
      </w:r>
      <w:r>
        <w:rPr>
          <w:rFonts w:ascii="方正仿宋_GBK" w:hAnsi="方正仿宋_GBK"/>
          <w:sz w:val="32"/>
          <w:szCs w:val="32"/>
          <w:lang w:eastAsia="zh-CN"/>
        </w:rPr>
        <w:t>组织协调生物多样性保护及其项目的实施，</w:t>
      </w:r>
      <w:r>
        <w:rPr>
          <w:rFonts w:hint="default" w:ascii="Times New Roman" w:hAnsi="Times New Roman" w:eastAsia="方正仿宋_GBK" w:cs="Times New Roman"/>
          <w:sz w:val="32"/>
          <w:szCs w:val="32"/>
          <w:lang w:eastAsia="zh-CN"/>
        </w:rPr>
        <w:t xml:space="preserve"> </w:t>
      </w:r>
      <w:r>
        <w:rPr>
          <w:rFonts w:ascii="方正仿宋_GBK" w:hAnsi="方正仿宋_GBK"/>
          <w:sz w:val="32"/>
          <w:szCs w:val="32"/>
          <w:lang w:eastAsia="zh-CN"/>
        </w:rPr>
        <w:t>协调和监督生动植物保护、湿地生态环境保护工作；监督生物技术生态环开展生态环境监察、监测工作。</w:t>
      </w:r>
    </w:p>
    <w:p w14:paraId="0D2B8CFF">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rPr>
        <w:t>7</w:t>
      </w:r>
      <w:r>
        <w:rPr>
          <w:rFonts w:ascii="方正仿宋_GBK" w:hAnsi="方正仿宋_GBK"/>
          <w:sz w:val="32"/>
          <w:szCs w:val="32"/>
          <w:lang w:eastAsia="zh-CN"/>
        </w:rPr>
        <w:t>、负责辐射安全的监督管理。监督管理放射源安全、电磁辐射、伴有放射性矿产资源开发利用中的污染防治工作；组织开展辐射生态环境监测工作；负责辐射生态环境事故应急处理工作。</w:t>
      </w:r>
    </w:p>
    <w:p w14:paraId="342C6CC0">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rPr>
        <w:t>8</w:t>
      </w:r>
      <w:r>
        <w:rPr>
          <w:rFonts w:ascii="方正仿宋_GBK" w:hAnsi="方正仿宋_GBK"/>
          <w:sz w:val="32"/>
          <w:szCs w:val="32"/>
          <w:lang w:eastAsia="zh-CN"/>
        </w:rPr>
        <w:t>、负责生态环境监测网络、生态环境统计和生态环境信息系统的建设和管理；组织开展生态环境质量监测、污染源监督性监测和突发性生态环境污染应急监测，组织对生态环境质量状况进行调查评估和预测预警；建立生态环境质量发布制度，组织编报生态环境质量报告书；统一发布生态环境状况公报、生态环境综合性报告和重大生态环境信息。</w:t>
      </w:r>
    </w:p>
    <w:p w14:paraId="0B70E83D">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rPr>
        <w:t>9</w:t>
      </w:r>
      <w:r>
        <w:rPr>
          <w:rFonts w:ascii="方正仿宋_GBK" w:hAnsi="方正仿宋_GBK"/>
          <w:sz w:val="32"/>
          <w:szCs w:val="32"/>
          <w:lang w:eastAsia="zh-CN"/>
        </w:rPr>
        <w:t>、提出生态环境保护领域固定资产投资规模和方向、财政性资金安排的意见，配合有关部门做好组织实施和监督工作；组织开展生态环境科学研究和新工艺、新技术工程示范；参与指导推动发展循环经济和环保产业有关工作；负责应对气候变化工作，贯彻执行应对气候变化及温室气体减排重大战略、规划和政策。</w:t>
      </w:r>
    </w:p>
    <w:p w14:paraId="7EE9C6D7">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rPr>
        <w:t>10</w:t>
      </w:r>
      <w:r>
        <w:rPr>
          <w:rFonts w:ascii="方正仿宋_GBK" w:hAnsi="方正仿宋_GBK"/>
          <w:sz w:val="32"/>
          <w:szCs w:val="32"/>
          <w:lang w:eastAsia="zh-CN"/>
        </w:rPr>
        <w:t>、组织实施生态环境保护督查制度，</w:t>
      </w:r>
      <w:r>
        <w:rPr>
          <w:rFonts w:hint="default" w:ascii="Times New Roman" w:hAnsi="Times New Roman" w:eastAsia="方正仿宋_GBK" w:cs="Times New Roman"/>
          <w:sz w:val="32"/>
          <w:szCs w:val="32"/>
          <w:lang w:eastAsia="zh-CN"/>
        </w:rPr>
        <w:t xml:space="preserve"> </w:t>
      </w:r>
      <w:r>
        <w:rPr>
          <w:rFonts w:ascii="方正仿宋_GBK" w:hAnsi="方正仿宋_GBK"/>
          <w:sz w:val="32"/>
          <w:szCs w:val="32"/>
          <w:lang w:eastAsia="zh-CN"/>
        </w:rPr>
        <w:t>组织实施生态环境</w:t>
      </w:r>
      <w:r>
        <w:rPr>
          <w:rFonts w:hint="default" w:ascii="Times New Roman" w:hAnsi="Times New Roman" w:eastAsia="方正仿宋_GBK" w:cs="Times New Roman"/>
          <w:sz w:val="32"/>
          <w:szCs w:val="32"/>
          <w:lang w:eastAsia="zh-CN"/>
        </w:rPr>
        <w:t xml:space="preserve"> </w:t>
      </w:r>
      <w:r>
        <w:rPr>
          <w:rFonts w:ascii="方正仿宋_GBK" w:hAnsi="方正仿宋_GBK"/>
          <w:sz w:val="32"/>
          <w:szCs w:val="32"/>
          <w:lang w:eastAsia="zh-CN"/>
        </w:rPr>
        <w:t>保护目标责任制，监督检查生态环境保护目标任务完成情况；负责重庆市委、市政府对本县经济社会发展实绩考核中生态环境保护有关实绩考核工作。</w:t>
      </w:r>
    </w:p>
    <w:p w14:paraId="5AED2613">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rPr>
        <w:t>11</w:t>
      </w:r>
      <w:r>
        <w:rPr>
          <w:rFonts w:ascii="方正仿宋_GBK" w:hAnsi="方正仿宋_GBK"/>
          <w:sz w:val="32"/>
          <w:szCs w:val="32"/>
          <w:lang w:eastAsia="zh-CN"/>
        </w:rPr>
        <w:t>、负责生态环境监督执法。组织开展生态环境保护执法检查活动，查处生态环境违法问题，具体执法交由相关执法队伍承担，并以部门名义统一执法，指导乡镇、街道生态环境保护执法工作。</w:t>
      </w:r>
    </w:p>
    <w:p w14:paraId="3A5C35F4">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rPr>
        <w:t>12</w:t>
      </w:r>
      <w:r>
        <w:rPr>
          <w:rFonts w:ascii="方正仿宋_GBK" w:hAnsi="方正仿宋_GBK"/>
          <w:sz w:val="32"/>
          <w:szCs w:val="32"/>
          <w:lang w:eastAsia="zh-CN"/>
        </w:rPr>
        <w:t>、组织开展生态文明建设和生态环境友好社会建设宣传教育工作；组织、指导和协调生态环境宣传教育工作；推动公众和社会组织参与生态环境保护。</w:t>
      </w:r>
    </w:p>
    <w:p w14:paraId="578B78CF">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rPr>
        <w:t>13</w:t>
      </w:r>
      <w:r>
        <w:rPr>
          <w:rFonts w:ascii="方正仿宋_GBK" w:hAnsi="方正仿宋_GBK"/>
          <w:sz w:val="32"/>
          <w:szCs w:val="32"/>
          <w:lang w:eastAsia="zh-CN"/>
        </w:rPr>
        <w:t>、指导全县各乡镇街道、县级有关部门的生态环境保护业务工作。</w:t>
      </w:r>
    </w:p>
    <w:p w14:paraId="0A4A9D20">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rPr>
        <w:t>14</w:t>
      </w:r>
      <w:r>
        <w:rPr>
          <w:rFonts w:ascii="方正仿宋_GBK" w:hAnsi="方正仿宋_GBK"/>
          <w:sz w:val="32"/>
          <w:szCs w:val="32"/>
          <w:lang w:eastAsia="zh-CN"/>
        </w:rPr>
        <w:t>、县生态环境局要统一行使生态和城乡各类污染排放监管与行政执法职责，切实履行监管责任，全面落实水、大气、土壤污染防治行动计划。将原环境保护局所属事业单位依法承担的行政决策、行政许可等行政职能划入县生态环境局。</w:t>
      </w:r>
    </w:p>
    <w:p w14:paraId="33BE2BB4">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rPr>
        <w:t>15</w:t>
      </w:r>
      <w:r>
        <w:rPr>
          <w:rFonts w:ascii="方正仿宋_GBK" w:hAnsi="方正仿宋_GBK"/>
          <w:sz w:val="32"/>
          <w:szCs w:val="32"/>
          <w:lang w:eastAsia="zh-CN"/>
        </w:rPr>
        <w:t>、承办县委、县政府交办的其他事项。承担生态环境保护应急救援的相关职责。承担县环境保护委员会办公室的日常工作。</w:t>
      </w:r>
    </w:p>
    <w:p w14:paraId="3E7C5DC0">
      <w:pPr>
        <w:ind w:left="0" w:firstLine="320" w:firstLineChars="100"/>
        <w:rPr>
          <w:rFonts w:hint="default" w:ascii="方正楷体_GBK" w:hAnsi="方正楷体_GBK" w:eastAsia="方正楷体_GBK" w:cs="方正楷体_GBK"/>
          <w:sz w:val="32"/>
          <w:szCs w:val="32"/>
          <w:lang w:val="en-US"/>
        </w:rPr>
      </w:pPr>
      <w:r>
        <w:rPr>
          <w:rFonts w:ascii="方正楷体_GBK" w:hAnsi="方正楷体_GBK"/>
          <w:sz w:val="32"/>
          <w:szCs w:val="32"/>
          <w:lang w:eastAsia="zh-CN"/>
        </w:rPr>
        <w:t>（二）机构设置。</w:t>
      </w:r>
    </w:p>
    <w:p w14:paraId="76773950">
      <w:pPr>
        <w:spacing w:line="560" w:lineRule="exact"/>
        <w:ind w:left="0" w:firstLine="640" w:firstLineChars="200"/>
        <w:rPr>
          <w:rFonts w:hint="default" w:ascii="Times New Roman" w:hAnsi="Times New Roman" w:eastAsia="方正仿宋_GBK" w:cs="Times New Roman"/>
          <w:sz w:val="32"/>
          <w:szCs w:val="32"/>
          <w:lang w:val="en-US"/>
        </w:rPr>
      </w:pPr>
      <w:r>
        <w:rPr>
          <w:rFonts w:ascii="方正仿宋_GBK" w:hAnsi="方正仿宋_GBK"/>
          <w:sz w:val="32"/>
          <w:szCs w:val="32"/>
          <w:lang w:eastAsia="zh-CN"/>
        </w:rPr>
        <w:t>城口县生态环境局是政府工作部门</w:t>
      </w:r>
      <w:r>
        <w:rPr>
          <w:sz w:val="32"/>
          <w:szCs w:val="32"/>
          <w:lang w:val="en-US"/>
        </w:rPr>
        <w:t>,</w:t>
      </w:r>
      <w:r>
        <w:rPr>
          <w:rFonts w:ascii="方正仿宋_GBK" w:hAnsi="方正仿宋_GBK"/>
          <w:sz w:val="32"/>
          <w:szCs w:val="32"/>
          <w:lang w:eastAsia="zh-CN"/>
        </w:rPr>
        <w:t>为正科级</w:t>
      </w:r>
      <w:r>
        <w:rPr>
          <w:sz w:val="32"/>
          <w:szCs w:val="32"/>
          <w:lang w:val="en-US"/>
        </w:rPr>
        <w:t>,</w:t>
      </w:r>
      <w:r>
        <w:rPr>
          <w:rFonts w:ascii="方正仿宋_GBK" w:hAnsi="方正仿宋_GBK"/>
          <w:sz w:val="32"/>
          <w:szCs w:val="32"/>
          <w:lang w:eastAsia="zh-CN"/>
        </w:rPr>
        <w:t>设行政机构</w:t>
      </w:r>
      <w:r>
        <w:rPr>
          <w:sz w:val="32"/>
          <w:szCs w:val="32"/>
          <w:lang w:val="en-US"/>
        </w:rPr>
        <w:t>1</w:t>
      </w:r>
      <w:r>
        <w:rPr>
          <w:rFonts w:ascii="方正仿宋_GBK" w:hAnsi="方正仿宋_GBK"/>
          <w:sz w:val="32"/>
          <w:szCs w:val="32"/>
          <w:lang w:eastAsia="zh-CN"/>
        </w:rPr>
        <w:t>个</w:t>
      </w:r>
      <w:r>
        <w:rPr>
          <w:sz w:val="32"/>
          <w:szCs w:val="32"/>
          <w:lang w:val="en-US"/>
        </w:rPr>
        <w:t>,</w:t>
      </w:r>
      <w:r>
        <w:rPr>
          <w:rFonts w:ascii="方正仿宋_GBK" w:hAnsi="方正仿宋_GBK"/>
          <w:sz w:val="32"/>
          <w:szCs w:val="32"/>
          <w:lang w:eastAsia="zh-CN"/>
        </w:rPr>
        <w:t>下属城口县生态环境保护综合行政执法支队（参公事业单位）、城口县生态环境监测站（事业单位）</w:t>
      </w:r>
      <w:r>
        <w:rPr>
          <w:sz w:val="32"/>
          <w:szCs w:val="32"/>
          <w:lang w:val="en-US"/>
        </w:rPr>
        <w:t>2</w:t>
      </w:r>
      <w:r>
        <w:rPr>
          <w:rFonts w:ascii="方正仿宋_GBK" w:hAnsi="方正仿宋_GBK"/>
          <w:sz w:val="32"/>
          <w:szCs w:val="32"/>
          <w:lang w:eastAsia="zh-CN"/>
        </w:rPr>
        <w:t>个事业单位。根据上述职责，城口县环境保护局设</w:t>
      </w:r>
      <w:r>
        <w:rPr>
          <w:rFonts w:hint="default" w:ascii="Times New Roman" w:hAnsi="Times New Roman" w:eastAsia="方正仿宋_GBK" w:cs="Times New Roman"/>
          <w:sz w:val="32"/>
          <w:szCs w:val="32"/>
          <w:lang w:val="en-US"/>
        </w:rPr>
        <w:t>7</w:t>
      </w:r>
      <w:r>
        <w:rPr>
          <w:rFonts w:ascii="方正仿宋_GBK" w:hAnsi="方正仿宋_GBK"/>
          <w:sz w:val="32"/>
          <w:szCs w:val="32"/>
          <w:lang w:eastAsia="zh-CN"/>
        </w:rPr>
        <w:t>个内设机构：办公室（应急管理办公室）、水气污染防治科、土壤生态环境科、行政审批科、自然生态保护科、</w:t>
      </w:r>
      <w:r>
        <w:rPr>
          <w:rFonts w:hint="eastAsia" w:ascii="方正仿宋_GBK" w:hAnsi="方正仿宋_GBK"/>
          <w:sz w:val="32"/>
          <w:szCs w:val="32"/>
          <w:lang w:eastAsia="zh-CN"/>
        </w:rPr>
        <w:t>环保督察</w:t>
      </w:r>
      <w:r>
        <w:rPr>
          <w:rFonts w:ascii="方正仿宋_GBK" w:hAnsi="方正仿宋_GBK"/>
          <w:sz w:val="32"/>
          <w:szCs w:val="32"/>
          <w:lang w:eastAsia="zh-CN"/>
        </w:rPr>
        <w:t>与法制科、生态环境宣传教育科。机构编制人数</w:t>
      </w:r>
      <w:r>
        <w:rPr>
          <w:sz w:val="32"/>
          <w:szCs w:val="32"/>
          <w:lang w:val="en-US"/>
        </w:rPr>
        <w:t>48</w:t>
      </w:r>
      <w:r>
        <w:rPr>
          <w:rFonts w:ascii="方正仿宋_GBK" w:hAnsi="方正仿宋_GBK"/>
          <w:sz w:val="32"/>
          <w:szCs w:val="32"/>
          <w:lang w:eastAsia="zh-CN"/>
        </w:rPr>
        <w:t>人，现有在职职工</w:t>
      </w:r>
      <w:r>
        <w:rPr>
          <w:sz w:val="32"/>
          <w:szCs w:val="32"/>
          <w:lang w:val="en-US"/>
        </w:rPr>
        <w:t>39</w:t>
      </w:r>
      <w:r>
        <w:rPr>
          <w:rFonts w:ascii="方正仿宋_GBK" w:hAnsi="方正仿宋_GBK"/>
          <w:sz w:val="32"/>
          <w:szCs w:val="32"/>
          <w:lang w:eastAsia="zh-CN"/>
        </w:rPr>
        <w:t>人，退休职工</w:t>
      </w:r>
      <w:r>
        <w:rPr>
          <w:sz w:val="32"/>
          <w:szCs w:val="32"/>
          <w:lang w:val="en-US"/>
        </w:rPr>
        <w:t>7</w:t>
      </w:r>
      <w:r>
        <w:rPr>
          <w:rFonts w:ascii="方正仿宋_GBK" w:hAnsi="方正仿宋_GBK"/>
          <w:sz w:val="32"/>
          <w:szCs w:val="32"/>
          <w:lang w:eastAsia="zh-CN"/>
        </w:rPr>
        <w:t>人。</w:t>
      </w:r>
    </w:p>
    <w:p w14:paraId="3324E7AB">
      <w:pPr>
        <w:autoSpaceDE w:val="0"/>
        <w:autoSpaceDN/>
        <w:spacing w:line="500" w:lineRule="exact"/>
        <w:ind w:left="0" w:firstLine="640" w:firstLineChars="200"/>
        <w:rPr>
          <w:rFonts w:hint="default" w:ascii="Times New Roman" w:hAnsi="Times New Roman" w:cs="Times New Roman"/>
          <w:sz w:val="32"/>
          <w:szCs w:val="32"/>
          <w:lang w:val="en-US"/>
        </w:rPr>
      </w:pPr>
      <w:r>
        <w:rPr>
          <w:sz w:val="32"/>
          <w:szCs w:val="32"/>
          <w:lang w:eastAsia="zh-CN"/>
        </w:rPr>
        <w:t>内设科室主要职责：</w:t>
      </w:r>
    </w:p>
    <w:p w14:paraId="6C39819A">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rPr>
        <w:t>1</w:t>
      </w:r>
      <w:r>
        <w:rPr>
          <w:rFonts w:ascii="方正仿宋_GBK" w:hAnsi="方正仿宋_GBK"/>
          <w:sz w:val="32"/>
          <w:szCs w:val="32"/>
          <w:lang w:eastAsia="zh-CN"/>
        </w:rPr>
        <w:t>、办公室（应急管理办公室）</w:t>
      </w:r>
    </w:p>
    <w:p w14:paraId="3863A3D8">
      <w:pPr>
        <w:autoSpaceDE w:val="0"/>
        <w:autoSpaceDN/>
        <w:spacing w:line="500" w:lineRule="exact"/>
        <w:ind w:left="0" w:firstLine="960" w:firstLineChars="300"/>
        <w:rPr>
          <w:rFonts w:hint="default" w:ascii="Times New Roman" w:hAnsi="Times New Roman" w:eastAsia="方正仿宋_GBK" w:cs="Times New Roman"/>
          <w:sz w:val="32"/>
          <w:szCs w:val="32"/>
          <w:lang w:val="en-US"/>
        </w:rPr>
      </w:pPr>
      <w:r>
        <w:rPr>
          <w:rFonts w:ascii="方正仿宋_GBK" w:hAnsi="方正仿宋_GBK"/>
          <w:sz w:val="32"/>
          <w:szCs w:val="32"/>
          <w:lang w:eastAsia="zh-CN"/>
        </w:rPr>
        <w:t>组织编制全县生态环境保护规划；组织拟订本局工作制度并监督实施，工作总结，综合协调局机关日常工作；拟订本局年度工作计划及组织起草局生态环境保护综合性文件；负责县环境保护委员会办公室的日常工作，承办县环境保护委员会全体成员会议及其他会议；负责局党组会、局长办公会、行政办公会及局务会的组织工作，并对上述会议决议事项的落实情况进行督查负责接收、整理、保管、利用、统计和销毁局机关档案；负责本局机要、保密工作，管理中共城口县生态环境局党组印章和城口县生态环境局印章；组织办理人大代表议案建议及政协委员提案工作；负责局机关政务值班管理工作；负责生态环境信息化建设和生态环境政务信息工作；负责重特大突发生态环境事件应急处置的后方协调工作；负责机关党建和群团工作；组织本局公务接待工作；负责本局的财物管理和财物管理制度的组织实施；负责局机关和下属事业单位内部审计工作；负责本局人事政工的相关工作；组织环保系统史志编纂工作，编写环保大事记；负责本局物业管理；负责本科室业务有关的政务公开、保密和档案整理、立卷、归档工作；完成局领导交办的其他工作。</w:t>
      </w:r>
    </w:p>
    <w:p w14:paraId="3E208C21">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rPr>
        <w:t>2</w:t>
      </w:r>
      <w:r>
        <w:rPr>
          <w:rFonts w:ascii="方正仿宋_GBK" w:hAnsi="方正仿宋_GBK"/>
          <w:sz w:val="32"/>
          <w:szCs w:val="32"/>
          <w:lang w:eastAsia="zh-CN"/>
        </w:rPr>
        <w:t>、水气污染防治科</w:t>
      </w:r>
    </w:p>
    <w:p w14:paraId="6B538DB9">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ascii="方正仿宋_GBK" w:hAnsi="方正仿宋_GBK"/>
          <w:sz w:val="32"/>
          <w:szCs w:val="32"/>
          <w:lang w:eastAsia="zh-CN"/>
        </w:rPr>
        <w:t>贯彻执行国家和重庆市有关水、大气污染防治的法律、法规、政策和标准；监督水体污染防治工作，组织拟订全县及重点流域、区域水污染防治规划、饮用水源地保护划</w:t>
      </w:r>
      <w:r>
        <w:rPr>
          <w:rFonts w:hint="default" w:ascii="Times New Roman" w:hAnsi="Times New Roman" w:eastAsia="方正仿宋_GBK" w:cs="Times New Roman"/>
          <w:sz w:val="32"/>
          <w:szCs w:val="32"/>
          <w:lang w:val="en-US"/>
        </w:rPr>
        <w:t>,</w:t>
      </w:r>
      <w:r>
        <w:rPr>
          <w:rFonts w:ascii="方正仿宋_GBK" w:hAnsi="方正仿宋_GBK"/>
          <w:sz w:val="32"/>
          <w:szCs w:val="32"/>
          <w:lang w:eastAsia="zh-CN"/>
        </w:rPr>
        <w:t>统筹协调重点流域、区域水污染防治工作；负责集中式饮用水源保护区的划分与调整</w:t>
      </w:r>
      <w:r>
        <w:rPr>
          <w:rFonts w:hint="default" w:ascii="Times New Roman" w:hAnsi="Times New Roman" w:eastAsia="方正仿宋_GBK" w:cs="Times New Roman"/>
          <w:sz w:val="32"/>
          <w:szCs w:val="32"/>
          <w:lang w:val="en-US"/>
        </w:rPr>
        <w:t>,</w:t>
      </w:r>
      <w:r>
        <w:rPr>
          <w:rFonts w:ascii="方正仿宋_GBK" w:hAnsi="方正仿宋_GBK"/>
          <w:sz w:val="32"/>
          <w:szCs w:val="32"/>
          <w:lang w:eastAsia="zh-CN"/>
        </w:rPr>
        <w:t>对集中式饮用水源地保护实施统一监督管理；组织确定水、大气等纳污能力；监督流域水生态环境保护，监督防止地下水污染；负责入河排污口的设置管理；负责污水处理厂水质核定工作；牵头负责本县污染物排放总量控制工作，拟订并组织实施主要污染物排放总量控制计划，负责应对气候变化工作，贯彻执行应对气候变化及温室气体减排重大战略、规划和政策；监督污染治理项目并组织验收；监督大气生态环境保护工作，组织拟订全县及重点区域大气生态环境保护规划、计划和阶段性实施方案，并组织实施；监督本县水生态环境功能区、大气生态环境功能区达标管理工作。</w:t>
      </w:r>
    </w:p>
    <w:p w14:paraId="0907F796">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rPr>
        <w:t>3</w:t>
      </w:r>
      <w:r>
        <w:rPr>
          <w:rFonts w:ascii="方正仿宋_GBK" w:hAnsi="方正仿宋_GBK"/>
          <w:sz w:val="32"/>
          <w:szCs w:val="32"/>
          <w:lang w:eastAsia="zh-CN"/>
        </w:rPr>
        <w:t>、土壤生态环境科</w:t>
      </w:r>
    </w:p>
    <w:p w14:paraId="40840C73">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ascii="方正仿宋_GBK" w:hAnsi="方正仿宋_GBK"/>
          <w:sz w:val="32"/>
          <w:szCs w:val="32"/>
          <w:lang w:eastAsia="zh-CN"/>
        </w:rPr>
        <w:t>贯彻执行国家和重庆市有关固体废物、土壤污染防治的法律、法规、政策和标准；负责固体废物和土壤生态环境保护工作，组织拟订固体废物、化学品、重金属、工业企业场地污染防治规划、计划、阶段性实施方案并组织实施；监督土壤、固体废物、重金属污染防治工作；组织开展危险化学品、持久性有机污染物、</w:t>
      </w:r>
      <w:r>
        <w:rPr>
          <w:rFonts w:hint="default" w:ascii="Times New Roman" w:hAnsi="Times New Roman" w:eastAsia="方正仿宋_GBK" w:cs="Times New Roman"/>
          <w:sz w:val="32"/>
          <w:szCs w:val="32"/>
          <w:lang w:eastAsia="zh-CN"/>
        </w:rPr>
        <w:t xml:space="preserve"> </w:t>
      </w:r>
      <w:r>
        <w:rPr>
          <w:rFonts w:ascii="方正仿宋_GBK" w:hAnsi="方正仿宋_GBK"/>
          <w:sz w:val="32"/>
          <w:szCs w:val="32"/>
          <w:lang w:eastAsia="zh-CN"/>
        </w:rPr>
        <w:t>新化学物质污染生态环境的监督管理工作，开展化学品生态环境</w:t>
      </w:r>
      <w:r>
        <w:rPr>
          <w:rFonts w:hint="default" w:ascii="Times New Roman" w:hAnsi="Times New Roman" w:eastAsia="方正仿宋_GBK" w:cs="Times New Roman"/>
          <w:sz w:val="32"/>
          <w:szCs w:val="32"/>
          <w:lang w:eastAsia="zh-CN"/>
        </w:rPr>
        <w:t xml:space="preserve"> </w:t>
      </w:r>
      <w:r>
        <w:rPr>
          <w:rFonts w:ascii="方正仿宋_GBK" w:hAnsi="方正仿宋_GBK"/>
          <w:sz w:val="32"/>
          <w:szCs w:val="32"/>
          <w:lang w:eastAsia="zh-CN"/>
        </w:rPr>
        <w:t>情况调查及更新；组织实施危险废物转移联单制度；监督实施固体废物和重金属污染治理项目并组织验收；指导协调和监督农村生态环境保护工作；</w:t>
      </w:r>
      <w:r>
        <w:rPr>
          <w:rFonts w:hint="default" w:ascii="Times New Roman" w:hAnsi="Times New Roman" w:eastAsia="方正仿宋_GBK" w:cs="Times New Roman"/>
          <w:sz w:val="32"/>
          <w:szCs w:val="32"/>
          <w:lang w:eastAsia="zh-CN"/>
        </w:rPr>
        <w:t xml:space="preserve"> </w:t>
      </w:r>
      <w:r>
        <w:rPr>
          <w:rFonts w:ascii="方正仿宋_GBK" w:hAnsi="方正仿宋_GBK"/>
          <w:sz w:val="32"/>
          <w:szCs w:val="32"/>
          <w:lang w:eastAsia="zh-CN"/>
        </w:rPr>
        <w:t>监督指导城乡生态环境综合整治工作，监督指导农业面源污染治理工作、畜禽污染防治工作；负责辐射安全</w:t>
      </w:r>
      <w:r>
        <w:rPr>
          <w:rFonts w:hint="default" w:ascii="Times New Roman" w:hAnsi="Times New Roman" w:eastAsia="方正仿宋_GBK" w:cs="Times New Roman"/>
          <w:sz w:val="32"/>
          <w:szCs w:val="32"/>
          <w:lang w:eastAsia="zh-CN"/>
        </w:rPr>
        <w:t xml:space="preserve"> </w:t>
      </w:r>
      <w:r>
        <w:rPr>
          <w:rFonts w:ascii="方正仿宋_GBK" w:hAnsi="方正仿宋_GBK"/>
          <w:sz w:val="32"/>
          <w:szCs w:val="32"/>
          <w:lang w:eastAsia="zh-CN"/>
        </w:rPr>
        <w:t>的统一监督管理工作，监督管理放射源安全、电磁辐射、伴有放射性矿产资源开发利用中的污染防治工作；组织开展辐射生态环境监测工作；负责辐射生态环境事故应急处理工作；负责本科室业务有关的政务公开、保密和档案的整理、立卷、归档工作；完成局领导交办的其他工作。</w:t>
      </w:r>
    </w:p>
    <w:p w14:paraId="680BB270">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rPr>
        <w:t>4</w:t>
      </w:r>
      <w:r>
        <w:rPr>
          <w:rFonts w:ascii="方正仿宋_GBK" w:hAnsi="方正仿宋_GBK"/>
          <w:sz w:val="32"/>
          <w:szCs w:val="32"/>
          <w:lang w:eastAsia="zh-CN"/>
        </w:rPr>
        <w:t>、行政审批科</w:t>
      </w:r>
    </w:p>
    <w:p w14:paraId="60BFC68A">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ascii="方正仿宋_GBK" w:hAnsi="方正仿宋_GBK"/>
          <w:sz w:val="32"/>
          <w:szCs w:val="32"/>
          <w:lang w:eastAsia="zh-CN"/>
        </w:rPr>
        <w:t>贯彻执行国家和重庆市有关环境影响评价的法律、法规和规章，拟订本县有关环境影响评价管理的规范性文件，经批准后组织实施；负责组织审查县政府及县级相关部门审批的规划其规划环境影响评价文件；负责承办辖区内建设项目环境影响评价审批工作；组织实施生态环境准入清单；负责固体废物审批、辐射审批、污染防治设施的拆除闲置停运等审批工作；组织开展建设项目环境影响后评价工作；负责环境影响评价文件的技术审查；组织实施废水、废气、噪声等的排污申报、排污许可制度，负责县级企业排放污染物许可证的核发工作；负责全县排污权有偿使用和交易工作；组织本县环境保护行政审批方面的调查统计和资料</w:t>
      </w:r>
      <w:r>
        <w:rPr>
          <w:rFonts w:hint="default" w:ascii="Times New Roman" w:hAnsi="Times New Roman" w:eastAsia="方正仿宋_GBK" w:cs="Times New Roman"/>
          <w:sz w:val="32"/>
          <w:szCs w:val="32"/>
          <w:lang w:eastAsia="zh-CN"/>
        </w:rPr>
        <w:t xml:space="preserve"> </w:t>
      </w:r>
      <w:r>
        <w:rPr>
          <w:rFonts w:ascii="方正仿宋_GBK" w:hAnsi="方正仿宋_GBK"/>
          <w:sz w:val="32"/>
          <w:szCs w:val="32"/>
          <w:lang w:eastAsia="zh-CN"/>
        </w:rPr>
        <w:t>汇总工作，报送有关报表，更新相关数据；</w:t>
      </w:r>
      <w:r>
        <w:rPr>
          <w:rFonts w:hint="default" w:ascii="Times New Roman" w:hAnsi="Times New Roman" w:eastAsia="方正仿宋_GBK" w:cs="Times New Roman"/>
          <w:sz w:val="32"/>
          <w:szCs w:val="32"/>
          <w:lang w:eastAsia="zh-CN"/>
        </w:rPr>
        <w:t xml:space="preserve"> </w:t>
      </w:r>
      <w:r>
        <w:rPr>
          <w:rFonts w:ascii="方正仿宋_GBK" w:hAnsi="方正仿宋_GBK"/>
          <w:sz w:val="32"/>
          <w:szCs w:val="32"/>
          <w:lang w:eastAsia="zh-CN"/>
        </w:rPr>
        <w:t>协调县生态环境行政</w:t>
      </w:r>
      <w:r>
        <w:rPr>
          <w:rFonts w:hint="default" w:ascii="Times New Roman" w:hAnsi="Times New Roman" w:eastAsia="方正仿宋_GBK" w:cs="Times New Roman"/>
          <w:sz w:val="32"/>
          <w:szCs w:val="32"/>
          <w:lang w:eastAsia="zh-CN"/>
        </w:rPr>
        <w:t xml:space="preserve"> </w:t>
      </w:r>
      <w:r>
        <w:rPr>
          <w:rFonts w:ascii="方正仿宋_GBK" w:hAnsi="方正仿宋_GBK"/>
          <w:sz w:val="32"/>
          <w:szCs w:val="32"/>
          <w:lang w:eastAsia="zh-CN"/>
        </w:rPr>
        <w:t>执法支队查处涉嫌违反环境影响评价规定的违法案件；负责本科室业务有关的政务公开、保密和档案的整理、立卷、归档工作；完成局领导交办的其他工作。</w:t>
      </w:r>
    </w:p>
    <w:p w14:paraId="3780B88B">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rPr>
        <w:t>5</w:t>
      </w:r>
      <w:r>
        <w:rPr>
          <w:rFonts w:ascii="方正仿宋_GBK" w:hAnsi="方正仿宋_GBK"/>
          <w:sz w:val="32"/>
          <w:szCs w:val="32"/>
          <w:lang w:eastAsia="zh-CN"/>
        </w:rPr>
        <w:t>、自然生态保护科</w:t>
      </w:r>
    </w:p>
    <w:p w14:paraId="5BC85B83">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ascii="方正仿宋_GBK" w:hAnsi="方正仿宋_GBK"/>
          <w:sz w:val="32"/>
          <w:szCs w:val="32"/>
          <w:lang w:eastAsia="zh-CN"/>
        </w:rPr>
        <w:t>承担生态示范区、生态县建设工作，组织实施生态示范区、生态县创建及目标任务定量考核工作；组织实施国家重点生态功能区县域生态环境质量考核工作，负责考核资料的汇总、审核、系统录入与上报；检查和协调指导自然保护地的生态环境保护工作，监督生物多样性保护、野生动植物保护、湿地生态环境保护工作，组织实施生物多样性保护项目；监督水土流失和石漠化综合防治工作；监督实施生态环保治理项目；负责本科室业务有关的政务公开、保密和档案的整理、立卷、归档工作；完成局领导交办的其他工作。</w:t>
      </w:r>
    </w:p>
    <w:p w14:paraId="0604CC6E">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rPr>
        <w:t>6</w:t>
      </w:r>
      <w:r>
        <w:rPr>
          <w:rFonts w:ascii="方正仿宋_GBK" w:hAnsi="方正仿宋_GBK"/>
          <w:sz w:val="32"/>
          <w:szCs w:val="32"/>
          <w:lang w:eastAsia="zh-CN"/>
        </w:rPr>
        <w:t>、</w:t>
      </w:r>
      <w:r>
        <w:rPr>
          <w:rFonts w:hint="eastAsia" w:ascii="方正仿宋_GBK" w:hAnsi="方正仿宋_GBK"/>
          <w:sz w:val="32"/>
          <w:szCs w:val="32"/>
          <w:lang w:eastAsia="zh-CN"/>
        </w:rPr>
        <w:t>环保督察</w:t>
      </w:r>
      <w:r>
        <w:rPr>
          <w:rFonts w:ascii="方正仿宋_GBK" w:hAnsi="方正仿宋_GBK"/>
          <w:sz w:val="32"/>
          <w:szCs w:val="32"/>
          <w:lang w:eastAsia="zh-CN"/>
        </w:rPr>
        <w:t>与法制科</w:t>
      </w:r>
    </w:p>
    <w:p w14:paraId="12041952">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ascii="方正仿宋_GBK" w:hAnsi="方正仿宋_GBK"/>
          <w:sz w:val="32"/>
          <w:szCs w:val="32"/>
          <w:lang w:eastAsia="zh-CN"/>
        </w:rPr>
        <w:t>对贯彻落实国家和地方生态环境保护的有关法律、法规、政策和规章提出年度计划和实施方案；组织拟订和实施生态环境保护督查制度，参与对全县乡镇、街道以及部门落实生态环境保护工作责任有关事项的督查督办；负责市对县的生态环境保护实绩考核、环保系统目标考核及县内考核工作；承办县委、县政府对本局年度工作目标考核工作；负责乡镇、街道以及部门的生态环境保护实绩考核；协助有关部门拟定本县生态环境保护法规、规</w:t>
      </w:r>
      <w:r>
        <w:rPr>
          <w:rFonts w:hint="default" w:ascii="Times New Roman" w:hAnsi="Times New Roman" w:eastAsia="方正仿宋_GBK" w:cs="Times New Roman"/>
          <w:sz w:val="32"/>
          <w:szCs w:val="32"/>
          <w:lang w:eastAsia="zh-CN"/>
        </w:rPr>
        <w:t xml:space="preserve"> </w:t>
      </w:r>
      <w:r>
        <w:rPr>
          <w:rFonts w:ascii="方正仿宋_GBK" w:hAnsi="方正仿宋_GBK"/>
          <w:sz w:val="32"/>
          <w:szCs w:val="32"/>
          <w:lang w:eastAsia="zh-CN"/>
        </w:rPr>
        <w:t>章制度；负责办理有关生态环境保护法规、规章的解释工作，以及有关法律、法规、规章和规范性文件清理、公布和汇编工作；负责生态环境保护有关规范性文件合法性审核；</w:t>
      </w:r>
      <w:r>
        <w:rPr>
          <w:rFonts w:hint="default" w:ascii="Times New Roman" w:hAnsi="Times New Roman" w:eastAsia="方正仿宋_GBK" w:cs="Times New Roman"/>
          <w:sz w:val="32"/>
          <w:szCs w:val="32"/>
          <w:lang w:eastAsia="zh-CN"/>
        </w:rPr>
        <w:t xml:space="preserve"> </w:t>
      </w:r>
      <w:r>
        <w:rPr>
          <w:rFonts w:ascii="方正仿宋_GBK" w:hAnsi="方正仿宋_GBK"/>
          <w:sz w:val="32"/>
          <w:szCs w:val="32"/>
          <w:lang w:eastAsia="zh-CN"/>
        </w:rPr>
        <w:t>牵头与本局行政行为有关的行政复议及诉讼工作；办理应由本局受理的行政复议</w:t>
      </w:r>
      <w:r>
        <w:rPr>
          <w:rFonts w:hint="default" w:ascii="Times New Roman" w:hAnsi="Times New Roman" w:eastAsia="方正仿宋_GBK" w:cs="Times New Roman"/>
          <w:sz w:val="32"/>
          <w:szCs w:val="32"/>
          <w:lang w:eastAsia="zh-CN"/>
        </w:rPr>
        <w:t xml:space="preserve"> </w:t>
      </w:r>
      <w:r>
        <w:rPr>
          <w:rFonts w:ascii="方正仿宋_GBK" w:hAnsi="方正仿宋_GBK"/>
          <w:sz w:val="32"/>
          <w:szCs w:val="32"/>
          <w:lang w:eastAsia="zh-CN"/>
        </w:rPr>
        <w:t>案件及行政赔偿案件；指导和实施生态环境损害赔偿制度；负责本科室业务有关的政务公开、保密和档案的整理、立卷、归档工作；完成局领导交办的其他工作。</w:t>
      </w:r>
    </w:p>
    <w:p w14:paraId="4C2D94E7">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hint="default" w:ascii="Times New Roman" w:hAnsi="Times New Roman" w:eastAsia="方正仿宋_GBK" w:cs="Times New Roman"/>
          <w:sz w:val="32"/>
          <w:szCs w:val="32"/>
          <w:lang w:val="en-US"/>
        </w:rPr>
        <w:t>7</w:t>
      </w:r>
      <w:r>
        <w:rPr>
          <w:rFonts w:ascii="方正仿宋_GBK" w:hAnsi="方正仿宋_GBK"/>
          <w:sz w:val="32"/>
          <w:szCs w:val="32"/>
          <w:lang w:eastAsia="zh-CN"/>
        </w:rPr>
        <w:t>、生态环境宣传教育科</w:t>
      </w:r>
    </w:p>
    <w:p w14:paraId="14CF36D0">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ascii="方正仿宋_GBK" w:hAnsi="方正仿宋_GBK"/>
          <w:sz w:val="32"/>
          <w:szCs w:val="32"/>
          <w:lang w:eastAsia="zh-CN"/>
        </w:rPr>
        <w:t>组织协调和实施生态环境保护宣传教育、舆论引导，协调新闻媒体对重要生态环境保护活动和重大生态环境事件采访报道，审核重大活动新闻稿件；组织、指导和协调本局系统生态环境舆情监测、研判、引导工作；承担生态环境保护新闻发布等有关工作；加强环保政务微博、微信公众号矩阵建设；深化环保主题宣传活动；推动环保公众参与，组织开展环保公众宣传，开展环保志愿服务活动，推进生态环境教育基地建设和绿色系列创建工作；强化生态环境教育渗透，夯实国民教育、成人教育和社区教育三大教育体系，普及中小学生的生态环境科学知识；负责本科室业务有关的政务公开、保密和档案的整理、立卷、归档工作；完成局领导交办的其他工作。</w:t>
      </w:r>
    </w:p>
    <w:p w14:paraId="43DBCF25">
      <w:pPr>
        <w:autoSpaceDE w:val="0"/>
        <w:autoSpaceDN/>
        <w:spacing w:line="500" w:lineRule="exact"/>
        <w:ind w:left="0" w:firstLine="640" w:firstLineChars="200"/>
        <w:rPr>
          <w:rFonts w:hint="default" w:ascii="方正黑体_GBK" w:hAnsi="方正黑体_GBK" w:eastAsia="方正黑体_GBK" w:cs="Times New Roman"/>
          <w:bCs/>
          <w:sz w:val="32"/>
          <w:szCs w:val="32"/>
          <w:lang w:val="en-US"/>
        </w:rPr>
      </w:pPr>
      <w:r>
        <w:rPr>
          <w:rFonts w:ascii="方正黑体_GBK" w:hAnsi="方正黑体_GBK"/>
          <w:bCs/>
          <w:sz w:val="32"/>
          <w:szCs w:val="32"/>
          <w:lang w:eastAsia="zh-CN"/>
        </w:rPr>
        <w:t>二、部门决算情况说明</w:t>
      </w:r>
    </w:p>
    <w:p w14:paraId="2D8908B3">
      <w:pPr>
        <w:autoSpaceDE w:val="0"/>
        <w:autoSpaceDN/>
        <w:spacing w:line="500" w:lineRule="exact"/>
        <w:ind w:left="0" w:firstLine="640" w:firstLineChars="200"/>
        <w:rPr>
          <w:rFonts w:hint="default" w:ascii="方正楷体_GBK" w:hAnsi="方正楷体_GBK" w:eastAsia="方正楷体_GBK" w:cs="方正楷体_GBK"/>
          <w:sz w:val="32"/>
          <w:szCs w:val="32"/>
          <w:lang w:val="en-US"/>
        </w:rPr>
      </w:pPr>
      <w:r>
        <w:rPr>
          <w:rFonts w:ascii="方正楷体_GBK" w:hAnsi="方正楷体_GBK"/>
          <w:sz w:val="32"/>
          <w:szCs w:val="32"/>
          <w:lang w:eastAsia="zh-CN"/>
        </w:rPr>
        <w:t>（一）收入支出决算总体情况说明</w:t>
      </w:r>
    </w:p>
    <w:p w14:paraId="5A831BE8">
      <w:pPr>
        <w:autoSpaceDE w:val="0"/>
        <w:autoSpaceDN/>
        <w:spacing w:line="500" w:lineRule="exact"/>
        <w:ind w:left="0" w:firstLine="643" w:firstLineChars="200"/>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b/>
          <w:bCs/>
          <w:sz w:val="32"/>
          <w:szCs w:val="32"/>
          <w:lang w:val="en-US"/>
        </w:rPr>
        <w:t>1.</w:t>
      </w:r>
      <w:r>
        <w:rPr>
          <w:rFonts w:ascii="方正仿宋_GBK" w:hAnsi="方正仿宋_GBK"/>
          <w:b/>
          <w:bCs/>
          <w:sz w:val="32"/>
          <w:szCs w:val="32"/>
          <w:lang w:eastAsia="zh-CN"/>
        </w:rPr>
        <w:t>总体情况</w:t>
      </w:r>
      <w:r>
        <w:rPr>
          <w:rFonts w:ascii="方正仿宋_GBK" w:hAnsi="方正仿宋_GBK"/>
          <w:sz w:val="32"/>
          <w:szCs w:val="32"/>
          <w:lang w:eastAsia="zh-CN"/>
        </w:rPr>
        <w:t>。</w:t>
      </w:r>
      <w:r>
        <w:rPr>
          <w:rFonts w:hint="eastAsia" w:ascii="方正仿宋_GBK" w:hAnsi="方正仿宋_GBK" w:eastAsia="方正仿宋_GBK" w:cs="方正仿宋_GBK"/>
          <w:sz w:val="32"/>
          <w:szCs w:val="32"/>
          <w:lang w:val="en-US"/>
        </w:rPr>
        <w:t>2020</w:t>
      </w:r>
      <w:r>
        <w:rPr>
          <w:rFonts w:ascii="方正仿宋_GBK" w:hAnsi="方正仿宋_GBK"/>
          <w:sz w:val="32"/>
          <w:szCs w:val="32"/>
          <w:lang w:eastAsia="zh-CN"/>
        </w:rPr>
        <w:t>年度收入总计</w:t>
      </w:r>
      <w:r>
        <w:rPr>
          <w:rFonts w:hint="eastAsia" w:ascii="方正仿宋_GBK" w:hAnsi="方正仿宋_GBK" w:eastAsia="方正仿宋_GBK" w:cs="方正仿宋_GBK"/>
          <w:sz w:val="32"/>
          <w:szCs w:val="32"/>
          <w:lang w:val="en-US"/>
        </w:rPr>
        <w:t>4,457.23</w:t>
      </w:r>
      <w:r>
        <w:rPr>
          <w:rFonts w:ascii="方正仿宋_GBK" w:hAnsi="方正仿宋_GBK"/>
          <w:sz w:val="32"/>
          <w:szCs w:val="32"/>
          <w:lang w:eastAsia="zh-CN"/>
        </w:rPr>
        <w:t>万元，其中一般公共预算财政拨款收入</w:t>
      </w:r>
      <w:r>
        <w:rPr>
          <w:rFonts w:hint="eastAsia" w:ascii="方正仿宋_GBK" w:hAnsi="方正仿宋_GBK" w:eastAsia="方正仿宋_GBK" w:cs="方正仿宋_GBK"/>
          <w:sz w:val="32"/>
          <w:szCs w:val="32"/>
          <w:lang w:val="en-US"/>
        </w:rPr>
        <w:t>2991.93</w:t>
      </w:r>
      <w:r>
        <w:rPr>
          <w:rFonts w:ascii="方正仿宋_GBK" w:hAnsi="方正仿宋_GBK"/>
          <w:sz w:val="32"/>
          <w:szCs w:val="32"/>
          <w:lang w:eastAsia="zh-CN"/>
        </w:rPr>
        <w:t>万元，其他收入</w:t>
      </w:r>
      <w:r>
        <w:rPr>
          <w:rFonts w:hint="eastAsia" w:ascii="方正仿宋_GBK" w:hAnsi="方正仿宋_GBK" w:eastAsia="方正仿宋_GBK" w:cs="方正仿宋_GBK"/>
          <w:sz w:val="32"/>
          <w:szCs w:val="32"/>
          <w:lang w:val="en-US"/>
        </w:rPr>
        <w:t>476.46</w:t>
      </w:r>
      <w:r>
        <w:rPr>
          <w:rFonts w:ascii="方正仿宋_GBK" w:hAnsi="方正仿宋_GBK"/>
          <w:sz w:val="32"/>
          <w:szCs w:val="32"/>
          <w:lang w:eastAsia="zh-CN"/>
        </w:rPr>
        <w:t>万元，年初结转和结余资金</w:t>
      </w:r>
      <w:r>
        <w:rPr>
          <w:rFonts w:hint="eastAsia" w:ascii="方正仿宋_GBK" w:hAnsi="方正仿宋_GBK" w:eastAsia="方正仿宋_GBK" w:cs="方正仿宋_GBK"/>
          <w:sz w:val="32"/>
          <w:szCs w:val="32"/>
          <w:lang w:val="en-US"/>
        </w:rPr>
        <w:t>988.85</w:t>
      </w:r>
      <w:r>
        <w:rPr>
          <w:rFonts w:ascii="方正仿宋_GBK" w:hAnsi="方正仿宋_GBK"/>
          <w:sz w:val="32"/>
          <w:szCs w:val="32"/>
          <w:lang w:eastAsia="zh-CN"/>
        </w:rPr>
        <w:t>万元，收入较上年决算数减少</w:t>
      </w:r>
      <w:r>
        <w:rPr>
          <w:rFonts w:hint="eastAsia" w:ascii="方正仿宋_GBK" w:hAnsi="方正仿宋_GBK" w:eastAsia="方正仿宋_GBK" w:cs="方正仿宋_GBK"/>
          <w:sz w:val="32"/>
          <w:szCs w:val="32"/>
          <w:lang w:val="en-US"/>
        </w:rPr>
        <w:t>2,918.12</w:t>
      </w:r>
      <w:r>
        <w:rPr>
          <w:rFonts w:ascii="方正仿宋_GBK" w:hAnsi="方正仿宋_GBK"/>
          <w:sz w:val="32"/>
          <w:szCs w:val="32"/>
          <w:lang w:eastAsia="zh-CN"/>
        </w:rPr>
        <w:t>万元、下降</w:t>
      </w:r>
      <w:r>
        <w:rPr>
          <w:rFonts w:hint="eastAsia" w:ascii="方正仿宋_GBK" w:hAnsi="方正仿宋_GBK" w:eastAsia="方正仿宋_GBK" w:cs="方正仿宋_GBK"/>
          <w:sz w:val="32"/>
          <w:szCs w:val="32"/>
          <w:lang w:val="en-US"/>
        </w:rPr>
        <w:t>39.6%</w:t>
      </w:r>
      <w:r>
        <w:rPr>
          <w:rFonts w:ascii="方正仿宋_GBK" w:hAnsi="方正仿宋_GBK"/>
          <w:sz w:val="32"/>
          <w:szCs w:val="32"/>
          <w:lang w:eastAsia="zh-CN"/>
        </w:rPr>
        <w:t>，主要原因是项目拨款减少。支出总计</w:t>
      </w:r>
      <w:r>
        <w:rPr>
          <w:rFonts w:hint="eastAsia" w:ascii="方正仿宋_GBK" w:hAnsi="方正仿宋_GBK" w:eastAsia="方正仿宋_GBK" w:cs="方正仿宋_GBK"/>
          <w:sz w:val="32"/>
          <w:szCs w:val="32"/>
          <w:lang w:val="en-US"/>
        </w:rPr>
        <w:t>4,457.23</w:t>
      </w:r>
      <w:r>
        <w:rPr>
          <w:rFonts w:ascii="方正仿宋_GBK" w:hAnsi="方正仿宋_GBK"/>
          <w:sz w:val="32"/>
          <w:szCs w:val="32"/>
          <w:lang w:eastAsia="zh-CN"/>
        </w:rPr>
        <w:t>万元，其中一般公共服务支出</w:t>
      </w:r>
      <w:r>
        <w:rPr>
          <w:rFonts w:hint="eastAsia" w:ascii="方正仿宋_GBK" w:hAnsi="方正仿宋_GBK" w:eastAsia="方正仿宋_GBK" w:cs="方正仿宋_GBK"/>
          <w:sz w:val="32"/>
          <w:szCs w:val="32"/>
          <w:lang w:val="en-US"/>
        </w:rPr>
        <w:t>2.76</w:t>
      </w:r>
      <w:r>
        <w:rPr>
          <w:rFonts w:ascii="方正仿宋_GBK" w:hAnsi="方正仿宋_GBK"/>
          <w:sz w:val="32"/>
          <w:szCs w:val="32"/>
          <w:lang w:eastAsia="zh-CN"/>
        </w:rPr>
        <w:t>万元，社会保障和就业支出</w:t>
      </w:r>
      <w:r>
        <w:rPr>
          <w:rFonts w:hint="eastAsia" w:ascii="方正仿宋_GBK" w:hAnsi="方正仿宋_GBK" w:eastAsia="方正仿宋_GBK" w:cs="方正仿宋_GBK"/>
          <w:sz w:val="32"/>
          <w:szCs w:val="32"/>
          <w:lang w:val="en-US"/>
        </w:rPr>
        <w:t>107.63</w:t>
      </w:r>
      <w:r>
        <w:rPr>
          <w:rFonts w:ascii="方正仿宋_GBK" w:hAnsi="方正仿宋_GBK"/>
          <w:sz w:val="32"/>
          <w:szCs w:val="32"/>
          <w:lang w:eastAsia="zh-CN"/>
        </w:rPr>
        <w:t>万元，卫生健康支出</w:t>
      </w:r>
      <w:r>
        <w:rPr>
          <w:rFonts w:hint="eastAsia" w:ascii="方正仿宋_GBK" w:hAnsi="方正仿宋_GBK" w:eastAsia="方正仿宋_GBK" w:cs="方正仿宋_GBK"/>
          <w:sz w:val="32"/>
          <w:szCs w:val="32"/>
          <w:lang w:val="en-US"/>
        </w:rPr>
        <w:t>29.74</w:t>
      </w:r>
      <w:r>
        <w:rPr>
          <w:rFonts w:ascii="方正仿宋_GBK" w:hAnsi="方正仿宋_GBK"/>
          <w:sz w:val="32"/>
          <w:szCs w:val="32"/>
          <w:lang w:eastAsia="zh-CN"/>
        </w:rPr>
        <w:t>万元，节能环保支出</w:t>
      </w:r>
      <w:r>
        <w:rPr>
          <w:rFonts w:hint="eastAsia" w:ascii="方正仿宋_GBK" w:hAnsi="方正仿宋_GBK" w:eastAsia="方正仿宋_GBK" w:cs="方正仿宋_GBK"/>
          <w:sz w:val="32"/>
          <w:szCs w:val="32"/>
          <w:lang w:val="en-US"/>
        </w:rPr>
        <w:t>1782.13</w:t>
      </w:r>
      <w:r>
        <w:rPr>
          <w:rFonts w:ascii="方正仿宋_GBK" w:hAnsi="方正仿宋_GBK"/>
          <w:sz w:val="32"/>
          <w:szCs w:val="32"/>
          <w:lang w:eastAsia="zh-CN"/>
        </w:rPr>
        <w:t>万元，农林水支出</w:t>
      </w:r>
      <w:r>
        <w:rPr>
          <w:rFonts w:hint="eastAsia" w:ascii="方正仿宋_GBK" w:hAnsi="方正仿宋_GBK" w:eastAsia="方正仿宋_GBK" w:cs="方正仿宋_GBK"/>
          <w:sz w:val="32"/>
          <w:szCs w:val="32"/>
          <w:lang w:val="en-US"/>
        </w:rPr>
        <w:t>1044.42</w:t>
      </w:r>
      <w:r>
        <w:rPr>
          <w:rFonts w:ascii="方正仿宋_GBK" w:hAnsi="方正仿宋_GBK"/>
          <w:sz w:val="32"/>
          <w:szCs w:val="32"/>
          <w:lang w:eastAsia="zh-CN"/>
        </w:rPr>
        <w:t>万元，住房保障支出</w:t>
      </w:r>
      <w:r>
        <w:rPr>
          <w:rFonts w:hint="eastAsia" w:ascii="方正仿宋_GBK" w:hAnsi="方正仿宋_GBK" w:eastAsia="方正仿宋_GBK" w:cs="方正仿宋_GBK"/>
          <w:sz w:val="32"/>
          <w:szCs w:val="32"/>
          <w:lang w:val="en-US"/>
        </w:rPr>
        <w:t>34.65</w:t>
      </w:r>
      <w:r>
        <w:rPr>
          <w:rFonts w:ascii="方正仿宋_GBK" w:hAnsi="方正仿宋_GBK"/>
          <w:sz w:val="32"/>
          <w:szCs w:val="32"/>
          <w:lang w:eastAsia="zh-CN"/>
        </w:rPr>
        <w:t>万元，其他支出</w:t>
      </w:r>
      <w:r>
        <w:rPr>
          <w:rFonts w:hint="eastAsia" w:ascii="方正仿宋_GBK" w:hAnsi="方正仿宋_GBK" w:eastAsia="方正仿宋_GBK" w:cs="方正仿宋_GBK"/>
          <w:sz w:val="32"/>
          <w:szCs w:val="32"/>
          <w:lang w:val="en-US"/>
        </w:rPr>
        <w:t>7.51</w:t>
      </w:r>
      <w:r>
        <w:rPr>
          <w:rFonts w:ascii="方正仿宋_GBK" w:hAnsi="方正仿宋_GBK"/>
          <w:sz w:val="32"/>
          <w:szCs w:val="32"/>
          <w:lang w:eastAsia="zh-CN"/>
        </w:rPr>
        <w:t>万元，年末结转和结余</w:t>
      </w:r>
      <w:r>
        <w:rPr>
          <w:rFonts w:hint="eastAsia" w:ascii="方正仿宋_GBK" w:hAnsi="方正仿宋_GBK" w:eastAsia="方正仿宋_GBK" w:cs="方正仿宋_GBK"/>
          <w:sz w:val="32"/>
          <w:szCs w:val="32"/>
          <w:lang w:val="en-US"/>
        </w:rPr>
        <w:t>1448.4</w:t>
      </w:r>
      <w:r>
        <w:rPr>
          <w:rFonts w:ascii="方正仿宋_GBK" w:hAnsi="方正仿宋_GBK"/>
          <w:sz w:val="32"/>
          <w:szCs w:val="32"/>
          <w:lang w:eastAsia="zh-CN"/>
        </w:rPr>
        <w:t>万元，支出较上年决算数减少</w:t>
      </w:r>
      <w:r>
        <w:rPr>
          <w:rFonts w:hint="eastAsia" w:ascii="方正仿宋_GBK" w:hAnsi="方正仿宋_GBK" w:eastAsia="方正仿宋_GBK" w:cs="方正仿宋_GBK"/>
          <w:sz w:val="32"/>
          <w:szCs w:val="32"/>
          <w:lang w:val="en-US"/>
        </w:rPr>
        <w:t>2,918.12</w:t>
      </w:r>
      <w:r>
        <w:rPr>
          <w:rFonts w:ascii="方正仿宋_GBK" w:hAnsi="方正仿宋_GBK"/>
          <w:sz w:val="32"/>
          <w:szCs w:val="32"/>
          <w:lang w:eastAsia="zh-CN"/>
        </w:rPr>
        <w:t>万元、下降</w:t>
      </w:r>
      <w:r>
        <w:rPr>
          <w:rFonts w:hint="eastAsia" w:ascii="方正仿宋_GBK" w:hAnsi="方正仿宋_GBK" w:eastAsia="方正仿宋_GBK" w:cs="方正仿宋_GBK"/>
          <w:sz w:val="32"/>
          <w:szCs w:val="32"/>
          <w:lang w:val="en-US"/>
        </w:rPr>
        <w:t>39.6%</w:t>
      </w:r>
      <w:r>
        <w:rPr>
          <w:rFonts w:ascii="方正仿宋_GBK" w:hAnsi="方正仿宋_GBK"/>
          <w:sz w:val="32"/>
          <w:szCs w:val="32"/>
          <w:lang w:eastAsia="zh-CN"/>
        </w:rPr>
        <w:t>，主要原因是项目支出减少。</w:t>
      </w:r>
    </w:p>
    <w:p w14:paraId="6B4B9AAF">
      <w:pPr>
        <w:autoSpaceDE w:val="0"/>
        <w:autoSpaceDN/>
        <w:spacing w:line="500" w:lineRule="exact"/>
        <w:ind w:left="0" w:firstLine="643" w:firstLineChars="200"/>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b/>
          <w:bCs/>
          <w:sz w:val="32"/>
          <w:szCs w:val="32"/>
          <w:lang w:val="en-US"/>
        </w:rPr>
        <w:t>2.</w:t>
      </w:r>
      <w:r>
        <w:rPr>
          <w:rFonts w:ascii="方正仿宋_GBK" w:hAnsi="方正仿宋_GBK"/>
          <w:b/>
          <w:bCs/>
          <w:sz w:val="32"/>
          <w:szCs w:val="32"/>
          <w:lang w:eastAsia="zh-CN"/>
        </w:rPr>
        <w:t>收入情况。</w:t>
      </w:r>
      <w:r>
        <w:rPr>
          <w:rFonts w:hint="eastAsia" w:ascii="方正仿宋_GBK" w:hAnsi="方正仿宋_GBK" w:eastAsia="方正仿宋_GBK" w:cs="方正仿宋_GBK"/>
          <w:sz w:val="32"/>
          <w:szCs w:val="32"/>
          <w:lang w:val="en-US"/>
        </w:rPr>
        <w:t>2020</w:t>
      </w:r>
      <w:r>
        <w:rPr>
          <w:rFonts w:ascii="方正仿宋_GBK" w:hAnsi="方正仿宋_GBK"/>
          <w:sz w:val="32"/>
          <w:szCs w:val="32"/>
          <w:lang w:eastAsia="zh-CN"/>
        </w:rPr>
        <w:t>年度收入合计</w:t>
      </w:r>
      <w:r>
        <w:rPr>
          <w:rFonts w:hint="eastAsia" w:ascii="方正仿宋_GBK" w:hAnsi="方正仿宋_GBK" w:eastAsia="方正仿宋_GBK" w:cs="方正仿宋_GBK"/>
          <w:sz w:val="32"/>
          <w:szCs w:val="32"/>
          <w:lang w:val="en-US"/>
        </w:rPr>
        <w:t>3,468.39</w:t>
      </w:r>
      <w:r>
        <w:rPr>
          <w:rFonts w:ascii="方正仿宋_GBK" w:hAnsi="方正仿宋_GBK"/>
          <w:sz w:val="32"/>
          <w:szCs w:val="32"/>
          <w:lang w:eastAsia="zh-CN"/>
        </w:rPr>
        <w:t>万元，较上年决算数减少</w:t>
      </w:r>
      <w:r>
        <w:rPr>
          <w:rFonts w:hint="eastAsia" w:ascii="方正仿宋_GBK" w:hAnsi="方正仿宋_GBK" w:eastAsia="方正仿宋_GBK" w:cs="方正仿宋_GBK"/>
          <w:sz w:val="32"/>
          <w:szCs w:val="32"/>
          <w:lang w:val="en-US"/>
        </w:rPr>
        <w:t>2,906.96</w:t>
      </w:r>
      <w:r>
        <w:rPr>
          <w:rFonts w:ascii="方正仿宋_GBK" w:hAnsi="方正仿宋_GBK"/>
          <w:sz w:val="32"/>
          <w:szCs w:val="32"/>
          <w:lang w:eastAsia="zh-CN"/>
        </w:rPr>
        <w:t>万元，下降</w:t>
      </w:r>
      <w:r>
        <w:rPr>
          <w:rFonts w:hint="eastAsia" w:ascii="方正仿宋_GBK" w:hAnsi="方正仿宋_GBK" w:eastAsia="方正仿宋_GBK" w:cs="方正仿宋_GBK"/>
          <w:sz w:val="32"/>
          <w:szCs w:val="32"/>
          <w:lang w:val="en-US"/>
        </w:rPr>
        <w:t>45.6%</w:t>
      </w:r>
      <w:r>
        <w:rPr>
          <w:rFonts w:ascii="方正仿宋_GBK" w:hAnsi="方正仿宋_GBK"/>
          <w:sz w:val="32"/>
          <w:szCs w:val="32"/>
          <w:lang w:eastAsia="zh-CN"/>
        </w:rPr>
        <w:t>，主要原因是项目拨款减少。其中：财政拨款收入</w:t>
      </w:r>
      <w:r>
        <w:rPr>
          <w:rFonts w:hint="eastAsia" w:ascii="方正仿宋_GBK" w:hAnsi="方正仿宋_GBK" w:eastAsia="方正仿宋_GBK" w:cs="方正仿宋_GBK"/>
          <w:sz w:val="32"/>
          <w:szCs w:val="32"/>
          <w:lang w:val="en-US"/>
        </w:rPr>
        <w:t>2,991.93</w:t>
      </w:r>
      <w:r>
        <w:rPr>
          <w:rFonts w:ascii="方正仿宋_GBK" w:hAnsi="方正仿宋_GBK"/>
          <w:sz w:val="32"/>
          <w:szCs w:val="32"/>
          <w:lang w:eastAsia="zh-CN"/>
        </w:rPr>
        <w:t>万元，占</w:t>
      </w:r>
      <w:r>
        <w:rPr>
          <w:rFonts w:hint="eastAsia" w:ascii="方正仿宋_GBK" w:hAnsi="方正仿宋_GBK" w:eastAsia="方正仿宋_GBK" w:cs="方正仿宋_GBK"/>
          <w:sz w:val="32"/>
          <w:szCs w:val="32"/>
          <w:lang w:val="en-US"/>
        </w:rPr>
        <w:t>86.3%</w:t>
      </w:r>
      <w:r>
        <w:rPr>
          <w:rFonts w:ascii="方正仿宋_GBK" w:hAnsi="方正仿宋_GBK"/>
          <w:sz w:val="32"/>
          <w:szCs w:val="32"/>
          <w:lang w:eastAsia="zh-CN"/>
        </w:rPr>
        <w:t>；其他收入</w:t>
      </w:r>
      <w:r>
        <w:rPr>
          <w:rFonts w:hint="eastAsia" w:ascii="方正仿宋_GBK" w:hAnsi="方正仿宋_GBK" w:eastAsia="方正仿宋_GBK" w:cs="方正仿宋_GBK"/>
          <w:sz w:val="32"/>
          <w:szCs w:val="32"/>
          <w:lang w:val="en-US"/>
        </w:rPr>
        <w:t>476.46</w:t>
      </w:r>
      <w:r>
        <w:rPr>
          <w:rFonts w:ascii="方正仿宋_GBK" w:hAnsi="方正仿宋_GBK"/>
          <w:sz w:val="32"/>
          <w:szCs w:val="32"/>
          <w:lang w:eastAsia="zh-CN"/>
        </w:rPr>
        <w:t>万元，占</w:t>
      </w:r>
      <w:r>
        <w:rPr>
          <w:rFonts w:hint="eastAsia" w:ascii="方正仿宋_GBK" w:hAnsi="方正仿宋_GBK" w:eastAsia="方正仿宋_GBK" w:cs="方正仿宋_GBK"/>
          <w:sz w:val="32"/>
          <w:szCs w:val="32"/>
          <w:lang w:val="en-US"/>
        </w:rPr>
        <w:t>13.7%</w:t>
      </w:r>
      <w:r>
        <w:rPr>
          <w:rFonts w:ascii="方正仿宋_GBK" w:hAnsi="方正仿宋_GBK"/>
          <w:sz w:val="32"/>
          <w:szCs w:val="32"/>
          <w:lang w:eastAsia="zh-CN"/>
        </w:rPr>
        <w:t>。此外，年初结转和结余</w:t>
      </w:r>
      <w:r>
        <w:rPr>
          <w:rFonts w:hint="eastAsia" w:ascii="方正仿宋_GBK" w:hAnsi="方正仿宋_GBK" w:eastAsia="方正仿宋_GBK" w:cs="方正仿宋_GBK"/>
          <w:sz w:val="32"/>
          <w:szCs w:val="32"/>
          <w:lang w:val="en-US"/>
        </w:rPr>
        <w:t>988.85</w:t>
      </w:r>
      <w:r>
        <w:rPr>
          <w:rFonts w:ascii="方正仿宋_GBK" w:hAnsi="方正仿宋_GBK"/>
          <w:sz w:val="32"/>
          <w:szCs w:val="32"/>
          <w:lang w:eastAsia="zh-CN"/>
        </w:rPr>
        <w:t>万元。</w:t>
      </w:r>
    </w:p>
    <w:p w14:paraId="40A7A45A">
      <w:pPr>
        <w:autoSpaceDE w:val="0"/>
        <w:autoSpaceDN/>
        <w:spacing w:line="500" w:lineRule="exact"/>
        <w:ind w:left="0" w:firstLine="643" w:firstLineChars="200"/>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b/>
          <w:bCs/>
          <w:sz w:val="32"/>
          <w:szCs w:val="32"/>
          <w:lang w:val="en-US"/>
        </w:rPr>
        <w:t>3.</w:t>
      </w:r>
      <w:r>
        <w:rPr>
          <w:rFonts w:ascii="方正仿宋_GBK" w:hAnsi="方正仿宋_GBK"/>
          <w:b/>
          <w:bCs/>
          <w:sz w:val="32"/>
          <w:szCs w:val="32"/>
          <w:lang w:eastAsia="zh-CN"/>
        </w:rPr>
        <w:t>支出情况。</w:t>
      </w:r>
      <w:r>
        <w:rPr>
          <w:rFonts w:hint="eastAsia" w:ascii="方正仿宋_GBK" w:hAnsi="方正仿宋_GBK" w:eastAsia="方正仿宋_GBK" w:cs="方正仿宋_GBK"/>
          <w:sz w:val="32"/>
          <w:szCs w:val="32"/>
          <w:lang w:val="en-US"/>
        </w:rPr>
        <w:t>2020</w:t>
      </w:r>
      <w:r>
        <w:rPr>
          <w:rFonts w:ascii="方正仿宋_GBK" w:hAnsi="方正仿宋_GBK"/>
          <w:sz w:val="32"/>
          <w:szCs w:val="32"/>
          <w:lang w:eastAsia="zh-CN"/>
        </w:rPr>
        <w:t>年度支出合计</w:t>
      </w:r>
      <w:r>
        <w:rPr>
          <w:rFonts w:hint="eastAsia" w:ascii="方正仿宋_GBK" w:hAnsi="方正仿宋_GBK" w:eastAsia="方正仿宋_GBK" w:cs="方正仿宋_GBK"/>
          <w:sz w:val="32"/>
          <w:szCs w:val="32"/>
          <w:lang w:val="en-US"/>
        </w:rPr>
        <w:t>3,008.84</w:t>
      </w:r>
      <w:r>
        <w:rPr>
          <w:rFonts w:ascii="方正仿宋_GBK" w:hAnsi="方正仿宋_GBK"/>
          <w:sz w:val="32"/>
          <w:szCs w:val="32"/>
          <w:lang w:eastAsia="zh-CN"/>
        </w:rPr>
        <w:t>万元，较上年决算数减少</w:t>
      </w:r>
      <w:r>
        <w:rPr>
          <w:rFonts w:hint="eastAsia" w:ascii="方正仿宋_GBK" w:hAnsi="方正仿宋_GBK" w:eastAsia="方正仿宋_GBK" w:cs="方正仿宋_GBK"/>
          <w:sz w:val="32"/>
          <w:szCs w:val="32"/>
          <w:lang w:val="en-US"/>
        </w:rPr>
        <w:t>3,377.66</w:t>
      </w:r>
      <w:r>
        <w:rPr>
          <w:rFonts w:ascii="方正仿宋_GBK" w:hAnsi="方正仿宋_GBK"/>
          <w:sz w:val="32"/>
          <w:szCs w:val="32"/>
          <w:lang w:eastAsia="zh-CN"/>
        </w:rPr>
        <w:t>万元，下降</w:t>
      </w:r>
      <w:r>
        <w:rPr>
          <w:rFonts w:hint="eastAsia" w:ascii="方正仿宋_GBK" w:hAnsi="方正仿宋_GBK" w:eastAsia="方正仿宋_GBK" w:cs="方正仿宋_GBK"/>
          <w:sz w:val="32"/>
          <w:szCs w:val="32"/>
          <w:lang w:val="en-US"/>
        </w:rPr>
        <w:t>52.9%</w:t>
      </w:r>
      <w:r>
        <w:rPr>
          <w:rFonts w:ascii="方正仿宋_GBK" w:hAnsi="方正仿宋_GBK"/>
          <w:sz w:val="32"/>
          <w:szCs w:val="32"/>
          <w:lang w:eastAsia="zh-CN"/>
        </w:rPr>
        <w:t>，主要原因是项目支出减少。其中：基本支出</w:t>
      </w:r>
      <w:r>
        <w:rPr>
          <w:rFonts w:hint="eastAsia" w:ascii="方正仿宋_GBK" w:hAnsi="方正仿宋_GBK" w:eastAsia="方正仿宋_GBK" w:cs="方正仿宋_GBK"/>
          <w:sz w:val="32"/>
          <w:szCs w:val="32"/>
          <w:lang w:val="en-US"/>
        </w:rPr>
        <w:t xml:space="preserve"> 718.52</w:t>
      </w:r>
      <w:r>
        <w:rPr>
          <w:rFonts w:ascii="方正仿宋_GBK" w:hAnsi="方正仿宋_GBK"/>
          <w:sz w:val="32"/>
          <w:szCs w:val="32"/>
          <w:lang w:eastAsia="zh-CN"/>
        </w:rPr>
        <w:t>万元，占</w:t>
      </w:r>
      <w:r>
        <w:rPr>
          <w:rFonts w:hint="eastAsia" w:ascii="方正仿宋_GBK" w:hAnsi="方正仿宋_GBK" w:eastAsia="方正仿宋_GBK" w:cs="方正仿宋_GBK"/>
          <w:sz w:val="32"/>
          <w:szCs w:val="32"/>
          <w:lang w:val="en-US"/>
        </w:rPr>
        <w:t>23.9%</w:t>
      </w:r>
      <w:r>
        <w:rPr>
          <w:rFonts w:ascii="方正仿宋_GBK" w:hAnsi="方正仿宋_GBK"/>
          <w:sz w:val="32"/>
          <w:szCs w:val="32"/>
          <w:lang w:eastAsia="zh-CN"/>
        </w:rPr>
        <w:t>；项目支出</w:t>
      </w:r>
      <w:r>
        <w:rPr>
          <w:rFonts w:hint="eastAsia" w:ascii="方正仿宋_GBK" w:hAnsi="方正仿宋_GBK" w:eastAsia="方正仿宋_GBK" w:cs="方正仿宋_GBK"/>
          <w:sz w:val="32"/>
          <w:szCs w:val="32"/>
          <w:lang w:val="en-US"/>
        </w:rPr>
        <w:t>2,290.32</w:t>
      </w:r>
      <w:r>
        <w:rPr>
          <w:rFonts w:ascii="方正仿宋_GBK" w:hAnsi="方正仿宋_GBK"/>
          <w:sz w:val="32"/>
          <w:szCs w:val="32"/>
          <w:lang w:eastAsia="zh-CN"/>
        </w:rPr>
        <w:t>万元，占</w:t>
      </w:r>
      <w:r>
        <w:rPr>
          <w:rFonts w:hint="eastAsia" w:ascii="方正仿宋_GBK" w:hAnsi="方正仿宋_GBK" w:eastAsia="方正仿宋_GBK" w:cs="方正仿宋_GBK"/>
          <w:sz w:val="32"/>
          <w:szCs w:val="32"/>
          <w:lang w:val="en-US"/>
        </w:rPr>
        <w:t>76.1%</w:t>
      </w:r>
      <w:r>
        <w:rPr>
          <w:rFonts w:ascii="方正仿宋_GBK" w:hAnsi="方正仿宋_GBK"/>
          <w:sz w:val="32"/>
          <w:szCs w:val="32"/>
          <w:lang w:eastAsia="zh-CN"/>
        </w:rPr>
        <w:t>。</w:t>
      </w:r>
    </w:p>
    <w:p w14:paraId="4A90E128">
      <w:pPr>
        <w:autoSpaceDE w:val="0"/>
        <w:autoSpaceDN/>
        <w:spacing w:line="500" w:lineRule="exact"/>
        <w:ind w:left="0" w:firstLine="643" w:firstLineChars="200"/>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b/>
          <w:bCs/>
          <w:sz w:val="32"/>
          <w:szCs w:val="32"/>
          <w:lang w:val="en-US"/>
        </w:rPr>
        <w:t>4.</w:t>
      </w:r>
      <w:r>
        <w:rPr>
          <w:rFonts w:ascii="方正仿宋_GBK" w:hAnsi="方正仿宋_GBK"/>
          <w:b/>
          <w:bCs/>
          <w:sz w:val="32"/>
          <w:szCs w:val="32"/>
          <w:lang w:eastAsia="zh-CN"/>
        </w:rPr>
        <w:t>结转结余情况</w:t>
      </w:r>
      <w:r>
        <w:rPr>
          <w:rFonts w:ascii="方正仿宋_GBK" w:hAnsi="方正仿宋_GBK"/>
          <w:sz w:val="32"/>
          <w:szCs w:val="32"/>
          <w:lang w:eastAsia="zh-CN"/>
        </w:rPr>
        <w:t>。</w:t>
      </w:r>
      <w:r>
        <w:rPr>
          <w:rFonts w:hint="eastAsia" w:ascii="方正仿宋_GBK" w:hAnsi="方正仿宋_GBK" w:eastAsia="方正仿宋_GBK" w:cs="方正仿宋_GBK"/>
          <w:sz w:val="32"/>
          <w:szCs w:val="32"/>
          <w:lang w:val="en-US"/>
        </w:rPr>
        <w:t>2020</w:t>
      </w:r>
      <w:r>
        <w:rPr>
          <w:rFonts w:ascii="方正仿宋_GBK" w:hAnsi="方正仿宋_GBK"/>
          <w:sz w:val="32"/>
          <w:szCs w:val="32"/>
          <w:lang w:eastAsia="zh-CN"/>
        </w:rPr>
        <w:t>年度年末结转和结余</w:t>
      </w:r>
      <w:r>
        <w:rPr>
          <w:rFonts w:hint="eastAsia" w:ascii="方正仿宋_GBK" w:hAnsi="方正仿宋_GBK" w:eastAsia="方正仿宋_GBK" w:cs="方正仿宋_GBK"/>
          <w:sz w:val="32"/>
          <w:szCs w:val="32"/>
          <w:lang w:val="en-US"/>
        </w:rPr>
        <w:t>1,448.40</w:t>
      </w:r>
      <w:r>
        <w:rPr>
          <w:rFonts w:ascii="方正仿宋_GBK" w:hAnsi="方正仿宋_GBK"/>
          <w:sz w:val="32"/>
          <w:szCs w:val="32"/>
          <w:lang w:eastAsia="zh-CN"/>
        </w:rPr>
        <w:t>万元，较上年决算数增加</w:t>
      </w:r>
      <w:r>
        <w:rPr>
          <w:rFonts w:hint="eastAsia" w:ascii="方正仿宋_GBK" w:hAnsi="方正仿宋_GBK" w:eastAsia="方正仿宋_GBK" w:cs="方正仿宋_GBK"/>
          <w:sz w:val="32"/>
          <w:szCs w:val="32"/>
          <w:lang w:val="en-US"/>
        </w:rPr>
        <w:t>459.55</w:t>
      </w:r>
      <w:r>
        <w:rPr>
          <w:rFonts w:ascii="方正仿宋_GBK" w:hAnsi="方正仿宋_GBK"/>
          <w:sz w:val="32"/>
          <w:szCs w:val="32"/>
          <w:lang w:eastAsia="zh-CN"/>
        </w:rPr>
        <w:t>万元，增长</w:t>
      </w:r>
      <w:r>
        <w:rPr>
          <w:rFonts w:hint="eastAsia" w:ascii="方正仿宋_GBK" w:hAnsi="方正仿宋_GBK" w:eastAsia="方正仿宋_GBK" w:cs="方正仿宋_GBK"/>
          <w:sz w:val="32"/>
          <w:szCs w:val="32"/>
          <w:lang w:val="en-US"/>
        </w:rPr>
        <w:t>46.5%</w:t>
      </w:r>
      <w:r>
        <w:rPr>
          <w:rFonts w:ascii="方正仿宋_GBK" w:hAnsi="方正仿宋_GBK"/>
          <w:sz w:val="32"/>
          <w:szCs w:val="32"/>
          <w:lang w:eastAsia="zh-CN"/>
        </w:rPr>
        <w:t>，主要原因是项目建设进度较慢，按进度无法实现支出。</w:t>
      </w:r>
    </w:p>
    <w:p w14:paraId="031EE2A0">
      <w:pPr>
        <w:autoSpaceDE w:val="0"/>
        <w:autoSpaceDN/>
        <w:spacing w:line="500" w:lineRule="exact"/>
        <w:ind w:left="0" w:firstLine="640" w:firstLineChars="200"/>
        <w:rPr>
          <w:rFonts w:hint="default" w:ascii="方正楷体_GBK" w:hAnsi="方正楷体_GBK" w:eastAsia="方正楷体_GBK" w:cs="方正楷体_GBK"/>
          <w:sz w:val="32"/>
          <w:szCs w:val="32"/>
          <w:lang w:val="en-US"/>
        </w:rPr>
      </w:pPr>
      <w:r>
        <w:rPr>
          <w:rFonts w:ascii="方正楷体_GBK" w:hAnsi="方正楷体_GBK"/>
          <w:sz w:val="32"/>
          <w:szCs w:val="32"/>
          <w:lang w:eastAsia="zh-CN"/>
        </w:rPr>
        <w:t>（二）财政拨款收入支出决算总体情况说明</w:t>
      </w:r>
    </w:p>
    <w:p w14:paraId="3A6AA1E1">
      <w:pPr>
        <w:autoSpaceDE w:val="0"/>
        <w:autoSpaceDN/>
        <w:spacing w:line="500" w:lineRule="exact"/>
        <w:ind w:left="0" w:firstLine="800" w:firstLineChars="250"/>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lang w:val="en-US"/>
        </w:rPr>
        <w:t>2020</w:t>
      </w:r>
      <w:r>
        <w:rPr>
          <w:rFonts w:ascii="方正仿宋_GBK" w:hAnsi="方正仿宋_GBK"/>
          <w:sz w:val="32"/>
          <w:szCs w:val="32"/>
          <w:lang w:eastAsia="zh-CN"/>
        </w:rPr>
        <w:t>年度财政拨款收、支总计</w:t>
      </w:r>
      <w:r>
        <w:rPr>
          <w:rFonts w:hint="eastAsia" w:ascii="方正仿宋_GBK" w:hAnsi="方正仿宋_GBK" w:eastAsia="方正仿宋_GBK" w:cs="方正仿宋_GBK"/>
          <w:sz w:val="32"/>
          <w:szCs w:val="32"/>
          <w:lang w:val="en-US"/>
        </w:rPr>
        <w:t>3,980.78</w:t>
      </w:r>
      <w:r>
        <w:rPr>
          <w:rFonts w:ascii="方正仿宋_GBK" w:hAnsi="方正仿宋_GBK"/>
          <w:sz w:val="32"/>
          <w:szCs w:val="32"/>
          <w:lang w:eastAsia="zh-CN"/>
        </w:rPr>
        <w:t>万元。与</w:t>
      </w:r>
      <w:r>
        <w:rPr>
          <w:rFonts w:hint="eastAsia" w:ascii="方正仿宋_GBK" w:hAnsi="方正仿宋_GBK" w:eastAsia="方正仿宋_GBK" w:cs="方正仿宋_GBK"/>
          <w:sz w:val="32"/>
          <w:szCs w:val="32"/>
          <w:lang w:val="en-US"/>
        </w:rPr>
        <w:t>2019</w:t>
      </w:r>
      <w:r>
        <w:rPr>
          <w:rFonts w:ascii="方正仿宋_GBK" w:hAnsi="方正仿宋_GBK"/>
          <w:sz w:val="32"/>
          <w:szCs w:val="32"/>
          <w:lang w:eastAsia="zh-CN"/>
        </w:rPr>
        <w:t>年相比，财政拨款收、支总计各减少</w:t>
      </w:r>
      <w:r>
        <w:rPr>
          <w:rFonts w:hint="eastAsia" w:ascii="方正仿宋_GBK" w:hAnsi="方正仿宋_GBK" w:eastAsia="方正仿宋_GBK" w:cs="方正仿宋_GBK"/>
          <w:sz w:val="32"/>
          <w:szCs w:val="32"/>
          <w:lang w:val="en-US"/>
        </w:rPr>
        <w:t>3,394.57</w:t>
      </w:r>
      <w:r>
        <w:rPr>
          <w:rFonts w:ascii="方正仿宋_GBK" w:hAnsi="方正仿宋_GBK"/>
          <w:sz w:val="32"/>
          <w:szCs w:val="32"/>
          <w:lang w:eastAsia="zh-CN"/>
        </w:rPr>
        <w:t>万</w:t>
      </w:r>
      <w:r>
        <w:rPr>
          <w:rFonts w:hint="eastAsia" w:ascii="方正仿宋_GBK" w:hAnsi="方正仿宋_GBK" w:eastAsia="方正仿宋_GBK" w:cs="方正仿宋_GBK"/>
          <w:sz w:val="32"/>
          <w:szCs w:val="32"/>
          <w:lang w:eastAsia="zh-CN"/>
        </w:rPr>
        <w:t xml:space="preserve"> </w:t>
      </w:r>
      <w:r>
        <w:rPr>
          <w:rFonts w:ascii="方正仿宋_GBK" w:hAnsi="方正仿宋_GBK"/>
          <w:sz w:val="32"/>
          <w:szCs w:val="32"/>
          <w:lang w:eastAsia="zh-CN"/>
        </w:rPr>
        <w:t>元，下降</w:t>
      </w:r>
      <w:r>
        <w:rPr>
          <w:rFonts w:hint="eastAsia" w:ascii="方正仿宋_GBK" w:hAnsi="方正仿宋_GBK" w:eastAsia="方正仿宋_GBK" w:cs="方正仿宋_GBK"/>
          <w:sz w:val="32"/>
          <w:szCs w:val="32"/>
          <w:lang w:val="en-US"/>
        </w:rPr>
        <w:t>46%</w:t>
      </w:r>
      <w:r>
        <w:rPr>
          <w:rFonts w:ascii="方正仿宋_GBK" w:hAnsi="方正仿宋_GBK"/>
          <w:sz w:val="32"/>
          <w:szCs w:val="32"/>
          <w:lang w:eastAsia="zh-CN"/>
        </w:rPr>
        <w:t>。主要原因是项目拨款和支出减少。</w:t>
      </w:r>
    </w:p>
    <w:p w14:paraId="0887F7E0">
      <w:pPr>
        <w:autoSpaceDE w:val="0"/>
        <w:autoSpaceDN/>
        <w:spacing w:line="500" w:lineRule="exact"/>
        <w:ind w:left="0" w:firstLine="640" w:firstLineChars="200"/>
        <w:rPr>
          <w:rFonts w:hint="default" w:ascii="方正楷体_GBK" w:hAnsi="方正楷体_GBK" w:eastAsia="方正楷体_GBK" w:cs="方正楷体_GBK"/>
          <w:sz w:val="32"/>
          <w:szCs w:val="32"/>
          <w:lang w:val="en-US"/>
        </w:rPr>
      </w:pPr>
      <w:r>
        <w:rPr>
          <w:rFonts w:ascii="方正楷体_GBK" w:hAnsi="方正楷体_GBK"/>
          <w:sz w:val="32"/>
          <w:szCs w:val="32"/>
          <w:lang w:eastAsia="zh-CN"/>
        </w:rPr>
        <w:t>（三）一般公共预算财政拨款支出决算情况说明</w:t>
      </w:r>
    </w:p>
    <w:p w14:paraId="23C355EA">
      <w:pPr>
        <w:autoSpaceDE w:val="0"/>
        <w:autoSpaceDN/>
        <w:spacing w:line="500" w:lineRule="exact"/>
        <w:ind w:left="0" w:firstLine="643" w:firstLineChars="200"/>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b/>
          <w:bCs/>
          <w:sz w:val="32"/>
          <w:szCs w:val="32"/>
          <w:lang w:val="en-US"/>
        </w:rPr>
        <w:t>1.</w:t>
      </w:r>
      <w:r>
        <w:rPr>
          <w:rFonts w:ascii="方正仿宋_GBK" w:hAnsi="方正仿宋_GBK"/>
          <w:b/>
          <w:bCs/>
          <w:sz w:val="32"/>
          <w:szCs w:val="32"/>
          <w:lang w:eastAsia="zh-CN"/>
        </w:rPr>
        <w:t>收入情况。</w:t>
      </w:r>
      <w:r>
        <w:rPr>
          <w:rFonts w:hint="eastAsia" w:ascii="方正仿宋_GBK" w:hAnsi="方正仿宋_GBK" w:eastAsia="方正仿宋_GBK" w:cs="方正仿宋_GBK"/>
          <w:sz w:val="32"/>
          <w:szCs w:val="32"/>
          <w:lang w:val="en-US"/>
        </w:rPr>
        <w:t>2020</w:t>
      </w:r>
      <w:r>
        <w:rPr>
          <w:rFonts w:ascii="方正仿宋_GBK" w:hAnsi="方正仿宋_GBK"/>
          <w:sz w:val="32"/>
          <w:szCs w:val="32"/>
          <w:lang w:eastAsia="zh-CN"/>
        </w:rPr>
        <w:t>年度一般公共预算财政拨款收入</w:t>
      </w:r>
      <w:r>
        <w:rPr>
          <w:rFonts w:hint="eastAsia" w:ascii="方正仿宋_GBK" w:hAnsi="方正仿宋_GBK" w:eastAsia="方正仿宋_GBK" w:cs="方正仿宋_GBK"/>
          <w:sz w:val="32"/>
          <w:szCs w:val="32"/>
          <w:lang w:val="en-US"/>
        </w:rPr>
        <w:t>2,991.93</w:t>
      </w:r>
      <w:r>
        <w:rPr>
          <w:rFonts w:ascii="方正仿宋_GBK" w:hAnsi="方正仿宋_GBK"/>
          <w:sz w:val="32"/>
          <w:szCs w:val="32"/>
          <w:lang w:eastAsia="zh-CN"/>
        </w:rPr>
        <w:t>万元，较上年决算数减少</w:t>
      </w:r>
      <w:r>
        <w:rPr>
          <w:rFonts w:hint="eastAsia" w:ascii="方正仿宋_GBK" w:hAnsi="方正仿宋_GBK" w:eastAsia="方正仿宋_GBK" w:cs="方正仿宋_GBK"/>
          <w:sz w:val="32"/>
          <w:szCs w:val="32"/>
          <w:lang w:val="en-US"/>
        </w:rPr>
        <w:t>3,383.42</w:t>
      </w:r>
      <w:r>
        <w:rPr>
          <w:rFonts w:ascii="方正仿宋_GBK" w:hAnsi="方正仿宋_GBK"/>
          <w:sz w:val="32"/>
          <w:szCs w:val="32"/>
          <w:lang w:eastAsia="zh-CN"/>
        </w:rPr>
        <w:t>万元，下降</w:t>
      </w:r>
      <w:r>
        <w:rPr>
          <w:rFonts w:hint="eastAsia" w:ascii="方正仿宋_GBK" w:hAnsi="方正仿宋_GBK" w:eastAsia="方正仿宋_GBK" w:cs="方正仿宋_GBK"/>
          <w:sz w:val="32"/>
          <w:szCs w:val="32"/>
          <w:lang w:val="en-US"/>
        </w:rPr>
        <w:t>53.1%</w:t>
      </w:r>
      <w:r>
        <w:rPr>
          <w:rFonts w:ascii="方正仿宋_GBK" w:hAnsi="方正仿宋_GBK"/>
          <w:sz w:val="32"/>
          <w:szCs w:val="32"/>
          <w:lang w:eastAsia="zh-CN"/>
        </w:rPr>
        <w:t>。主要原因是项目拨款减少。较年初预算数</w:t>
      </w:r>
      <w:r>
        <w:rPr>
          <w:rFonts w:hint="eastAsia" w:ascii="方正仿宋_GBK" w:hAnsi="方正仿宋_GBK" w:eastAsia="方正仿宋_GBK" w:cs="方正仿宋_GBK"/>
          <w:sz w:val="32"/>
          <w:szCs w:val="32"/>
          <w:lang w:eastAsia="zh-CN"/>
        </w:rPr>
        <w:t xml:space="preserve"> </w:t>
      </w:r>
      <w:r>
        <w:rPr>
          <w:rFonts w:ascii="方正仿宋_GBK" w:hAnsi="方正仿宋_GBK"/>
          <w:sz w:val="32"/>
          <w:szCs w:val="32"/>
          <w:lang w:eastAsia="zh-CN"/>
        </w:rPr>
        <w:t>增加</w:t>
      </w:r>
      <w:r>
        <w:rPr>
          <w:rFonts w:hint="eastAsia" w:ascii="方正仿宋_GBK" w:hAnsi="方正仿宋_GBK" w:eastAsia="方正仿宋_GBK" w:cs="方正仿宋_GBK"/>
          <w:sz w:val="32"/>
          <w:szCs w:val="32"/>
          <w:lang w:val="en-US"/>
        </w:rPr>
        <w:t>2,398.66</w:t>
      </w:r>
      <w:r>
        <w:rPr>
          <w:rFonts w:ascii="方正仿宋_GBK" w:hAnsi="方正仿宋_GBK"/>
          <w:sz w:val="32"/>
          <w:szCs w:val="32"/>
          <w:lang w:eastAsia="zh-CN"/>
        </w:rPr>
        <w:t>万元，增长</w:t>
      </w:r>
      <w:r>
        <w:rPr>
          <w:rFonts w:hint="eastAsia" w:ascii="方正仿宋_GBK" w:hAnsi="方正仿宋_GBK" w:eastAsia="方正仿宋_GBK" w:cs="方正仿宋_GBK"/>
          <w:sz w:val="32"/>
          <w:szCs w:val="32"/>
          <w:lang w:val="en-US"/>
        </w:rPr>
        <w:t>404.3%</w:t>
      </w:r>
      <w:r>
        <w:rPr>
          <w:rFonts w:ascii="方正仿宋_GBK" w:hAnsi="方正仿宋_GBK"/>
          <w:sz w:val="32"/>
          <w:szCs w:val="32"/>
          <w:lang w:eastAsia="zh-CN"/>
        </w:rPr>
        <w:t>。主要原因是是年中追加安排基本</w:t>
      </w:r>
      <w:r>
        <w:rPr>
          <w:rFonts w:hint="eastAsia" w:ascii="方正仿宋_GBK" w:hAnsi="方正仿宋_GBK" w:eastAsia="方正仿宋_GBK" w:cs="方正仿宋_GBK"/>
          <w:sz w:val="32"/>
          <w:szCs w:val="32"/>
          <w:lang w:val="en-US"/>
        </w:rPr>
        <w:t>235.25</w:t>
      </w:r>
      <w:r>
        <w:rPr>
          <w:rFonts w:ascii="方正仿宋_GBK" w:hAnsi="方正仿宋_GBK"/>
          <w:sz w:val="32"/>
          <w:szCs w:val="32"/>
          <w:lang w:eastAsia="zh-CN"/>
        </w:rPr>
        <w:t>万元，安排项目支出预算</w:t>
      </w:r>
      <w:r>
        <w:rPr>
          <w:rFonts w:hint="eastAsia" w:ascii="方正仿宋_GBK" w:hAnsi="方正仿宋_GBK" w:eastAsia="方正仿宋_GBK" w:cs="方正仿宋_GBK"/>
          <w:sz w:val="32"/>
          <w:szCs w:val="32"/>
          <w:lang w:val="en-US"/>
        </w:rPr>
        <w:t>2163.41</w:t>
      </w:r>
      <w:r>
        <w:rPr>
          <w:rFonts w:ascii="方正仿宋_GBK" w:hAnsi="方正仿宋_GBK"/>
          <w:sz w:val="32"/>
          <w:szCs w:val="32"/>
          <w:lang w:eastAsia="zh-CN"/>
        </w:rPr>
        <w:t>万元。此外，年初财政拨款结转和结余</w:t>
      </w:r>
      <w:r>
        <w:rPr>
          <w:rFonts w:hint="eastAsia" w:ascii="方正仿宋_GBK" w:hAnsi="方正仿宋_GBK" w:eastAsia="方正仿宋_GBK" w:cs="方正仿宋_GBK"/>
          <w:sz w:val="32"/>
          <w:szCs w:val="32"/>
          <w:lang w:val="en-US"/>
        </w:rPr>
        <w:t>988.85</w:t>
      </w:r>
      <w:r>
        <w:rPr>
          <w:rFonts w:ascii="方正仿宋_GBK" w:hAnsi="方正仿宋_GBK"/>
          <w:sz w:val="32"/>
          <w:szCs w:val="32"/>
          <w:lang w:eastAsia="zh-CN"/>
        </w:rPr>
        <w:t>万元。</w:t>
      </w:r>
    </w:p>
    <w:p w14:paraId="32FA24D8">
      <w:pPr>
        <w:autoSpaceDE w:val="0"/>
        <w:autoSpaceDN/>
        <w:spacing w:line="500" w:lineRule="exact"/>
        <w:ind w:left="0" w:firstLine="643" w:firstLineChars="200"/>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b/>
          <w:bCs/>
          <w:sz w:val="32"/>
          <w:szCs w:val="32"/>
          <w:lang w:val="en-US"/>
        </w:rPr>
        <w:t>2.</w:t>
      </w:r>
      <w:r>
        <w:rPr>
          <w:rFonts w:ascii="方正仿宋_GBK" w:hAnsi="方正仿宋_GBK"/>
          <w:b/>
          <w:bCs/>
          <w:sz w:val="32"/>
          <w:szCs w:val="32"/>
          <w:lang w:eastAsia="zh-CN"/>
        </w:rPr>
        <w:t>支出情况。</w:t>
      </w:r>
      <w:r>
        <w:rPr>
          <w:rFonts w:hint="eastAsia" w:ascii="方正仿宋_GBK" w:hAnsi="方正仿宋_GBK" w:eastAsia="方正仿宋_GBK" w:cs="方正仿宋_GBK"/>
          <w:sz w:val="32"/>
          <w:szCs w:val="32"/>
          <w:lang w:val="en-US"/>
        </w:rPr>
        <w:t>2020</w:t>
      </w:r>
      <w:r>
        <w:rPr>
          <w:rFonts w:ascii="方正仿宋_GBK" w:hAnsi="方正仿宋_GBK"/>
          <w:sz w:val="32"/>
          <w:szCs w:val="32"/>
          <w:lang w:eastAsia="zh-CN"/>
        </w:rPr>
        <w:t>年度一般公共预算财政拨款支出</w:t>
      </w:r>
      <w:r>
        <w:rPr>
          <w:rFonts w:hint="eastAsia" w:ascii="方正仿宋_GBK" w:hAnsi="方正仿宋_GBK" w:eastAsia="方正仿宋_GBK" w:cs="方正仿宋_GBK"/>
          <w:sz w:val="32"/>
          <w:szCs w:val="32"/>
          <w:lang w:val="en-US"/>
        </w:rPr>
        <w:t>2,610.98</w:t>
      </w:r>
      <w:r>
        <w:rPr>
          <w:rFonts w:ascii="方正仿宋_GBK" w:hAnsi="方正仿宋_GBK"/>
          <w:sz w:val="32"/>
          <w:szCs w:val="32"/>
          <w:lang w:eastAsia="zh-CN"/>
        </w:rPr>
        <w:t>万元，较上年决算数减少</w:t>
      </w:r>
      <w:r>
        <w:rPr>
          <w:rFonts w:hint="eastAsia" w:ascii="方正仿宋_GBK" w:hAnsi="方正仿宋_GBK" w:eastAsia="方正仿宋_GBK" w:cs="方正仿宋_GBK"/>
          <w:sz w:val="32"/>
          <w:szCs w:val="32"/>
          <w:lang w:val="en-US"/>
        </w:rPr>
        <w:t>3,775.52</w:t>
      </w:r>
      <w:r>
        <w:rPr>
          <w:rFonts w:ascii="方正仿宋_GBK" w:hAnsi="方正仿宋_GBK"/>
          <w:sz w:val="32"/>
          <w:szCs w:val="32"/>
          <w:lang w:eastAsia="zh-CN"/>
        </w:rPr>
        <w:t>万元，下降</w:t>
      </w:r>
      <w:r>
        <w:rPr>
          <w:rFonts w:hint="eastAsia" w:ascii="方正仿宋_GBK" w:hAnsi="方正仿宋_GBK" w:eastAsia="方正仿宋_GBK" w:cs="方正仿宋_GBK"/>
          <w:sz w:val="32"/>
          <w:szCs w:val="32"/>
          <w:lang w:val="en-US"/>
        </w:rPr>
        <w:t>59.1%</w:t>
      </w:r>
      <w:r>
        <w:rPr>
          <w:rFonts w:ascii="方正仿宋_GBK" w:hAnsi="方正仿宋_GBK"/>
          <w:sz w:val="32"/>
          <w:szCs w:val="32"/>
          <w:lang w:eastAsia="zh-CN"/>
        </w:rPr>
        <w:t>。主要原因是主要原因是基本支出增加</w:t>
      </w:r>
      <w:r>
        <w:rPr>
          <w:rFonts w:hint="eastAsia" w:ascii="方正仿宋_GBK" w:hAnsi="方正仿宋_GBK" w:eastAsia="方正仿宋_GBK" w:cs="方正仿宋_GBK"/>
          <w:sz w:val="32"/>
          <w:szCs w:val="32"/>
          <w:lang w:val="en-US"/>
        </w:rPr>
        <w:t>109.76</w:t>
      </w:r>
      <w:r>
        <w:rPr>
          <w:rFonts w:ascii="方正仿宋_GBK" w:hAnsi="方正仿宋_GBK"/>
          <w:sz w:val="32"/>
          <w:szCs w:val="32"/>
          <w:lang w:eastAsia="zh-CN"/>
        </w:rPr>
        <w:t>万元，项目支出增加</w:t>
      </w:r>
      <w:r>
        <w:rPr>
          <w:rFonts w:hint="eastAsia" w:ascii="方正仿宋_GBK" w:hAnsi="方正仿宋_GBK" w:eastAsia="方正仿宋_GBK" w:cs="方正仿宋_GBK"/>
          <w:sz w:val="32"/>
          <w:szCs w:val="32"/>
          <w:lang w:val="en-US"/>
        </w:rPr>
        <w:t>3885.28</w:t>
      </w:r>
      <w:r>
        <w:rPr>
          <w:rFonts w:ascii="方正仿宋_GBK" w:hAnsi="方正仿宋_GBK"/>
          <w:sz w:val="32"/>
          <w:szCs w:val="32"/>
          <w:lang w:eastAsia="zh-CN"/>
        </w:rPr>
        <w:t>万元。较年初预算数增加</w:t>
      </w:r>
      <w:r>
        <w:rPr>
          <w:rFonts w:hint="eastAsia" w:ascii="方正仿宋_GBK" w:hAnsi="方正仿宋_GBK" w:eastAsia="方正仿宋_GBK" w:cs="方正仿宋_GBK"/>
          <w:sz w:val="32"/>
          <w:szCs w:val="32"/>
          <w:lang w:val="en-US"/>
        </w:rPr>
        <w:t>2,017.71</w:t>
      </w:r>
      <w:r>
        <w:rPr>
          <w:rFonts w:ascii="方正仿宋_GBK" w:hAnsi="方正仿宋_GBK"/>
          <w:sz w:val="32"/>
          <w:szCs w:val="32"/>
          <w:lang w:eastAsia="zh-CN"/>
        </w:rPr>
        <w:t>万元，增长</w:t>
      </w:r>
      <w:r>
        <w:rPr>
          <w:rFonts w:hint="eastAsia" w:ascii="方正仿宋_GBK" w:hAnsi="方正仿宋_GBK" w:eastAsia="方正仿宋_GBK" w:cs="方正仿宋_GBK"/>
          <w:sz w:val="32"/>
          <w:szCs w:val="32"/>
          <w:lang w:val="en-US"/>
        </w:rPr>
        <w:t>340.1%</w:t>
      </w:r>
      <w:r>
        <w:rPr>
          <w:rFonts w:ascii="方正仿宋_GBK" w:hAnsi="方正仿宋_GBK"/>
          <w:sz w:val="32"/>
          <w:szCs w:val="32"/>
          <w:lang w:eastAsia="zh-CN"/>
        </w:rPr>
        <w:t>。主要原因是基本支出增加</w:t>
      </w:r>
      <w:r>
        <w:rPr>
          <w:rFonts w:hint="eastAsia" w:ascii="方正仿宋_GBK" w:hAnsi="方正仿宋_GBK" w:eastAsia="方正仿宋_GBK" w:cs="方正仿宋_GBK"/>
          <w:sz w:val="32"/>
          <w:szCs w:val="32"/>
          <w:lang w:val="en-US"/>
        </w:rPr>
        <w:t>235.25</w:t>
      </w:r>
      <w:r>
        <w:rPr>
          <w:rFonts w:ascii="方正仿宋_GBK" w:hAnsi="方正仿宋_GBK"/>
          <w:sz w:val="32"/>
          <w:szCs w:val="32"/>
          <w:lang w:eastAsia="zh-CN"/>
        </w:rPr>
        <w:t>万元，项目支出增加</w:t>
      </w:r>
      <w:r>
        <w:rPr>
          <w:rFonts w:hint="eastAsia" w:ascii="方正仿宋_GBK" w:hAnsi="方正仿宋_GBK" w:eastAsia="方正仿宋_GBK" w:cs="方正仿宋_GBK"/>
          <w:sz w:val="32"/>
          <w:szCs w:val="32"/>
          <w:lang w:val="en-US"/>
        </w:rPr>
        <w:t>1782.46</w:t>
      </w:r>
      <w:r>
        <w:rPr>
          <w:rFonts w:ascii="方正仿宋_GBK" w:hAnsi="方正仿宋_GBK"/>
          <w:sz w:val="32"/>
          <w:szCs w:val="32"/>
          <w:lang w:eastAsia="zh-CN"/>
        </w:rPr>
        <w:t>万元。</w:t>
      </w:r>
    </w:p>
    <w:p w14:paraId="423FFD47">
      <w:pPr>
        <w:autoSpaceDE w:val="0"/>
        <w:autoSpaceDN/>
        <w:spacing w:line="500" w:lineRule="exact"/>
        <w:ind w:left="0" w:firstLine="643" w:firstLineChars="200"/>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b/>
          <w:bCs/>
          <w:sz w:val="32"/>
          <w:szCs w:val="32"/>
          <w:lang w:val="en-US"/>
        </w:rPr>
        <w:t>3.</w:t>
      </w:r>
      <w:r>
        <w:rPr>
          <w:rFonts w:ascii="方正仿宋_GBK" w:hAnsi="方正仿宋_GBK"/>
          <w:b/>
          <w:bCs/>
          <w:sz w:val="32"/>
          <w:szCs w:val="32"/>
          <w:lang w:eastAsia="zh-CN"/>
        </w:rPr>
        <w:t>结转结余情况。</w:t>
      </w:r>
      <w:r>
        <w:rPr>
          <w:rFonts w:hint="eastAsia" w:ascii="方正仿宋_GBK" w:hAnsi="方正仿宋_GBK" w:eastAsia="方正仿宋_GBK" w:cs="方正仿宋_GBK"/>
          <w:sz w:val="32"/>
          <w:szCs w:val="32"/>
          <w:lang w:val="en-US"/>
        </w:rPr>
        <w:t>2020</w:t>
      </w:r>
      <w:r>
        <w:rPr>
          <w:rFonts w:ascii="方正仿宋_GBK" w:hAnsi="方正仿宋_GBK"/>
          <w:sz w:val="32"/>
          <w:szCs w:val="32"/>
          <w:lang w:eastAsia="zh-CN"/>
        </w:rPr>
        <w:t>年度年末一般公共预算财政拨款结转和结余</w:t>
      </w:r>
      <w:r>
        <w:rPr>
          <w:rFonts w:hint="eastAsia" w:ascii="方正仿宋_GBK" w:hAnsi="方正仿宋_GBK" w:eastAsia="方正仿宋_GBK" w:cs="方正仿宋_GBK"/>
          <w:sz w:val="32"/>
          <w:szCs w:val="32"/>
          <w:lang w:val="en-US"/>
        </w:rPr>
        <w:t>1,369.80</w:t>
      </w:r>
      <w:r>
        <w:rPr>
          <w:rFonts w:ascii="方正仿宋_GBK" w:hAnsi="方正仿宋_GBK"/>
          <w:sz w:val="32"/>
          <w:szCs w:val="32"/>
          <w:lang w:eastAsia="zh-CN"/>
        </w:rPr>
        <w:t>万元，较上年决算数增加</w:t>
      </w:r>
      <w:r>
        <w:rPr>
          <w:rFonts w:hint="eastAsia" w:ascii="方正仿宋_GBK" w:hAnsi="方正仿宋_GBK" w:eastAsia="方正仿宋_GBK" w:cs="方正仿宋_GBK"/>
          <w:sz w:val="32"/>
          <w:szCs w:val="32"/>
          <w:lang w:val="en-US"/>
        </w:rPr>
        <w:t>380.95</w:t>
      </w:r>
      <w:r>
        <w:rPr>
          <w:rFonts w:ascii="方正仿宋_GBK" w:hAnsi="方正仿宋_GBK"/>
          <w:sz w:val="32"/>
          <w:szCs w:val="32"/>
          <w:lang w:eastAsia="zh-CN"/>
        </w:rPr>
        <w:t>万元，增长</w:t>
      </w:r>
      <w:r>
        <w:rPr>
          <w:rFonts w:hint="eastAsia" w:ascii="方正仿宋_GBK" w:hAnsi="方正仿宋_GBK" w:eastAsia="方正仿宋_GBK" w:cs="方正仿宋_GBK"/>
          <w:sz w:val="32"/>
          <w:szCs w:val="32"/>
          <w:lang w:val="en-US"/>
        </w:rPr>
        <w:t>38.5%</w:t>
      </w:r>
      <w:r>
        <w:rPr>
          <w:rFonts w:ascii="方正仿宋_GBK" w:hAnsi="方正仿宋_GBK"/>
          <w:sz w:val="32"/>
          <w:szCs w:val="32"/>
          <w:lang w:eastAsia="zh-CN"/>
        </w:rPr>
        <w:t>，主要原因是主要原因是项目建设进度较慢，按进度无法实现支出。。</w:t>
      </w:r>
    </w:p>
    <w:p w14:paraId="4F8D5C1C">
      <w:pPr>
        <w:autoSpaceDE w:val="0"/>
        <w:autoSpaceDN/>
        <w:spacing w:line="500" w:lineRule="exact"/>
        <w:ind w:left="0" w:firstLine="643" w:firstLineChars="200"/>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b/>
          <w:bCs/>
          <w:sz w:val="32"/>
          <w:szCs w:val="32"/>
          <w:lang w:val="en-US"/>
        </w:rPr>
        <w:t>4.</w:t>
      </w:r>
      <w:r>
        <w:rPr>
          <w:rFonts w:ascii="方正仿宋_GBK" w:hAnsi="方正仿宋_GBK"/>
          <w:b/>
          <w:bCs/>
          <w:sz w:val="32"/>
          <w:szCs w:val="32"/>
          <w:lang w:eastAsia="zh-CN"/>
        </w:rPr>
        <w:t>比较情况。</w:t>
      </w:r>
      <w:r>
        <w:rPr>
          <w:rFonts w:ascii="方正仿宋_GBK" w:hAnsi="方正仿宋_GBK"/>
          <w:sz w:val="32"/>
          <w:szCs w:val="32"/>
          <w:lang w:eastAsia="zh-CN"/>
        </w:rPr>
        <w:t>本部门</w:t>
      </w:r>
      <w:r>
        <w:rPr>
          <w:rFonts w:hint="eastAsia" w:ascii="方正仿宋_GBK" w:hAnsi="方正仿宋_GBK" w:eastAsia="方正仿宋_GBK" w:cs="方正仿宋_GBK"/>
          <w:sz w:val="32"/>
          <w:szCs w:val="32"/>
          <w:lang w:val="en-US"/>
        </w:rPr>
        <w:t>2020</w:t>
      </w:r>
      <w:r>
        <w:rPr>
          <w:rFonts w:ascii="方正仿宋_GBK" w:hAnsi="方正仿宋_GBK"/>
          <w:sz w:val="32"/>
          <w:szCs w:val="32"/>
          <w:lang w:eastAsia="zh-CN"/>
        </w:rPr>
        <w:t>年度一般公共预算财政拨款支出主要用于以下几个方面：</w:t>
      </w:r>
    </w:p>
    <w:p w14:paraId="630BE312">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仿宋_GBK" w:hAnsi="方正仿宋_GBK"/>
          <w:sz w:val="32"/>
          <w:szCs w:val="32"/>
          <w:lang w:eastAsia="zh-CN"/>
        </w:rPr>
        <w:t>（</w:t>
      </w:r>
      <w:r>
        <w:rPr>
          <w:rFonts w:hint="eastAsia" w:ascii="方正仿宋_GBK" w:hAnsi="方正仿宋_GBK" w:eastAsia="方正仿宋_GBK" w:cs="方正仿宋_GBK"/>
          <w:sz w:val="32"/>
          <w:szCs w:val="32"/>
          <w:lang w:val="en-US"/>
        </w:rPr>
        <w:t>1</w:t>
      </w:r>
      <w:r>
        <w:rPr>
          <w:rFonts w:ascii="方正仿宋_GBK" w:hAnsi="方正仿宋_GBK"/>
          <w:sz w:val="32"/>
          <w:szCs w:val="32"/>
          <w:lang w:eastAsia="zh-CN"/>
        </w:rPr>
        <w:t>）一般公共服务支出</w:t>
      </w:r>
      <w:r>
        <w:rPr>
          <w:rFonts w:hint="eastAsia" w:ascii="方正仿宋_GBK" w:hAnsi="方正仿宋_GBK" w:eastAsia="方正仿宋_GBK" w:cs="方正仿宋_GBK"/>
          <w:sz w:val="32"/>
          <w:szCs w:val="32"/>
          <w:lang w:val="en-US"/>
        </w:rPr>
        <w:t>2.76</w:t>
      </w:r>
      <w:r>
        <w:rPr>
          <w:rFonts w:ascii="方正仿宋_GBK" w:hAnsi="方正仿宋_GBK"/>
          <w:sz w:val="32"/>
          <w:szCs w:val="32"/>
          <w:lang w:eastAsia="zh-CN"/>
        </w:rPr>
        <w:t>万元，占</w:t>
      </w:r>
      <w:r>
        <w:rPr>
          <w:rFonts w:hint="eastAsia" w:ascii="方正仿宋_GBK" w:hAnsi="方正仿宋_GBK" w:eastAsia="方正仿宋_GBK" w:cs="方正仿宋_GBK"/>
          <w:sz w:val="32"/>
          <w:szCs w:val="32"/>
          <w:lang w:val="en-US"/>
        </w:rPr>
        <w:t>0.1%</w:t>
      </w:r>
      <w:r>
        <w:rPr>
          <w:rFonts w:ascii="方正仿宋_GBK" w:hAnsi="方正仿宋_GBK"/>
          <w:sz w:val="32"/>
          <w:szCs w:val="32"/>
          <w:lang w:eastAsia="zh-CN"/>
        </w:rPr>
        <w:t>。</w:t>
      </w:r>
      <w:r>
        <w:rPr>
          <w:rFonts w:hint="eastAsia" w:ascii="方正仿宋_GBK" w:hAnsi="方正仿宋_GBK" w:eastAsia="方正仿宋_GBK" w:cs="方正仿宋_GBK"/>
          <w:sz w:val="32"/>
          <w:szCs w:val="32"/>
          <w:lang w:eastAsia="zh-CN"/>
        </w:rPr>
        <w:t xml:space="preserve"> </w:t>
      </w:r>
    </w:p>
    <w:p w14:paraId="69E7B425">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仿宋_GBK" w:hAnsi="方正仿宋_GBK"/>
          <w:sz w:val="32"/>
          <w:szCs w:val="32"/>
          <w:lang w:eastAsia="zh-CN"/>
        </w:rPr>
        <w:t>（</w:t>
      </w:r>
      <w:r>
        <w:rPr>
          <w:rFonts w:hint="eastAsia" w:ascii="方正仿宋_GBK" w:hAnsi="方正仿宋_GBK" w:eastAsia="方正仿宋_GBK" w:cs="方正仿宋_GBK"/>
          <w:sz w:val="32"/>
          <w:szCs w:val="32"/>
          <w:lang w:val="en-US"/>
        </w:rPr>
        <w:t>2</w:t>
      </w:r>
      <w:r>
        <w:rPr>
          <w:rFonts w:ascii="方正仿宋_GBK" w:hAnsi="方正仿宋_GBK"/>
          <w:sz w:val="32"/>
          <w:szCs w:val="32"/>
          <w:lang w:eastAsia="zh-CN"/>
        </w:rPr>
        <w:t>）社会保障与就业支出</w:t>
      </w:r>
      <w:r>
        <w:rPr>
          <w:rFonts w:hint="eastAsia" w:ascii="方正仿宋_GBK" w:hAnsi="方正仿宋_GBK" w:eastAsia="方正仿宋_GBK" w:cs="方正仿宋_GBK"/>
          <w:sz w:val="32"/>
          <w:szCs w:val="32"/>
          <w:lang w:val="en-US"/>
        </w:rPr>
        <w:t>107.63</w:t>
      </w:r>
      <w:r>
        <w:rPr>
          <w:rFonts w:ascii="方正仿宋_GBK" w:hAnsi="方正仿宋_GBK"/>
          <w:sz w:val="32"/>
          <w:szCs w:val="32"/>
          <w:lang w:eastAsia="zh-CN"/>
        </w:rPr>
        <w:t>万元，占</w:t>
      </w:r>
      <w:r>
        <w:rPr>
          <w:rFonts w:hint="eastAsia" w:ascii="方正仿宋_GBK" w:hAnsi="方正仿宋_GBK" w:eastAsia="方正仿宋_GBK" w:cs="方正仿宋_GBK"/>
          <w:sz w:val="32"/>
          <w:szCs w:val="32"/>
          <w:lang w:val="en-US"/>
        </w:rPr>
        <w:t>4.1%</w:t>
      </w:r>
      <w:r>
        <w:rPr>
          <w:rFonts w:ascii="方正仿宋_GBK" w:hAnsi="方正仿宋_GBK"/>
          <w:sz w:val="32"/>
          <w:szCs w:val="32"/>
          <w:lang w:eastAsia="zh-CN"/>
        </w:rPr>
        <w:t>，较年初预算数增加</w:t>
      </w:r>
      <w:r>
        <w:rPr>
          <w:rFonts w:hint="eastAsia" w:ascii="方正仿宋_GBK" w:hAnsi="方正仿宋_GBK" w:eastAsia="方正仿宋_GBK" w:cs="方正仿宋_GBK"/>
          <w:sz w:val="32"/>
          <w:szCs w:val="32"/>
          <w:lang w:val="en-US"/>
        </w:rPr>
        <w:t>38.33</w:t>
      </w:r>
      <w:r>
        <w:rPr>
          <w:rFonts w:ascii="方正仿宋_GBK" w:hAnsi="方正仿宋_GBK"/>
          <w:sz w:val="32"/>
          <w:szCs w:val="32"/>
          <w:lang w:eastAsia="zh-CN"/>
        </w:rPr>
        <w:t>万</w:t>
      </w:r>
      <w:r>
        <w:rPr>
          <w:rFonts w:hint="eastAsia" w:ascii="方正仿宋_GBK" w:hAnsi="方正仿宋_GBK" w:eastAsia="方正仿宋_GBK" w:cs="方正仿宋_GBK"/>
          <w:sz w:val="32"/>
          <w:szCs w:val="32"/>
          <w:lang w:eastAsia="zh-CN"/>
        </w:rPr>
        <w:t xml:space="preserve"> </w:t>
      </w:r>
      <w:r>
        <w:rPr>
          <w:rFonts w:ascii="方正仿宋_GBK" w:hAnsi="方正仿宋_GBK"/>
          <w:sz w:val="32"/>
          <w:szCs w:val="32"/>
          <w:lang w:eastAsia="zh-CN"/>
        </w:rPr>
        <w:t>元，增长</w:t>
      </w:r>
      <w:r>
        <w:rPr>
          <w:rFonts w:hint="eastAsia" w:ascii="方正仿宋_GBK" w:hAnsi="方正仿宋_GBK" w:eastAsia="方正仿宋_GBK" w:cs="方正仿宋_GBK"/>
          <w:sz w:val="32"/>
          <w:szCs w:val="32"/>
          <w:lang w:val="en-US"/>
        </w:rPr>
        <w:t>55.3%</w:t>
      </w:r>
      <w:r>
        <w:rPr>
          <w:rFonts w:ascii="方正仿宋_GBK" w:hAnsi="方正仿宋_GBK"/>
          <w:sz w:val="32"/>
          <w:szCs w:val="32"/>
          <w:lang w:eastAsia="zh-CN"/>
        </w:rPr>
        <w:t>，主要原因是</w:t>
      </w:r>
      <w:r>
        <w:rPr>
          <w:rFonts w:hint="eastAsia" w:ascii="方正仿宋_GBK" w:hAnsi="方正仿宋_GBK" w:eastAsia="方正仿宋_GBK" w:cs="方正仿宋_GBK"/>
          <w:sz w:val="32"/>
          <w:szCs w:val="32"/>
          <w:lang w:eastAsia="zh-CN"/>
        </w:rPr>
        <w:t xml:space="preserve"> </w:t>
      </w:r>
      <w:r>
        <w:rPr>
          <w:rFonts w:ascii="方正仿宋_GBK" w:hAnsi="方正仿宋_GBK"/>
          <w:sz w:val="32"/>
          <w:szCs w:val="32"/>
          <w:lang w:eastAsia="zh-CN"/>
        </w:rPr>
        <w:t>退休人员生活补助增加</w:t>
      </w:r>
      <w:r>
        <w:rPr>
          <w:rFonts w:hint="eastAsia" w:ascii="方正仿宋_GBK" w:hAnsi="方正仿宋_GBK" w:eastAsia="方正仿宋_GBK" w:cs="方正仿宋_GBK"/>
          <w:sz w:val="32"/>
          <w:szCs w:val="32"/>
          <w:lang w:val="en-US"/>
        </w:rPr>
        <w:t>18.1</w:t>
      </w:r>
      <w:r>
        <w:rPr>
          <w:rFonts w:ascii="方正仿宋_GBK" w:hAnsi="方正仿宋_GBK"/>
          <w:sz w:val="32"/>
          <w:szCs w:val="32"/>
          <w:lang w:eastAsia="zh-CN"/>
        </w:rPr>
        <w:t>万元，死亡抚恤增加</w:t>
      </w:r>
      <w:r>
        <w:rPr>
          <w:rFonts w:hint="eastAsia" w:ascii="方正仿宋_GBK" w:hAnsi="方正仿宋_GBK" w:eastAsia="方正仿宋_GBK" w:cs="方正仿宋_GBK"/>
          <w:sz w:val="32"/>
          <w:szCs w:val="32"/>
          <w:lang w:val="en-US"/>
        </w:rPr>
        <w:t>20.23</w:t>
      </w:r>
      <w:r>
        <w:rPr>
          <w:rFonts w:ascii="方正仿宋_GBK" w:hAnsi="方正仿宋_GBK"/>
          <w:sz w:val="32"/>
          <w:szCs w:val="32"/>
          <w:lang w:eastAsia="zh-CN"/>
        </w:rPr>
        <w:t>万元。</w:t>
      </w:r>
    </w:p>
    <w:p w14:paraId="7AFFCF9C">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仿宋_GBK" w:hAnsi="方正仿宋_GBK"/>
          <w:sz w:val="32"/>
          <w:szCs w:val="32"/>
          <w:lang w:eastAsia="zh-CN"/>
        </w:rPr>
        <w:t>（</w:t>
      </w:r>
      <w:r>
        <w:rPr>
          <w:rFonts w:hint="eastAsia" w:ascii="方正仿宋_GBK" w:hAnsi="方正仿宋_GBK" w:eastAsia="方正仿宋_GBK" w:cs="方正仿宋_GBK"/>
          <w:sz w:val="32"/>
          <w:szCs w:val="32"/>
          <w:lang w:val="en-US"/>
        </w:rPr>
        <w:t>3</w:t>
      </w:r>
      <w:r>
        <w:rPr>
          <w:rFonts w:ascii="方正仿宋_GBK" w:hAnsi="方正仿宋_GBK"/>
          <w:sz w:val="32"/>
          <w:szCs w:val="32"/>
          <w:lang w:eastAsia="zh-CN"/>
        </w:rPr>
        <w:t>）卫生健康支出</w:t>
      </w:r>
      <w:r>
        <w:rPr>
          <w:rFonts w:hint="eastAsia" w:ascii="方正仿宋_GBK" w:hAnsi="方正仿宋_GBK" w:eastAsia="方正仿宋_GBK" w:cs="方正仿宋_GBK"/>
          <w:sz w:val="32"/>
          <w:szCs w:val="32"/>
          <w:lang w:val="en-US"/>
        </w:rPr>
        <w:t>29.74</w:t>
      </w:r>
      <w:r>
        <w:rPr>
          <w:rFonts w:ascii="方正仿宋_GBK" w:hAnsi="方正仿宋_GBK"/>
          <w:sz w:val="32"/>
          <w:szCs w:val="32"/>
          <w:lang w:eastAsia="zh-CN"/>
        </w:rPr>
        <w:t>万元，占</w:t>
      </w:r>
      <w:r>
        <w:rPr>
          <w:rFonts w:hint="eastAsia" w:ascii="方正仿宋_GBK" w:hAnsi="方正仿宋_GBK" w:eastAsia="方正仿宋_GBK" w:cs="方正仿宋_GBK"/>
          <w:sz w:val="32"/>
          <w:szCs w:val="32"/>
          <w:lang w:val="en-US"/>
        </w:rPr>
        <w:t>1.1%</w:t>
      </w:r>
      <w:r>
        <w:rPr>
          <w:rFonts w:ascii="方正仿宋_GBK" w:hAnsi="方正仿宋_GBK"/>
          <w:sz w:val="32"/>
          <w:szCs w:val="32"/>
          <w:lang w:eastAsia="zh-CN"/>
        </w:rPr>
        <w:t>。</w:t>
      </w:r>
      <w:r>
        <w:rPr>
          <w:rFonts w:hint="eastAsia" w:ascii="方正仿宋_GBK" w:hAnsi="方正仿宋_GBK" w:eastAsia="方正仿宋_GBK" w:cs="方正仿宋_GBK"/>
          <w:sz w:val="32"/>
          <w:szCs w:val="32"/>
          <w:lang w:eastAsia="zh-CN"/>
        </w:rPr>
        <w:t xml:space="preserve"> </w:t>
      </w:r>
    </w:p>
    <w:p w14:paraId="6BF3082D">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仿宋_GBK" w:hAnsi="方正仿宋_GBK"/>
          <w:sz w:val="32"/>
          <w:szCs w:val="32"/>
          <w:lang w:eastAsia="zh-CN"/>
        </w:rPr>
        <w:t>（</w:t>
      </w:r>
      <w:r>
        <w:rPr>
          <w:rFonts w:hint="eastAsia" w:ascii="方正仿宋_GBK" w:hAnsi="方正仿宋_GBK" w:eastAsia="方正仿宋_GBK" w:cs="方正仿宋_GBK"/>
          <w:sz w:val="32"/>
          <w:szCs w:val="32"/>
          <w:lang w:val="en-US"/>
        </w:rPr>
        <w:t>4</w:t>
      </w:r>
      <w:r>
        <w:rPr>
          <w:rFonts w:ascii="方正仿宋_GBK" w:hAnsi="方正仿宋_GBK"/>
          <w:sz w:val="32"/>
          <w:szCs w:val="32"/>
          <w:lang w:eastAsia="zh-CN"/>
        </w:rPr>
        <w:t>）节能环保支出</w:t>
      </w:r>
      <w:r>
        <w:rPr>
          <w:rFonts w:hint="eastAsia" w:ascii="方正仿宋_GBK" w:hAnsi="方正仿宋_GBK" w:eastAsia="方正仿宋_GBK" w:cs="方正仿宋_GBK"/>
          <w:sz w:val="32"/>
          <w:szCs w:val="32"/>
          <w:lang w:val="en-US"/>
        </w:rPr>
        <w:t>1,391.67</w:t>
      </w:r>
      <w:r>
        <w:rPr>
          <w:rFonts w:ascii="方正仿宋_GBK" w:hAnsi="方正仿宋_GBK"/>
          <w:sz w:val="32"/>
          <w:szCs w:val="32"/>
          <w:lang w:eastAsia="zh-CN"/>
        </w:rPr>
        <w:t>万元，占</w:t>
      </w:r>
      <w:r>
        <w:rPr>
          <w:rFonts w:hint="eastAsia" w:ascii="方正仿宋_GBK" w:hAnsi="方正仿宋_GBK" w:eastAsia="方正仿宋_GBK" w:cs="方正仿宋_GBK"/>
          <w:sz w:val="32"/>
          <w:szCs w:val="32"/>
          <w:lang w:val="en-US"/>
        </w:rPr>
        <w:t>53.3%</w:t>
      </w:r>
      <w:r>
        <w:rPr>
          <w:rFonts w:ascii="方正仿宋_GBK" w:hAnsi="方正仿宋_GBK"/>
          <w:sz w:val="32"/>
          <w:szCs w:val="32"/>
          <w:lang w:eastAsia="zh-CN"/>
        </w:rPr>
        <w:t>，较年初预算数增加</w:t>
      </w:r>
      <w:r>
        <w:rPr>
          <w:rFonts w:hint="eastAsia" w:ascii="方正仿宋_GBK" w:hAnsi="方正仿宋_GBK" w:eastAsia="方正仿宋_GBK" w:cs="方正仿宋_GBK"/>
          <w:sz w:val="32"/>
          <w:szCs w:val="32"/>
          <w:lang w:val="en-US"/>
        </w:rPr>
        <w:t>934.84</w:t>
      </w:r>
      <w:r>
        <w:rPr>
          <w:rFonts w:ascii="方正仿宋_GBK" w:hAnsi="方正仿宋_GBK"/>
          <w:sz w:val="32"/>
          <w:szCs w:val="32"/>
          <w:lang w:eastAsia="zh-CN"/>
        </w:rPr>
        <w:t>万</w:t>
      </w:r>
      <w:r>
        <w:rPr>
          <w:rFonts w:hint="eastAsia" w:ascii="方正仿宋_GBK" w:hAnsi="方正仿宋_GBK" w:eastAsia="方正仿宋_GBK" w:cs="方正仿宋_GBK"/>
          <w:sz w:val="32"/>
          <w:szCs w:val="32"/>
          <w:lang w:eastAsia="zh-CN"/>
        </w:rPr>
        <w:t xml:space="preserve"> </w:t>
      </w:r>
      <w:r>
        <w:rPr>
          <w:rFonts w:ascii="方正仿宋_GBK" w:hAnsi="方正仿宋_GBK"/>
          <w:sz w:val="32"/>
          <w:szCs w:val="32"/>
          <w:lang w:eastAsia="zh-CN"/>
        </w:rPr>
        <w:t>元，增长</w:t>
      </w:r>
      <w:r>
        <w:rPr>
          <w:rFonts w:hint="eastAsia" w:ascii="方正仿宋_GBK" w:hAnsi="方正仿宋_GBK" w:eastAsia="方正仿宋_GBK" w:cs="方正仿宋_GBK"/>
          <w:sz w:val="32"/>
          <w:szCs w:val="32"/>
          <w:lang w:val="en-US"/>
        </w:rPr>
        <w:t>204.6%</w:t>
      </w:r>
      <w:r>
        <w:rPr>
          <w:rFonts w:ascii="方正仿宋_GBK" w:hAnsi="方正仿宋_GBK"/>
          <w:sz w:val="32"/>
          <w:szCs w:val="32"/>
          <w:lang w:eastAsia="zh-CN"/>
        </w:rPr>
        <w:t>，主要原因是基本支出增加</w:t>
      </w:r>
      <w:r>
        <w:rPr>
          <w:rFonts w:hint="eastAsia" w:ascii="方正仿宋_GBK" w:hAnsi="方正仿宋_GBK" w:eastAsia="方正仿宋_GBK" w:cs="方正仿宋_GBK"/>
          <w:sz w:val="32"/>
          <w:szCs w:val="32"/>
          <w:lang w:val="en-US"/>
        </w:rPr>
        <w:t>196.92</w:t>
      </w:r>
      <w:r>
        <w:rPr>
          <w:rFonts w:ascii="方正仿宋_GBK" w:hAnsi="方正仿宋_GBK"/>
          <w:sz w:val="32"/>
          <w:szCs w:val="32"/>
          <w:lang w:eastAsia="zh-CN"/>
        </w:rPr>
        <w:t>万元，项目支出增加</w:t>
      </w:r>
      <w:r>
        <w:rPr>
          <w:rFonts w:hint="eastAsia" w:ascii="方正仿宋_GBK" w:hAnsi="方正仿宋_GBK" w:eastAsia="方正仿宋_GBK" w:cs="方正仿宋_GBK"/>
          <w:sz w:val="32"/>
          <w:szCs w:val="32"/>
          <w:lang w:val="en-US"/>
        </w:rPr>
        <w:t>737.92</w:t>
      </w:r>
      <w:r>
        <w:rPr>
          <w:rFonts w:ascii="方正仿宋_GBK" w:hAnsi="方正仿宋_GBK"/>
          <w:sz w:val="32"/>
          <w:szCs w:val="32"/>
          <w:lang w:eastAsia="zh-CN"/>
        </w:rPr>
        <w:t>万元</w:t>
      </w:r>
      <w:r>
        <w:rPr>
          <w:rFonts w:hint="eastAsia" w:ascii="方正仿宋_GBK" w:hAnsi="方正仿宋_GBK" w:eastAsia="方正仿宋_GBK" w:cs="方正仿宋_GBK"/>
          <w:sz w:val="32"/>
          <w:szCs w:val="32"/>
          <w:lang w:eastAsia="zh-CN"/>
        </w:rPr>
        <w:t xml:space="preserve"> </w:t>
      </w:r>
      <w:r>
        <w:rPr>
          <w:rFonts w:ascii="方正仿宋_GBK" w:hAnsi="方正仿宋_GBK"/>
          <w:sz w:val="32"/>
          <w:szCs w:val="32"/>
          <w:lang w:eastAsia="zh-CN"/>
        </w:rPr>
        <w:t>。</w:t>
      </w:r>
    </w:p>
    <w:p w14:paraId="4FAB6665">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仿宋_GBK" w:hAnsi="方正仿宋_GBK"/>
          <w:sz w:val="32"/>
          <w:szCs w:val="32"/>
          <w:lang w:eastAsia="zh-CN"/>
        </w:rPr>
        <w:t>（</w:t>
      </w:r>
      <w:r>
        <w:rPr>
          <w:rFonts w:hint="eastAsia" w:ascii="方正仿宋_GBK" w:hAnsi="方正仿宋_GBK" w:eastAsia="方正仿宋_GBK" w:cs="方正仿宋_GBK"/>
          <w:sz w:val="32"/>
          <w:szCs w:val="32"/>
          <w:lang w:val="en-US"/>
        </w:rPr>
        <w:t>5</w:t>
      </w:r>
      <w:r>
        <w:rPr>
          <w:rFonts w:ascii="方正仿宋_GBK" w:hAnsi="方正仿宋_GBK"/>
          <w:sz w:val="32"/>
          <w:szCs w:val="32"/>
          <w:lang w:eastAsia="zh-CN"/>
        </w:rPr>
        <w:t>）农林水支出</w:t>
      </w:r>
      <w:r>
        <w:rPr>
          <w:rFonts w:hint="eastAsia" w:ascii="方正仿宋_GBK" w:hAnsi="方正仿宋_GBK" w:eastAsia="方正仿宋_GBK" w:cs="方正仿宋_GBK"/>
          <w:sz w:val="32"/>
          <w:szCs w:val="32"/>
          <w:lang w:val="en-US"/>
        </w:rPr>
        <w:t>1,044.42</w:t>
      </w:r>
      <w:r>
        <w:rPr>
          <w:rFonts w:ascii="方正仿宋_GBK" w:hAnsi="方正仿宋_GBK"/>
          <w:sz w:val="32"/>
          <w:szCs w:val="32"/>
          <w:lang w:eastAsia="zh-CN"/>
        </w:rPr>
        <w:t>万元，占</w:t>
      </w:r>
      <w:r>
        <w:rPr>
          <w:rFonts w:hint="eastAsia" w:ascii="方正仿宋_GBK" w:hAnsi="方正仿宋_GBK" w:eastAsia="方正仿宋_GBK" w:cs="方正仿宋_GBK"/>
          <w:sz w:val="32"/>
          <w:szCs w:val="32"/>
          <w:lang w:val="en-US"/>
        </w:rPr>
        <w:t>40%</w:t>
      </w:r>
      <w:r>
        <w:rPr>
          <w:rFonts w:ascii="方正仿宋_GBK" w:hAnsi="方正仿宋_GBK"/>
          <w:sz w:val="32"/>
          <w:szCs w:val="32"/>
          <w:lang w:eastAsia="zh-CN"/>
        </w:rPr>
        <w:t>，较年初预算数增加</w:t>
      </w:r>
      <w:r>
        <w:rPr>
          <w:rFonts w:hint="eastAsia" w:ascii="方正仿宋_GBK" w:hAnsi="方正仿宋_GBK" w:eastAsia="方正仿宋_GBK" w:cs="方正仿宋_GBK"/>
          <w:sz w:val="32"/>
          <w:szCs w:val="32"/>
          <w:lang w:val="en-US"/>
        </w:rPr>
        <w:t>1,044.42</w:t>
      </w:r>
      <w:r>
        <w:rPr>
          <w:rFonts w:ascii="方正仿宋_GBK" w:hAnsi="方正仿宋_GBK"/>
          <w:sz w:val="32"/>
          <w:szCs w:val="32"/>
          <w:lang w:eastAsia="zh-CN"/>
        </w:rPr>
        <w:t>万</w:t>
      </w:r>
      <w:r>
        <w:rPr>
          <w:rFonts w:hint="eastAsia" w:ascii="方正仿宋_GBK" w:hAnsi="方正仿宋_GBK" w:eastAsia="方正仿宋_GBK" w:cs="方正仿宋_GBK"/>
          <w:sz w:val="32"/>
          <w:szCs w:val="32"/>
          <w:lang w:eastAsia="zh-CN"/>
        </w:rPr>
        <w:t xml:space="preserve"> </w:t>
      </w:r>
      <w:r>
        <w:rPr>
          <w:rFonts w:ascii="方正仿宋_GBK" w:hAnsi="方正仿宋_GBK"/>
          <w:sz w:val="32"/>
          <w:szCs w:val="32"/>
          <w:lang w:eastAsia="zh-CN"/>
        </w:rPr>
        <w:t>元，增长</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，主要原因是项目支出增加，其中债券资金安排支出就达</w:t>
      </w:r>
      <w:r>
        <w:rPr>
          <w:rFonts w:hint="eastAsia" w:ascii="方正仿宋_GBK" w:hAnsi="方正仿宋_GBK" w:eastAsia="方正仿宋_GBK" w:cs="方正仿宋_GBK"/>
          <w:sz w:val="32"/>
          <w:szCs w:val="32"/>
          <w:lang w:val="en-US"/>
        </w:rPr>
        <w:t>1000</w:t>
      </w:r>
      <w:r>
        <w:rPr>
          <w:rFonts w:ascii="方正仿宋_GBK" w:hAnsi="方正仿宋_GBK"/>
          <w:sz w:val="32"/>
          <w:szCs w:val="32"/>
          <w:lang w:eastAsia="zh-CN"/>
        </w:rPr>
        <w:t>万元。</w:t>
      </w:r>
    </w:p>
    <w:p w14:paraId="67ED7EAC">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仿宋_GBK" w:hAnsi="方正仿宋_GBK"/>
          <w:sz w:val="32"/>
          <w:szCs w:val="32"/>
          <w:lang w:eastAsia="zh-CN"/>
        </w:rPr>
        <w:t>（</w:t>
      </w:r>
      <w:r>
        <w:rPr>
          <w:rFonts w:hint="eastAsia" w:ascii="方正仿宋_GBK" w:hAnsi="方正仿宋_GBK" w:eastAsia="方正仿宋_GBK" w:cs="方正仿宋_GBK"/>
          <w:sz w:val="32"/>
          <w:szCs w:val="32"/>
          <w:lang w:val="en-US"/>
        </w:rPr>
        <w:t>6</w:t>
      </w:r>
      <w:r>
        <w:rPr>
          <w:rFonts w:ascii="方正仿宋_GBK" w:hAnsi="方正仿宋_GBK"/>
          <w:sz w:val="32"/>
          <w:szCs w:val="32"/>
          <w:lang w:eastAsia="zh-CN"/>
        </w:rPr>
        <w:t>）住房保障支出</w:t>
      </w:r>
      <w:r>
        <w:rPr>
          <w:rFonts w:hint="eastAsia" w:ascii="方正仿宋_GBK" w:hAnsi="方正仿宋_GBK" w:eastAsia="方正仿宋_GBK" w:cs="方正仿宋_GBK"/>
          <w:sz w:val="32"/>
          <w:szCs w:val="32"/>
          <w:lang w:val="en-US"/>
        </w:rPr>
        <w:t>34.65</w:t>
      </w:r>
      <w:r>
        <w:rPr>
          <w:rFonts w:ascii="方正仿宋_GBK" w:hAnsi="方正仿宋_GBK"/>
          <w:sz w:val="32"/>
          <w:szCs w:val="32"/>
          <w:lang w:eastAsia="zh-CN"/>
        </w:rPr>
        <w:t>万元，占</w:t>
      </w:r>
      <w:r>
        <w:rPr>
          <w:rFonts w:hint="eastAsia" w:ascii="方正仿宋_GBK" w:hAnsi="方正仿宋_GBK" w:eastAsia="方正仿宋_GBK" w:cs="方正仿宋_GBK"/>
          <w:sz w:val="32"/>
          <w:szCs w:val="32"/>
          <w:lang w:val="en-US"/>
        </w:rPr>
        <w:t>1.3%</w:t>
      </w:r>
      <w:r>
        <w:rPr>
          <w:rFonts w:ascii="方正仿宋_GBK" w:hAnsi="方正仿宋_GBK"/>
          <w:sz w:val="32"/>
          <w:szCs w:val="32"/>
          <w:lang w:eastAsia="zh-CN"/>
        </w:rPr>
        <w:t>。</w:t>
      </w:r>
      <w:r>
        <w:rPr>
          <w:rFonts w:hint="eastAsia" w:ascii="方正仿宋_GBK" w:hAnsi="方正仿宋_GBK" w:eastAsia="方正仿宋_GBK" w:cs="方正仿宋_GBK"/>
          <w:sz w:val="32"/>
          <w:szCs w:val="32"/>
          <w:lang w:eastAsia="zh-CN"/>
        </w:rPr>
        <w:t xml:space="preserve"> </w:t>
      </w:r>
    </w:p>
    <w:p w14:paraId="7D9D10B9">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仿宋_GBK" w:hAnsi="方正仿宋_GBK"/>
          <w:sz w:val="32"/>
          <w:szCs w:val="32"/>
          <w:lang w:eastAsia="zh-CN"/>
        </w:rPr>
        <w:t>（</w:t>
      </w:r>
      <w:r>
        <w:rPr>
          <w:rFonts w:hint="eastAsia" w:ascii="方正仿宋_GBK" w:hAnsi="方正仿宋_GBK" w:eastAsia="方正仿宋_GBK" w:cs="方正仿宋_GBK"/>
          <w:sz w:val="32"/>
          <w:szCs w:val="32"/>
          <w:lang w:val="en-US"/>
        </w:rPr>
        <w:t>7</w:t>
      </w:r>
      <w:r>
        <w:rPr>
          <w:rFonts w:ascii="方正仿宋_GBK" w:hAnsi="方正仿宋_GBK"/>
          <w:sz w:val="32"/>
          <w:szCs w:val="32"/>
          <w:lang w:eastAsia="zh-CN"/>
        </w:rPr>
        <w:t>）其他支出</w:t>
      </w:r>
      <w:r>
        <w:rPr>
          <w:rFonts w:hint="eastAsia" w:ascii="方正仿宋_GBK" w:hAnsi="方正仿宋_GBK" w:eastAsia="方正仿宋_GBK" w:cs="方正仿宋_GBK"/>
          <w:sz w:val="32"/>
          <w:szCs w:val="32"/>
          <w:lang w:val="en-US"/>
        </w:rPr>
        <w:t>0.10</w:t>
      </w:r>
      <w:r>
        <w:rPr>
          <w:rFonts w:ascii="方正仿宋_GBK" w:hAnsi="方正仿宋_GBK"/>
          <w:sz w:val="32"/>
          <w:szCs w:val="32"/>
          <w:lang w:eastAsia="zh-CN"/>
        </w:rPr>
        <w:t>万元，占</w:t>
      </w:r>
      <w:r>
        <w:rPr>
          <w:rFonts w:hint="eastAsia" w:ascii="方正仿宋_GBK" w:hAnsi="方正仿宋_GBK" w:eastAsia="方正仿宋_GBK" w:cs="方正仿宋_GBK"/>
          <w:sz w:val="32"/>
          <w:szCs w:val="32"/>
          <w:lang w:val="en-US"/>
        </w:rPr>
        <w:t>0%</w:t>
      </w:r>
      <w:r>
        <w:rPr>
          <w:rFonts w:ascii="方正仿宋_GBK" w:hAnsi="方正仿宋_GBK"/>
          <w:sz w:val="32"/>
          <w:szCs w:val="32"/>
          <w:lang w:eastAsia="zh-CN"/>
        </w:rPr>
        <w:t>，较年初预算数增加</w:t>
      </w:r>
      <w:r>
        <w:rPr>
          <w:rFonts w:hint="eastAsia" w:ascii="方正仿宋_GBK" w:hAnsi="方正仿宋_GBK" w:eastAsia="方正仿宋_GBK" w:cs="方正仿宋_GBK"/>
          <w:sz w:val="32"/>
          <w:szCs w:val="32"/>
          <w:lang w:val="en-US"/>
        </w:rPr>
        <w:t>0.10</w:t>
      </w:r>
      <w:r>
        <w:rPr>
          <w:rFonts w:ascii="方正仿宋_GBK" w:hAnsi="方正仿宋_GBK"/>
          <w:sz w:val="32"/>
          <w:szCs w:val="32"/>
          <w:lang w:eastAsia="zh-CN"/>
        </w:rPr>
        <w:t>万</w:t>
      </w:r>
      <w:r>
        <w:rPr>
          <w:rFonts w:hint="eastAsia" w:ascii="方正仿宋_GBK" w:hAnsi="方正仿宋_GBK" w:eastAsia="方正仿宋_GBK" w:cs="方正仿宋_GBK"/>
          <w:sz w:val="32"/>
          <w:szCs w:val="32"/>
          <w:lang w:eastAsia="zh-CN"/>
        </w:rPr>
        <w:t xml:space="preserve"> </w:t>
      </w:r>
      <w:r>
        <w:rPr>
          <w:rFonts w:ascii="方正仿宋_GBK" w:hAnsi="方正仿宋_GBK"/>
          <w:sz w:val="32"/>
          <w:szCs w:val="32"/>
          <w:lang w:eastAsia="zh-CN"/>
        </w:rPr>
        <w:t>元，增长</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，主要原因是亢谷污水管网建设项目支付上年结余的资金</w:t>
      </w:r>
      <w:r>
        <w:rPr>
          <w:rFonts w:hint="eastAsia" w:ascii="方正仿宋_GBK" w:hAnsi="方正仿宋_GBK" w:eastAsia="方正仿宋_GBK" w:cs="方正仿宋_GBK"/>
          <w:sz w:val="32"/>
          <w:szCs w:val="32"/>
          <w:lang w:val="en-US"/>
        </w:rPr>
        <w:t>0.10</w:t>
      </w:r>
      <w:r>
        <w:rPr>
          <w:rFonts w:ascii="方正仿宋_GBK" w:hAnsi="方正仿宋_GBK"/>
          <w:sz w:val="32"/>
          <w:szCs w:val="32"/>
          <w:lang w:eastAsia="zh-CN"/>
        </w:rPr>
        <w:t>万元。</w:t>
      </w:r>
    </w:p>
    <w:p w14:paraId="7D309710">
      <w:pPr>
        <w:numPr>
          <w:ilvl w:val="0"/>
          <w:numId w:val="1"/>
        </w:numPr>
        <w:autoSpaceDE w:val="0"/>
        <w:autoSpaceDN/>
        <w:spacing w:line="500" w:lineRule="exact"/>
        <w:ind w:left="525" w:firstLine="0"/>
        <w:rPr>
          <w:rFonts w:hint="eastAsia" w:ascii="方正仿宋_GBK" w:hAnsi="方正仿宋_GBK" w:eastAsia="方正仿宋_GBK" w:cs="方正仿宋_GBK"/>
          <w:sz w:val="32"/>
          <w:szCs w:val="32"/>
          <w:lang w:val="en-US"/>
        </w:rPr>
      </w:pPr>
      <w:r>
        <w:rPr>
          <w:rFonts w:ascii="方正仿宋_GBK" w:hAnsi="方正仿宋_GBK"/>
          <w:sz w:val="32"/>
          <w:szCs w:val="32"/>
          <w:lang w:eastAsia="zh-CN"/>
        </w:rPr>
        <w:t>一般公共预算财政拨款基本支出决算情况说明</w:t>
      </w:r>
    </w:p>
    <w:p w14:paraId="46F43AF8">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lang w:val="en-US"/>
        </w:rPr>
        <w:t>2020</w:t>
      </w:r>
      <w:r>
        <w:rPr>
          <w:rFonts w:ascii="方正仿宋_GBK" w:hAnsi="方正仿宋_GBK"/>
          <w:sz w:val="32"/>
          <w:szCs w:val="32"/>
          <w:lang w:eastAsia="zh-CN"/>
        </w:rPr>
        <w:t>年度一般公共财政拨款基本支出</w:t>
      </w:r>
      <w:r>
        <w:rPr>
          <w:rFonts w:hint="eastAsia" w:ascii="方正仿宋_GBK" w:hAnsi="方正仿宋_GBK" w:eastAsia="方正仿宋_GBK" w:cs="方正仿宋_GBK"/>
          <w:sz w:val="32"/>
          <w:szCs w:val="32"/>
          <w:lang w:val="en-US"/>
        </w:rPr>
        <w:t>718.52</w:t>
      </w:r>
      <w:r>
        <w:rPr>
          <w:rFonts w:ascii="方正仿宋_GBK" w:hAnsi="方正仿宋_GBK"/>
          <w:sz w:val="32"/>
          <w:szCs w:val="32"/>
          <w:lang w:eastAsia="zh-CN"/>
        </w:rPr>
        <w:t>万元。其中：人员经费</w:t>
      </w:r>
      <w:r>
        <w:rPr>
          <w:rFonts w:hint="eastAsia" w:ascii="方正仿宋_GBK" w:hAnsi="方正仿宋_GBK" w:eastAsia="方正仿宋_GBK" w:cs="方正仿宋_GBK"/>
          <w:sz w:val="32"/>
          <w:szCs w:val="32"/>
          <w:lang w:val="en-US"/>
        </w:rPr>
        <w:t>661.83</w:t>
      </w:r>
      <w:r>
        <w:rPr>
          <w:rFonts w:ascii="方正仿宋_GBK" w:hAnsi="方正仿宋_GBK"/>
          <w:sz w:val="32"/>
          <w:szCs w:val="32"/>
          <w:lang w:eastAsia="zh-CN"/>
        </w:rPr>
        <w:t>万元，较上年决算数增加</w:t>
      </w:r>
      <w:r>
        <w:rPr>
          <w:rFonts w:hint="eastAsia" w:ascii="方正仿宋_GBK" w:hAnsi="方正仿宋_GBK" w:eastAsia="方正仿宋_GBK" w:cs="方正仿宋_GBK"/>
          <w:sz w:val="32"/>
          <w:szCs w:val="32"/>
          <w:lang w:val="en-US"/>
        </w:rPr>
        <w:t>17.15</w:t>
      </w:r>
      <w:r>
        <w:rPr>
          <w:rFonts w:ascii="方正仿宋_GBK" w:hAnsi="方正仿宋_GBK"/>
          <w:sz w:val="32"/>
          <w:szCs w:val="32"/>
          <w:lang w:eastAsia="zh-CN"/>
        </w:rPr>
        <w:t>万元，增长</w:t>
      </w:r>
      <w:r>
        <w:rPr>
          <w:rFonts w:hint="eastAsia" w:ascii="方正仿宋_GBK" w:hAnsi="方正仿宋_GBK" w:eastAsia="方正仿宋_GBK" w:cs="方正仿宋_GBK"/>
          <w:sz w:val="32"/>
          <w:szCs w:val="32"/>
          <w:lang w:val="en-US"/>
        </w:rPr>
        <w:t>2.7%</w:t>
      </w:r>
      <w:r>
        <w:rPr>
          <w:rFonts w:ascii="方正仿宋_GBK" w:hAnsi="方正仿宋_GBK"/>
          <w:sz w:val="32"/>
          <w:szCs w:val="32"/>
          <w:lang w:eastAsia="zh-CN"/>
        </w:rPr>
        <w:t>，主要原因是人员工资、津贴、医疗保险、养老保险、住房公积金等都有所增加。人员经费用途主要包括基本工资、津贴补贴、奖金、伙食补助费、社会保障缴费和其他工资福利支出。公用经费</w:t>
      </w:r>
      <w:r>
        <w:rPr>
          <w:rFonts w:hint="eastAsia" w:ascii="方正仿宋_GBK" w:hAnsi="方正仿宋_GBK" w:eastAsia="方正仿宋_GBK" w:cs="方正仿宋_GBK"/>
          <w:sz w:val="32"/>
          <w:szCs w:val="32"/>
          <w:lang w:val="en-US"/>
        </w:rPr>
        <w:t>56.69</w:t>
      </w:r>
      <w:r>
        <w:rPr>
          <w:rFonts w:ascii="方正仿宋_GBK" w:hAnsi="方正仿宋_GBK"/>
          <w:sz w:val="32"/>
          <w:szCs w:val="32"/>
          <w:lang w:eastAsia="zh-CN"/>
        </w:rPr>
        <w:t>万元，较上年决算数减少</w:t>
      </w:r>
      <w:r>
        <w:rPr>
          <w:rFonts w:hint="eastAsia" w:ascii="方正仿宋_GBK" w:hAnsi="方正仿宋_GBK" w:eastAsia="方正仿宋_GBK" w:cs="方正仿宋_GBK"/>
          <w:sz w:val="32"/>
          <w:szCs w:val="32"/>
          <w:lang w:val="en-US"/>
        </w:rPr>
        <w:t>9.28</w:t>
      </w:r>
      <w:r>
        <w:rPr>
          <w:rFonts w:ascii="方正仿宋_GBK" w:hAnsi="方正仿宋_GBK"/>
          <w:sz w:val="32"/>
          <w:szCs w:val="32"/>
          <w:lang w:eastAsia="zh-CN"/>
        </w:rPr>
        <w:t>万元，下降</w:t>
      </w:r>
      <w:r>
        <w:rPr>
          <w:rFonts w:hint="eastAsia" w:ascii="方正仿宋_GBK" w:hAnsi="方正仿宋_GBK" w:eastAsia="方正仿宋_GBK" w:cs="方正仿宋_GBK"/>
          <w:sz w:val="32"/>
          <w:szCs w:val="32"/>
          <w:lang w:val="en-US"/>
        </w:rPr>
        <w:t>14.1%</w:t>
      </w:r>
      <w:r>
        <w:rPr>
          <w:rFonts w:ascii="方正仿宋_GBK" w:hAnsi="方正仿宋_GBK"/>
          <w:sz w:val="32"/>
          <w:szCs w:val="32"/>
          <w:lang w:eastAsia="zh-CN"/>
        </w:rPr>
        <w:t>，主要原因按政府过紧日子要求，厉行节约，严控支出。公用经费用途主要包括办公费、水费、电费、邮电费、物业管理费、差旅费、维修（护）费、公务接待费、劳务费、委托业务费、工会经费、福利费、公务用车运行维护费、其他交通费用、其他商品和服务支出。</w:t>
      </w:r>
    </w:p>
    <w:p w14:paraId="2C59945B">
      <w:pPr>
        <w:autoSpaceDE w:val="0"/>
        <w:autoSpaceDN/>
        <w:spacing w:line="500" w:lineRule="exact"/>
        <w:ind w:left="0" w:firstLine="640" w:firstLineChars="200"/>
        <w:rPr>
          <w:rFonts w:hint="default" w:ascii="方正黑体_GBK" w:hAnsi="方正黑体_GBK" w:eastAsia="方正黑体_GBK" w:cs="方正黑体_GBK"/>
          <w:bCs/>
          <w:sz w:val="32"/>
          <w:szCs w:val="32"/>
          <w:lang w:val="en-US"/>
        </w:rPr>
      </w:pPr>
      <w:r>
        <w:rPr>
          <w:rFonts w:ascii="方正黑体_GBK" w:hAnsi="方正黑体_GBK"/>
          <w:bCs/>
          <w:sz w:val="32"/>
          <w:szCs w:val="32"/>
          <w:lang w:eastAsia="zh-CN"/>
        </w:rPr>
        <w:t>三、</w:t>
      </w:r>
      <w:r>
        <w:rPr>
          <w:rFonts w:hint="default" w:ascii="方正黑体_GBK" w:hAnsi="方正黑体_GBK" w:eastAsia="方正黑体_GBK" w:cs="方正黑体_GBK"/>
          <w:bCs/>
          <w:sz w:val="32"/>
          <w:szCs w:val="32"/>
          <w:lang w:val="en-US"/>
        </w:rPr>
        <w:t>“</w:t>
      </w:r>
      <w:r>
        <w:rPr>
          <w:rFonts w:ascii="方正黑体_GBK" w:hAnsi="方正黑体_GBK"/>
          <w:bCs/>
          <w:sz w:val="32"/>
          <w:szCs w:val="32"/>
          <w:lang w:eastAsia="zh-CN"/>
        </w:rPr>
        <w:t>三公</w:t>
      </w:r>
      <w:r>
        <w:rPr>
          <w:rFonts w:hint="default" w:ascii="方正黑体_GBK" w:hAnsi="方正黑体_GBK" w:eastAsia="方正黑体_GBK" w:cs="方正黑体_GBK"/>
          <w:bCs/>
          <w:sz w:val="32"/>
          <w:szCs w:val="32"/>
          <w:lang w:val="en-US"/>
        </w:rPr>
        <w:t>”</w:t>
      </w:r>
      <w:r>
        <w:rPr>
          <w:rFonts w:ascii="方正黑体_GBK" w:hAnsi="方正黑体_GBK"/>
          <w:bCs/>
          <w:sz w:val="32"/>
          <w:szCs w:val="32"/>
          <w:lang w:eastAsia="zh-CN"/>
        </w:rPr>
        <w:t>经费情况说明</w:t>
      </w:r>
    </w:p>
    <w:p w14:paraId="17B8F9A9">
      <w:pPr>
        <w:autoSpaceDE w:val="0"/>
        <w:autoSpaceDN/>
        <w:spacing w:line="500" w:lineRule="exact"/>
        <w:ind w:left="0" w:firstLine="640" w:firstLineChars="200"/>
        <w:rPr>
          <w:rFonts w:hint="default" w:ascii="方正楷体_GBK" w:hAnsi="方正楷体_GBK" w:eastAsia="方正楷体_GBK" w:cs="方正楷体_GBK"/>
          <w:sz w:val="32"/>
          <w:szCs w:val="32"/>
          <w:lang w:val="en-US"/>
        </w:rPr>
      </w:pPr>
      <w:r>
        <w:rPr>
          <w:rFonts w:ascii="方正楷体_GBK" w:hAnsi="方正楷体_GBK"/>
          <w:sz w:val="32"/>
          <w:szCs w:val="32"/>
          <w:lang w:eastAsia="zh-CN"/>
        </w:rPr>
        <w:t>（一）</w:t>
      </w:r>
      <w:r>
        <w:rPr>
          <w:rFonts w:hint="default" w:ascii="方正楷体_GBK" w:hAnsi="方正楷体_GBK" w:eastAsia="方正楷体_GBK" w:cs="方正楷体_GBK"/>
          <w:sz w:val="32"/>
          <w:szCs w:val="32"/>
          <w:lang w:val="en-US"/>
        </w:rPr>
        <w:t>“</w:t>
      </w:r>
      <w:r>
        <w:rPr>
          <w:rFonts w:ascii="方正楷体_GBK" w:hAnsi="方正楷体_GBK"/>
          <w:sz w:val="32"/>
          <w:szCs w:val="32"/>
          <w:lang w:eastAsia="zh-CN"/>
        </w:rPr>
        <w:t>三公</w:t>
      </w:r>
      <w:r>
        <w:rPr>
          <w:rFonts w:hint="default" w:ascii="方正楷体_GBK" w:hAnsi="方正楷体_GBK" w:eastAsia="方正楷体_GBK" w:cs="方正楷体_GBK"/>
          <w:sz w:val="32"/>
          <w:szCs w:val="32"/>
          <w:lang w:val="en-US"/>
        </w:rPr>
        <w:t>”</w:t>
      </w:r>
      <w:r>
        <w:rPr>
          <w:rFonts w:ascii="方正楷体_GBK" w:hAnsi="方正楷体_GBK"/>
          <w:sz w:val="32"/>
          <w:szCs w:val="32"/>
          <w:lang w:eastAsia="zh-CN"/>
        </w:rPr>
        <w:t>经费支出总体情况说明</w:t>
      </w:r>
    </w:p>
    <w:p w14:paraId="657B9BCD">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lang w:val="en-US"/>
        </w:rPr>
        <w:t>2020</w:t>
      </w:r>
      <w:r>
        <w:rPr>
          <w:rFonts w:ascii="方正仿宋_GBK" w:hAnsi="方正仿宋_GBK"/>
          <w:sz w:val="32"/>
          <w:szCs w:val="32"/>
          <w:lang w:eastAsia="zh-CN"/>
        </w:rPr>
        <w:t>年度</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三公</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经费支出共计</w:t>
      </w:r>
      <w:r>
        <w:rPr>
          <w:rFonts w:hint="eastAsia" w:ascii="方正仿宋_GBK" w:hAnsi="方正仿宋_GBK" w:eastAsia="方正仿宋_GBK" w:cs="方正仿宋_GBK"/>
          <w:sz w:val="32"/>
          <w:szCs w:val="32"/>
          <w:lang w:val="en-US"/>
        </w:rPr>
        <w:t>23.71</w:t>
      </w:r>
      <w:r>
        <w:rPr>
          <w:rFonts w:ascii="方正仿宋_GBK" w:hAnsi="方正仿宋_GBK"/>
          <w:sz w:val="32"/>
          <w:szCs w:val="32"/>
          <w:lang w:eastAsia="zh-CN"/>
        </w:rPr>
        <w:t>万元，较年初预算数减少</w:t>
      </w:r>
      <w:r>
        <w:rPr>
          <w:rFonts w:hint="eastAsia" w:ascii="方正仿宋_GBK" w:hAnsi="方正仿宋_GBK" w:eastAsia="方正仿宋_GBK" w:cs="方正仿宋_GBK"/>
          <w:sz w:val="32"/>
          <w:szCs w:val="32"/>
          <w:lang w:val="en-US"/>
        </w:rPr>
        <w:t>20.39</w:t>
      </w:r>
      <w:r>
        <w:rPr>
          <w:rFonts w:ascii="方正仿宋_GBK" w:hAnsi="方正仿宋_GBK"/>
          <w:sz w:val="32"/>
          <w:szCs w:val="32"/>
          <w:lang w:eastAsia="zh-CN"/>
        </w:rPr>
        <w:t>万元，下降</w:t>
      </w:r>
      <w:r>
        <w:rPr>
          <w:rFonts w:hint="eastAsia" w:ascii="方正仿宋_GBK" w:hAnsi="方正仿宋_GBK" w:eastAsia="方正仿宋_GBK" w:cs="方正仿宋_GBK"/>
          <w:sz w:val="32"/>
          <w:szCs w:val="32"/>
          <w:lang w:val="en-US"/>
        </w:rPr>
        <w:t>46.2%</w:t>
      </w:r>
      <w:r>
        <w:rPr>
          <w:rFonts w:ascii="方正仿宋_GBK" w:hAnsi="方正仿宋_GBK"/>
          <w:sz w:val="32"/>
          <w:szCs w:val="32"/>
          <w:lang w:eastAsia="zh-CN"/>
        </w:rPr>
        <w:t>，主要原因是按政府过紧日子要求，厉行节约，严控支出。</w:t>
      </w:r>
      <w:r>
        <w:rPr>
          <w:rFonts w:hint="eastAsia" w:ascii="方正仿宋_GBK" w:hAnsi="方正仿宋_GBK" w:eastAsia="方正仿宋_GBK" w:cs="方正仿宋_GBK"/>
          <w:sz w:val="32"/>
          <w:szCs w:val="32"/>
          <w:lang w:eastAsia="zh-CN"/>
        </w:rPr>
        <w:t xml:space="preserve"> </w:t>
      </w:r>
      <w:r>
        <w:rPr>
          <w:rFonts w:ascii="方正仿宋_GBK" w:hAnsi="方正仿宋_GBK"/>
          <w:sz w:val="32"/>
          <w:szCs w:val="32"/>
          <w:lang w:eastAsia="zh-CN"/>
        </w:rPr>
        <w:t>较上年支出数减少</w:t>
      </w:r>
      <w:r>
        <w:rPr>
          <w:rFonts w:hint="eastAsia" w:ascii="方正仿宋_GBK" w:hAnsi="方正仿宋_GBK" w:eastAsia="方正仿宋_GBK" w:cs="方正仿宋_GBK"/>
          <w:sz w:val="32"/>
          <w:szCs w:val="32"/>
          <w:lang w:val="en-US"/>
        </w:rPr>
        <w:t>0.95</w:t>
      </w:r>
      <w:r>
        <w:rPr>
          <w:rFonts w:ascii="方正仿宋_GBK" w:hAnsi="方正仿宋_GBK"/>
          <w:sz w:val="32"/>
          <w:szCs w:val="32"/>
          <w:lang w:eastAsia="zh-CN"/>
        </w:rPr>
        <w:t>万</w:t>
      </w:r>
      <w:r>
        <w:rPr>
          <w:rFonts w:hint="eastAsia" w:ascii="方正仿宋_GBK" w:hAnsi="方正仿宋_GBK" w:eastAsia="方正仿宋_GBK" w:cs="方正仿宋_GBK"/>
          <w:sz w:val="32"/>
          <w:szCs w:val="32"/>
          <w:lang w:eastAsia="zh-CN"/>
        </w:rPr>
        <w:t xml:space="preserve"> </w:t>
      </w:r>
      <w:r>
        <w:rPr>
          <w:rFonts w:ascii="方正仿宋_GBK" w:hAnsi="方正仿宋_GBK"/>
          <w:sz w:val="32"/>
          <w:szCs w:val="32"/>
          <w:lang w:eastAsia="zh-CN"/>
        </w:rPr>
        <w:t>元，下降</w:t>
      </w:r>
      <w:r>
        <w:rPr>
          <w:rFonts w:hint="eastAsia" w:ascii="方正仿宋_GBK" w:hAnsi="方正仿宋_GBK" w:eastAsia="方正仿宋_GBK" w:cs="方正仿宋_GBK"/>
          <w:sz w:val="32"/>
          <w:szCs w:val="32"/>
          <w:lang w:val="en-US"/>
        </w:rPr>
        <w:t>3.9%</w:t>
      </w:r>
      <w:r>
        <w:rPr>
          <w:rFonts w:ascii="方正仿宋_GBK" w:hAnsi="方正仿宋_GBK"/>
          <w:sz w:val="32"/>
          <w:szCs w:val="32"/>
          <w:lang w:eastAsia="zh-CN"/>
        </w:rPr>
        <w:t>，主要原因是主要原因：一是认真贯彻落实中央八项规定精神，按照只减不增的要求从严控制</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三公</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经费，全年实际支出较预算和决算均有所下降。二是严格落实公车使用规定，公车运行维护成本大幅下降。三是强化公务接待支出管理，严格遵守公务接待开支范围和开支标准，严格控制陪餐人数，对应由接待对象承担的费用一律由接待对象自行支付，公务接待费大幅下降。</w:t>
      </w:r>
      <w:r>
        <w:rPr>
          <w:rFonts w:hint="eastAsia" w:ascii="方正仿宋_GBK" w:hAnsi="方正仿宋_GBK" w:eastAsia="方正仿宋_GBK" w:cs="方正仿宋_GBK"/>
          <w:sz w:val="32"/>
          <w:szCs w:val="32"/>
          <w:lang w:val="en-US"/>
        </w:rPr>
        <w:t xml:space="preserve">   </w:t>
      </w:r>
    </w:p>
    <w:p w14:paraId="693C2621">
      <w:pPr>
        <w:autoSpaceDE w:val="0"/>
        <w:autoSpaceDN/>
        <w:spacing w:line="500" w:lineRule="exact"/>
        <w:ind w:left="0" w:firstLine="640" w:firstLineChars="200"/>
        <w:rPr>
          <w:rFonts w:hint="default" w:ascii="方正楷体_GBK" w:hAnsi="方正楷体_GBK" w:eastAsia="方正楷体_GBK" w:cs="方正楷体_GBK"/>
          <w:sz w:val="32"/>
          <w:szCs w:val="32"/>
          <w:lang w:val="en-US"/>
        </w:rPr>
      </w:pPr>
      <w:r>
        <w:rPr>
          <w:rFonts w:ascii="方正楷体_GBK" w:hAnsi="方正楷体_GBK"/>
          <w:sz w:val="32"/>
          <w:szCs w:val="32"/>
          <w:lang w:eastAsia="zh-CN"/>
        </w:rPr>
        <w:t>（二）</w:t>
      </w:r>
      <w:r>
        <w:rPr>
          <w:rFonts w:hint="default" w:ascii="方正楷体_GBK" w:hAnsi="方正楷体_GBK" w:eastAsia="方正楷体_GBK" w:cs="方正楷体_GBK"/>
          <w:sz w:val="32"/>
          <w:szCs w:val="32"/>
          <w:lang w:val="en-US"/>
        </w:rPr>
        <w:t>“</w:t>
      </w:r>
      <w:r>
        <w:rPr>
          <w:rFonts w:ascii="方正楷体_GBK" w:hAnsi="方正楷体_GBK"/>
          <w:sz w:val="32"/>
          <w:szCs w:val="32"/>
          <w:lang w:eastAsia="zh-CN"/>
        </w:rPr>
        <w:t>三公</w:t>
      </w:r>
      <w:r>
        <w:rPr>
          <w:rFonts w:hint="default" w:ascii="方正楷体_GBK" w:hAnsi="方正楷体_GBK" w:eastAsia="方正楷体_GBK" w:cs="方正楷体_GBK"/>
          <w:sz w:val="32"/>
          <w:szCs w:val="32"/>
          <w:lang w:val="en-US"/>
        </w:rPr>
        <w:t>”</w:t>
      </w:r>
      <w:r>
        <w:rPr>
          <w:rFonts w:ascii="方正楷体_GBK" w:hAnsi="方正楷体_GBK"/>
          <w:sz w:val="32"/>
          <w:szCs w:val="32"/>
          <w:lang w:eastAsia="zh-CN"/>
        </w:rPr>
        <w:t>经费分项支出情况</w:t>
      </w:r>
    </w:p>
    <w:p w14:paraId="09F563BF">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仿宋_GBK" w:hAnsi="方正仿宋_GBK"/>
          <w:sz w:val="32"/>
          <w:szCs w:val="32"/>
          <w:lang w:eastAsia="zh-CN"/>
        </w:rPr>
        <w:t>本部门</w:t>
      </w:r>
      <w:r>
        <w:rPr>
          <w:rFonts w:hint="eastAsia" w:ascii="方正仿宋_GBK" w:hAnsi="方正仿宋_GBK" w:eastAsia="方正仿宋_GBK" w:cs="方正仿宋_GBK"/>
          <w:sz w:val="32"/>
          <w:szCs w:val="32"/>
          <w:lang w:val="en-US"/>
        </w:rPr>
        <w:t>2020</w:t>
      </w:r>
      <w:r>
        <w:rPr>
          <w:rFonts w:ascii="方正仿宋_GBK" w:hAnsi="方正仿宋_GBK"/>
          <w:sz w:val="32"/>
          <w:szCs w:val="32"/>
          <w:lang w:eastAsia="zh-CN"/>
        </w:rPr>
        <w:t>年度未发生因公出国（境）费用。</w:t>
      </w:r>
    </w:p>
    <w:p w14:paraId="2EF17C3F">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仿宋_GBK" w:hAnsi="方正仿宋_GBK"/>
          <w:sz w:val="32"/>
          <w:szCs w:val="32"/>
          <w:lang w:eastAsia="zh-CN"/>
        </w:rPr>
        <w:t>本部门</w:t>
      </w:r>
      <w:r>
        <w:rPr>
          <w:rFonts w:hint="eastAsia" w:ascii="方正仿宋_GBK" w:hAnsi="方正仿宋_GBK" w:eastAsia="方正仿宋_GBK" w:cs="方正仿宋_GBK"/>
          <w:sz w:val="32"/>
          <w:szCs w:val="32"/>
          <w:lang w:val="en-US"/>
        </w:rPr>
        <w:t>2020</w:t>
      </w:r>
      <w:r>
        <w:rPr>
          <w:rFonts w:ascii="方正仿宋_GBK" w:hAnsi="方正仿宋_GBK"/>
          <w:sz w:val="32"/>
          <w:szCs w:val="32"/>
          <w:lang w:eastAsia="zh-CN"/>
        </w:rPr>
        <w:t>年度未发生公务车购置费。</w:t>
      </w:r>
    </w:p>
    <w:p w14:paraId="2122A10B">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仿宋_GBK" w:hAnsi="方正仿宋_GBK"/>
          <w:sz w:val="32"/>
          <w:szCs w:val="32"/>
          <w:lang w:eastAsia="zh-CN"/>
        </w:rPr>
        <w:t>公务车运行维护费</w:t>
      </w:r>
      <w:r>
        <w:rPr>
          <w:rFonts w:hint="eastAsia" w:ascii="方正仿宋_GBK" w:hAnsi="方正仿宋_GBK" w:eastAsia="方正仿宋_GBK" w:cs="方正仿宋_GBK"/>
          <w:sz w:val="32"/>
          <w:szCs w:val="32"/>
          <w:lang w:val="en-US"/>
        </w:rPr>
        <w:t>15.21</w:t>
      </w:r>
      <w:r>
        <w:rPr>
          <w:rFonts w:ascii="方正仿宋_GBK" w:hAnsi="方正仿宋_GBK"/>
          <w:sz w:val="32"/>
          <w:szCs w:val="32"/>
          <w:lang w:eastAsia="zh-CN"/>
        </w:rPr>
        <w:t>万元，主要用于主要用于市内因公出行、执法检查、监测采样等工作所需车辆的燃料费、维修费、过桥过路费、保险费等。费用支出较年初预算数减少</w:t>
      </w:r>
      <w:r>
        <w:rPr>
          <w:rFonts w:hint="eastAsia" w:ascii="方正仿宋_GBK" w:hAnsi="方正仿宋_GBK" w:eastAsia="方正仿宋_GBK" w:cs="方正仿宋_GBK"/>
          <w:sz w:val="32"/>
          <w:szCs w:val="32"/>
          <w:lang w:val="en-US"/>
        </w:rPr>
        <w:t>21.29</w:t>
      </w:r>
      <w:r>
        <w:rPr>
          <w:rFonts w:ascii="方正仿宋_GBK" w:hAnsi="方正仿宋_GBK"/>
          <w:sz w:val="32"/>
          <w:szCs w:val="32"/>
          <w:lang w:eastAsia="zh-CN"/>
        </w:rPr>
        <w:t>万元，下降</w:t>
      </w:r>
      <w:r>
        <w:rPr>
          <w:rFonts w:hint="eastAsia" w:ascii="方正仿宋_GBK" w:hAnsi="方正仿宋_GBK" w:eastAsia="方正仿宋_GBK" w:cs="方正仿宋_GBK"/>
          <w:sz w:val="32"/>
          <w:szCs w:val="32"/>
          <w:lang w:val="en-US"/>
        </w:rPr>
        <w:t>58.3%</w:t>
      </w:r>
      <w:r>
        <w:rPr>
          <w:rFonts w:ascii="方正仿宋_GBK" w:hAnsi="方正仿宋_GBK"/>
          <w:sz w:val="32"/>
          <w:szCs w:val="32"/>
          <w:lang w:eastAsia="zh-CN"/>
        </w:rPr>
        <w:t>，主要原因是完善相关公务车管理的相关费用，严格控制费用的支出。较上年支出数减少</w:t>
      </w:r>
      <w:r>
        <w:rPr>
          <w:rFonts w:hint="eastAsia" w:ascii="方正仿宋_GBK" w:hAnsi="方正仿宋_GBK" w:eastAsia="方正仿宋_GBK" w:cs="方正仿宋_GBK"/>
          <w:sz w:val="32"/>
          <w:szCs w:val="32"/>
          <w:lang w:val="en-US"/>
        </w:rPr>
        <w:t>3.20</w:t>
      </w:r>
      <w:r>
        <w:rPr>
          <w:rFonts w:ascii="方正仿宋_GBK" w:hAnsi="方正仿宋_GBK"/>
          <w:sz w:val="32"/>
          <w:szCs w:val="32"/>
          <w:lang w:eastAsia="zh-CN"/>
        </w:rPr>
        <w:t>万元，下降</w:t>
      </w:r>
      <w:r>
        <w:rPr>
          <w:rFonts w:hint="eastAsia" w:ascii="方正仿宋_GBK" w:hAnsi="方正仿宋_GBK" w:eastAsia="方正仿宋_GBK" w:cs="方正仿宋_GBK"/>
          <w:sz w:val="32"/>
          <w:szCs w:val="32"/>
          <w:lang w:val="en-US"/>
        </w:rPr>
        <w:t>17.4%</w:t>
      </w:r>
      <w:r>
        <w:rPr>
          <w:rFonts w:ascii="方正仿宋_GBK" w:hAnsi="方正仿宋_GBK"/>
          <w:sz w:val="32"/>
          <w:szCs w:val="32"/>
          <w:lang w:eastAsia="zh-CN"/>
        </w:rPr>
        <w:t>，主要原因是主要原因是完善相关公务车管理的相关费用，严格控制费用的支出。</w:t>
      </w:r>
    </w:p>
    <w:p w14:paraId="3C986B17">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仿宋_GBK" w:hAnsi="方正仿宋_GBK"/>
          <w:sz w:val="32"/>
          <w:szCs w:val="32"/>
          <w:lang w:eastAsia="zh-CN"/>
        </w:rPr>
        <w:t>公务接待费</w:t>
      </w:r>
      <w:r>
        <w:rPr>
          <w:rFonts w:hint="eastAsia" w:ascii="方正仿宋_GBK" w:hAnsi="方正仿宋_GBK" w:eastAsia="方正仿宋_GBK" w:cs="方正仿宋_GBK"/>
          <w:sz w:val="32"/>
          <w:szCs w:val="32"/>
          <w:lang w:val="en-US"/>
        </w:rPr>
        <w:t>8.50</w:t>
      </w:r>
      <w:r>
        <w:rPr>
          <w:rFonts w:ascii="方正仿宋_GBK" w:hAnsi="方正仿宋_GBK"/>
          <w:sz w:val="32"/>
          <w:szCs w:val="32"/>
          <w:lang w:eastAsia="zh-CN"/>
        </w:rPr>
        <w:t>万元，主要用于接待接受相关部门检查指导工作发生的接待以及和彼临县进行水质联合采样发生的接待支出。费用支出较年初预算数增加</w:t>
      </w:r>
      <w:r>
        <w:rPr>
          <w:rFonts w:hint="eastAsia" w:ascii="方正仿宋_GBK" w:hAnsi="方正仿宋_GBK" w:eastAsia="方正仿宋_GBK" w:cs="方正仿宋_GBK"/>
          <w:sz w:val="32"/>
          <w:szCs w:val="32"/>
          <w:lang w:val="en-US"/>
        </w:rPr>
        <w:t>0.90</w:t>
      </w:r>
      <w:r>
        <w:rPr>
          <w:rFonts w:ascii="方正仿宋_GBK" w:hAnsi="方正仿宋_GBK"/>
          <w:sz w:val="32"/>
          <w:szCs w:val="32"/>
          <w:lang w:eastAsia="zh-CN"/>
        </w:rPr>
        <w:t>万元，增长</w:t>
      </w:r>
      <w:r>
        <w:rPr>
          <w:rFonts w:hint="eastAsia" w:ascii="方正仿宋_GBK" w:hAnsi="方正仿宋_GBK" w:eastAsia="方正仿宋_GBK" w:cs="方正仿宋_GBK"/>
          <w:sz w:val="32"/>
          <w:szCs w:val="32"/>
          <w:lang w:val="en-US"/>
        </w:rPr>
        <w:t>11.8%</w:t>
      </w:r>
      <w:r>
        <w:rPr>
          <w:rFonts w:ascii="方正仿宋_GBK" w:hAnsi="方正仿宋_GBK"/>
          <w:sz w:val="32"/>
          <w:szCs w:val="32"/>
          <w:lang w:eastAsia="zh-CN"/>
        </w:rPr>
        <w:t>，主要原因是市级督查接待增加。较上年支出数增加</w:t>
      </w:r>
      <w:r>
        <w:rPr>
          <w:rFonts w:hint="eastAsia" w:ascii="方正仿宋_GBK" w:hAnsi="方正仿宋_GBK" w:eastAsia="方正仿宋_GBK" w:cs="方正仿宋_GBK"/>
          <w:sz w:val="32"/>
          <w:szCs w:val="32"/>
          <w:lang w:val="en-US"/>
        </w:rPr>
        <w:t>2.25</w:t>
      </w:r>
      <w:r>
        <w:rPr>
          <w:rFonts w:ascii="方正仿宋_GBK" w:hAnsi="方正仿宋_GBK"/>
          <w:sz w:val="32"/>
          <w:szCs w:val="32"/>
          <w:lang w:eastAsia="zh-CN"/>
        </w:rPr>
        <w:t>万元，增长</w:t>
      </w:r>
      <w:r>
        <w:rPr>
          <w:rFonts w:hint="eastAsia" w:ascii="方正仿宋_GBK" w:hAnsi="方正仿宋_GBK" w:eastAsia="方正仿宋_GBK" w:cs="方正仿宋_GBK"/>
          <w:sz w:val="32"/>
          <w:szCs w:val="32"/>
          <w:lang w:val="en-US"/>
        </w:rPr>
        <w:t>36%</w:t>
      </w:r>
      <w:r>
        <w:rPr>
          <w:rFonts w:ascii="方正仿宋_GBK" w:hAnsi="方正仿宋_GBK"/>
          <w:sz w:val="32"/>
          <w:szCs w:val="32"/>
          <w:lang w:eastAsia="zh-CN"/>
        </w:rPr>
        <w:t>，主要原因主要原因是市级督查接待增加。</w:t>
      </w:r>
    </w:p>
    <w:p w14:paraId="35154BCC">
      <w:pPr>
        <w:autoSpaceDE w:val="0"/>
        <w:autoSpaceDN/>
        <w:spacing w:line="500" w:lineRule="exact"/>
        <w:ind w:left="0" w:firstLine="480" w:firstLineChars="150"/>
        <w:rPr>
          <w:rFonts w:hint="default" w:ascii="方正楷体_GBK" w:hAnsi="方正楷体_GBK" w:eastAsia="方正楷体_GBK" w:cs="方正楷体_GBK"/>
          <w:sz w:val="32"/>
          <w:szCs w:val="32"/>
          <w:lang w:val="en-US"/>
        </w:rPr>
      </w:pPr>
      <w:r>
        <w:rPr>
          <w:rFonts w:ascii="方正楷体_GBK" w:hAnsi="方正楷体_GBK"/>
          <w:sz w:val="32"/>
          <w:szCs w:val="32"/>
          <w:lang w:eastAsia="zh-CN"/>
        </w:rPr>
        <w:t>（三）</w:t>
      </w:r>
      <w:r>
        <w:rPr>
          <w:rFonts w:hint="default" w:ascii="方正楷体_GBK" w:hAnsi="方正楷体_GBK" w:eastAsia="方正楷体_GBK" w:cs="方正楷体_GBK"/>
          <w:sz w:val="32"/>
          <w:szCs w:val="32"/>
          <w:lang w:val="en-US"/>
        </w:rPr>
        <w:t>“</w:t>
      </w:r>
      <w:r>
        <w:rPr>
          <w:rFonts w:ascii="方正楷体_GBK" w:hAnsi="方正楷体_GBK"/>
          <w:sz w:val="32"/>
          <w:szCs w:val="32"/>
          <w:lang w:eastAsia="zh-CN"/>
        </w:rPr>
        <w:t>三公</w:t>
      </w:r>
      <w:r>
        <w:rPr>
          <w:rFonts w:hint="default" w:ascii="方正楷体_GBK" w:hAnsi="方正楷体_GBK" w:eastAsia="方正楷体_GBK" w:cs="方正楷体_GBK"/>
          <w:sz w:val="32"/>
          <w:szCs w:val="32"/>
          <w:lang w:val="en-US"/>
        </w:rPr>
        <w:t>”</w:t>
      </w:r>
      <w:r>
        <w:rPr>
          <w:rFonts w:ascii="方正楷体_GBK" w:hAnsi="方正楷体_GBK"/>
          <w:sz w:val="32"/>
          <w:szCs w:val="32"/>
          <w:lang w:eastAsia="zh-CN"/>
        </w:rPr>
        <w:t>经费实物量情况</w:t>
      </w:r>
    </w:p>
    <w:p w14:paraId="41586330">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lang w:val="en-US"/>
        </w:rPr>
        <w:t>2020</w:t>
      </w:r>
      <w:r>
        <w:rPr>
          <w:rFonts w:ascii="方正仿宋_GBK" w:hAnsi="方正仿宋_GBK"/>
          <w:sz w:val="32"/>
          <w:szCs w:val="32"/>
          <w:lang w:eastAsia="zh-CN"/>
        </w:rPr>
        <w:t>年度本部门因公出国（境）共计</w:t>
      </w:r>
      <w:r>
        <w:rPr>
          <w:rFonts w:hint="eastAsia" w:ascii="方正仿宋_GBK" w:hAnsi="方正仿宋_GBK" w:eastAsia="方正仿宋_GBK" w:cs="方正仿宋_GBK"/>
          <w:sz w:val="32"/>
          <w:szCs w:val="32"/>
          <w:lang w:val="en-US"/>
        </w:rPr>
        <w:t>0</w:t>
      </w:r>
      <w:r>
        <w:rPr>
          <w:rFonts w:ascii="方正仿宋_GBK" w:hAnsi="方正仿宋_GBK"/>
          <w:sz w:val="32"/>
          <w:szCs w:val="32"/>
          <w:lang w:eastAsia="zh-CN"/>
        </w:rPr>
        <w:t>个团组，</w:t>
      </w:r>
      <w:r>
        <w:rPr>
          <w:rFonts w:hint="eastAsia" w:ascii="方正仿宋_GBK" w:hAnsi="方正仿宋_GBK" w:eastAsia="方正仿宋_GBK" w:cs="方正仿宋_GBK"/>
          <w:sz w:val="32"/>
          <w:szCs w:val="32"/>
          <w:lang w:val="en-US"/>
        </w:rPr>
        <w:t>0</w:t>
      </w:r>
      <w:r>
        <w:rPr>
          <w:rFonts w:ascii="方正仿宋_GBK" w:hAnsi="方正仿宋_GBK"/>
          <w:sz w:val="32"/>
          <w:szCs w:val="32"/>
          <w:lang w:eastAsia="zh-CN"/>
        </w:rPr>
        <w:t>人；公务用车购置</w:t>
      </w:r>
      <w:r>
        <w:rPr>
          <w:rFonts w:hint="eastAsia" w:ascii="方正仿宋_GBK" w:hAnsi="方正仿宋_GBK" w:eastAsia="方正仿宋_GBK" w:cs="方正仿宋_GBK"/>
          <w:sz w:val="32"/>
          <w:szCs w:val="32"/>
          <w:lang w:val="en-US"/>
        </w:rPr>
        <w:t>0</w:t>
      </w:r>
      <w:r>
        <w:rPr>
          <w:rFonts w:ascii="方正仿宋_GBK" w:hAnsi="方正仿宋_GBK"/>
          <w:sz w:val="32"/>
          <w:szCs w:val="32"/>
          <w:lang w:eastAsia="zh-CN"/>
        </w:rPr>
        <w:t>辆，公务车保有量为</w:t>
      </w:r>
      <w:r>
        <w:rPr>
          <w:rFonts w:hint="eastAsia" w:ascii="方正仿宋_GBK" w:hAnsi="方正仿宋_GBK" w:eastAsia="方正仿宋_GBK" w:cs="方正仿宋_GBK"/>
          <w:sz w:val="32"/>
          <w:szCs w:val="32"/>
          <w:lang w:val="en-US"/>
        </w:rPr>
        <w:t>5</w:t>
      </w:r>
      <w:r>
        <w:rPr>
          <w:rFonts w:ascii="方正仿宋_GBK" w:hAnsi="方正仿宋_GBK"/>
          <w:sz w:val="32"/>
          <w:szCs w:val="32"/>
          <w:lang w:eastAsia="zh-CN"/>
        </w:rPr>
        <w:t>辆；国内公务接待</w:t>
      </w:r>
      <w:r>
        <w:rPr>
          <w:rFonts w:hint="eastAsia" w:ascii="方正仿宋_GBK" w:hAnsi="方正仿宋_GBK" w:eastAsia="方正仿宋_GBK" w:cs="方正仿宋_GBK"/>
          <w:sz w:val="32"/>
          <w:szCs w:val="32"/>
          <w:lang w:val="en-US"/>
        </w:rPr>
        <w:t>55</w:t>
      </w:r>
      <w:r>
        <w:rPr>
          <w:rFonts w:ascii="方正仿宋_GBK" w:hAnsi="方正仿宋_GBK"/>
          <w:sz w:val="32"/>
          <w:szCs w:val="32"/>
          <w:lang w:eastAsia="zh-CN"/>
        </w:rPr>
        <w:t>批次</w:t>
      </w:r>
      <w:r>
        <w:rPr>
          <w:rFonts w:hint="eastAsia" w:ascii="方正仿宋_GBK" w:hAnsi="方正仿宋_GBK" w:eastAsia="方正仿宋_GBK" w:cs="方正仿宋_GBK"/>
          <w:sz w:val="32"/>
          <w:szCs w:val="32"/>
          <w:lang w:val="en-US"/>
        </w:rPr>
        <w:t>480</w:t>
      </w:r>
      <w:r>
        <w:rPr>
          <w:rFonts w:ascii="方正仿宋_GBK" w:hAnsi="方正仿宋_GBK"/>
          <w:sz w:val="32"/>
          <w:szCs w:val="32"/>
          <w:lang w:eastAsia="zh-CN"/>
        </w:rPr>
        <w:t>人，其中：国内外</w:t>
      </w:r>
      <w:r>
        <w:rPr>
          <w:rFonts w:hint="eastAsia" w:ascii="方正仿宋_GBK" w:hAnsi="方正仿宋_GBK" w:eastAsia="方正仿宋_GBK" w:cs="方正仿宋_GBK"/>
          <w:sz w:val="32"/>
          <w:szCs w:val="32"/>
          <w:lang w:eastAsia="zh-CN"/>
        </w:rPr>
        <w:t xml:space="preserve"> </w:t>
      </w:r>
      <w:r>
        <w:rPr>
          <w:rFonts w:ascii="方正仿宋_GBK" w:hAnsi="方正仿宋_GBK"/>
          <w:sz w:val="32"/>
          <w:szCs w:val="32"/>
          <w:lang w:eastAsia="zh-CN"/>
        </w:rPr>
        <w:t>事接待</w:t>
      </w:r>
      <w:r>
        <w:rPr>
          <w:rFonts w:hint="eastAsia" w:ascii="方正仿宋_GBK" w:hAnsi="方正仿宋_GBK" w:eastAsia="方正仿宋_GBK" w:cs="方正仿宋_GBK"/>
          <w:sz w:val="32"/>
          <w:szCs w:val="32"/>
          <w:lang w:val="en-US"/>
        </w:rPr>
        <w:t>0</w:t>
      </w:r>
      <w:r>
        <w:rPr>
          <w:rFonts w:ascii="方正仿宋_GBK" w:hAnsi="方正仿宋_GBK"/>
          <w:sz w:val="32"/>
          <w:szCs w:val="32"/>
          <w:lang w:eastAsia="zh-CN"/>
        </w:rPr>
        <w:t>批次，</w:t>
      </w:r>
      <w:r>
        <w:rPr>
          <w:rFonts w:hint="eastAsia" w:ascii="方正仿宋_GBK" w:hAnsi="方正仿宋_GBK" w:eastAsia="方正仿宋_GBK" w:cs="方正仿宋_GBK"/>
          <w:sz w:val="32"/>
          <w:szCs w:val="32"/>
          <w:lang w:val="en-US"/>
        </w:rPr>
        <w:t>0</w:t>
      </w:r>
      <w:r>
        <w:rPr>
          <w:rFonts w:ascii="方正仿宋_GBK" w:hAnsi="方正仿宋_GBK"/>
          <w:sz w:val="32"/>
          <w:szCs w:val="32"/>
          <w:lang w:eastAsia="zh-CN"/>
        </w:rPr>
        <w:t>人；国（境）外公务接待</w:t>
      </w:r>
      <w:r>
        <w:rPr>
          <w:rFonts w:hint="eastAsia" w:ascii="方正仿宋_GBK" w:hAnsi="方正仿宋_GBK" w:eastAsia="方正仿宋_GBK" w:cs="方正仿宋_GBK"/>
          <w:sz w:val="32"/>
          <w:szCs w:val="32"/>
          <w:lang w:val="en-US"/>
        </w:rPr>
        <w:t>0</w:t>
      </w:r>
      <w:r>
        <w:rPr>
          <w:rFonts w:ascii="方正仿宋_GBK" w:hAnsi="方正仿宋_GBK"/>
          <w:sz w:val="32"/>
          <w:szCs w:val="32"/>
          <w:lang w:eastAsia="zh-CN"/>
        </w:rPr>
        <w:t>批次，</w:t>
      </w:r>
      <w:r>
        <w:rPr>
          <w:rFonts w:hint="eastAsia" w:ascii="方正仿宋_GBK" w:hAnsi="方正仿宋_GBK" w:eastAsia="方正仿宋_GBK" w:cs="方正仿宋_GBK"/>
          <w:sz w:val="32"/>
          <w:szCs w:val="32"/>
          <w:lang w:val="en-US"/>
        </w:rPr>
        <w:t>0</w:t>
      </w:r>
      <w:r>
        <w:rPr>
          <w:rFonts w:ascii="方正仿宋_GBK" w:hAnsi="方正仿宋_GBK"/>
          <w:sz w:val="32"/>
          <w:szCs w:val="32"/>
          <w:lang w:eastAsia="zh-CN"/>
        </w:rPr>
        <w:t>人。</w:t>
      </w:r>
      <w:r>
        <w:rPr>
          <w:rFonts w:hint="eastAsia" w:ascii="方正仿宋_GBK" w:hAnsi="方正仿宋_GBK" w:eastAsia="方正仿宋_GBK" w:cs="方正仿宋_GBK"/>
          <w:sz w:val="32"/>
          <w:szCs w:val="32"/>
          <w:lang w:val="en-US"/>
        </w:rPr>
        <w:t>2020</w:t>
      </w:r>
      <w:r>
        <w:rPr>
          <w:rFonts w:ascii="方正仿宋_GBK" w:hAnsi="方正仿宋_GBK"/>
          <w:sz w:val="32"/>
          <w:szCs w:val="32"/>
          <w:lang w:eastAsia="zh-CN"/>
        </w:rPr>
        <w:t>年本部门人均接待费</w:t>
      </w:r>
      <w:r>
        <w:rPr>
          <w:rFonts w:hint="eastAsia" w:ascii="方正仿宋_GBK" w:hAnsi="方正仿宋_GBK" w:eastAsia="方正仿宋_GBK" w:cs="方正仿宋_GBK"/>
          <w:sz w:val="32"/>
          <w:szCs w:val="32"/>
          <w:lang w:val="en-US"/>
        </w:rPr>
        <w:t>177.14</w:t>
      </w:r>
      <w:r>
        <w:rPr>
          <w:rFonts w:ascii="方正仿宋_GBK" w:hAnsi="方正仿宋_GBK"/>
          <w:sz w:val="32"/>
          <w:szCs w:val="32"/>
          <w:lang w:eastAsia="zh-CN"/>
        </w:rPr>
        <w:t>元，车均购置费</w:t>
      </w:r>
      <w:r>
        <w:rPr>
          <w:rFonts w:hint="eastAsia" w:ascii="方正仿宋_GBK" w:hAnsi="方正仿宋_GBK" w:eastAsia="方正仿宋_GBK" w:cs="方正仿宋_GBK"/>
          <w:sz w:val="32"/>
          <w:szCs w:val="32"/>
          <w:lang w:val="en-US"/>
        </w:rPr>
        <w:t>0.00</w:t>
      </w:r>
      <w:r>
        <w:rPr>
          <w:rFonts w:ascii="方正仿宋_GBK" w:hAnsi="方正仿宋_GBK"/>
          <w:sz w:val="32"/>
          <w:szCs w:val="32"/>
          <w:lang w:eastAsia="zh-CN"/>
        </w:rPr>
        <w:t>万元，车均维护费</w:t>
      </w:r>
      <w:r>
        <w:rPr>
          <w:rFonts w:hint="eastAsia" w:ascii="方正仿宋_GBK" w:hAnsi="方正仿宋_GBK" w:eastAsia="方正仿宋_GBK" w:cs="方正仿宋_GBK"/>
          <w:sz w:val="32"/>
          <w:szCs w:val="32"/>
          <w:lang w:val="en-US"/>
        </w:rPr>
        <w:t>3.04</w:t>
      </w:r>
      <w:r>
        <w:rPr>
          <w:rFonts w:ascii="方正仿宋_GBK" w:hAnsi="方正仿宋_GBK"/>
          <w:sz w:val="32"/>
          <w:szCs w:val="32"/>
          <w:lang w:eastAsia="zh-CN"/>
        </w:rPr>
        <w:t>万元。</w:t>
      </w:r>
    </w:p>
    <w:p w14:paraId="5F57D13A">
      <w:pPr>
        <w:autoSpaceDE w:val="0"/>
        <w:autoSpaceDN/>
        <w:spacing w:line="500" w:lineRule="exact"/>
        <w:ind w:left="0" w:firstLine="640" w:firstLineChars="200"/>
        <w:rPr>
          <w:rFonts w:hint="default" w:ascii="方正黑体_GBK" w:hAnsi="方正黑体_GBK" w:eastAsia="方正黑体_GBK" w:cs="方正黑体_GBK"/>
          <w:bCs/>
          <w:sz w:val="32"/>
          <w:szCs w:val="32"/>
          <w:lang w:val="en-US"/>
        </w:rPr>
      </w:pPr>
      <w:r>
        <w:rPr>
          <w:rFonts w:ascii="方正黑体_GBK" w:hAnsi="方正黑体_GBK"/>
          <w:bCs/>
          <w:sz w:val="32"/>
          <w:szCs w:val="32"/>
          <w:lang w:eastAsia="zh-CN"/>
        </w:rPr>
        <w:t>四、其他需要说明的事项</w:t>
      </w:r>
    </w:p>
    <w:p w14:paraId="3C265214">
      <w:pPr>
        <w:autoSpaceDE w:val="0"/>
        <w:autoSpaceDN/>
        <w:spacing w:line="500" w:lineRule="exact"/>
        <w:ind w:left="0" w:firstLine="960" w:firstLineChars="300"/>
        <w:rPr>
          <w:rFonts w:hint="default" w:ascii="方正楷体_GBK" w:hAnsi="方正楷体_GBK" w:eastAsia="方正楷体_GBK" w:cs="方正楷体_GBK"/>
          <w:sz w:val="32"/>
          <w:szCs w:val="32"/>
          <w:lang w:val="en-US"/>
        </w:rPr>
      </w:pPr>
      <w:r>
        <w:rPr>
          <w:rFonts w:ascii="方正楷体_GBK" w:hAnsi="方正楷体_GBK"/>
          <w:sz w:val="32"/>
          <w:szCs w:val="32"/>
          <w:lang w:eastAsia="zh-CN"/>
        </w:rPr>
        <w:t>（一）机关运行经费情况说明。</w:t>
      </w:r>
    </w:p>
    <w:p w14:paraId="000AAF73">
      <w:pPr>
        <w:autoSpaceDE w:val="0"/>
        <w:autoSpaceDN/>
        <w:spacing w:line="500" w:lineRule="exact"/>
        <w:ind w:left="0" w:firstLine="960" w:firstLineChars="300"/>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lang w:val="en-US"/>
        </w:rPr>
        <w:t>2020</w:t>
      </w:r>
      <w:r>
        <w:rPr>
          <w:rFonts w:ascii="方正仿宋_GBK" w:hAnsi="方正仿宋_GBK"/>
          <w:sz w:val="32"/>
          <w:szCs w:val="32"/>
          <w:lang w:eastAsia="zh-CN"/>
        </w:rPr>
        <w:t>年度本部门机关运行经费支出</w:t>
      </w:r>
      <w:r>
        <w:rPr>
          <w:rFonts w:hint="eastAsia" w:ascii="方正仿宋_GBK" w:hAnsi="方正仿宋_GBK" w:eastAsia="方正仿宋_GBK" w:cs="方正仿宋_GBK"/>
          <w:sz w:val="32"/>
          <w:szCs w:val="32"/>
          <w:lang w:val="en-US"/>
        </w:rPr>
        <w:t>56.69</w:t>
      </w:r>
      <w:r>
        <w:rPr>
          <w:rFonts w:ascii="方正仿宋_GBK" w:hAnsi="方正仿宋_GBK"/>
          <w:sz w:val="32"/>
          <w:szCs w:val="32"/>
          <w:lang w:eastAsia="zh-CN"/>
        </w:rPr>
        <w:t>万元，机关运行经费主要用于开支用于开支办公费、水费、电费、邮电费、物业管理费、差旅费、维修（护）费、公务接待费、劳务费、委托业务费、工会经费、福利费、公务用车运行维护费、其他交通费用、其他商品和服务支出。</w:t>
      </w:r>
      <w:r>
        <w:rPr>
          <w:rFonts w:hint="eastAsia" w:ascii="方正仿宋_GBK" w:hAnsi="方正仿宋_GBK" w:eastAsia="方正仿宋_GBK" w:cs="方正仿宋_GBK"/>
          <w:sz w:val="32"/>
          <w:szCs w:val="32"/>
          <w:lang w:eastAsia="zh-CN"/>
        </w:rPr>
        <w:t xml:space="preserve"> </w:t>
      </w:r>
      <w:r>
        <w:rPr>
          <w:rFonts w:ascii="方正仿宋_GBK" w:hAnsi="方正仿宋_GBK"/>
          <w:sz w:val="32"/>
          <w:szCs w:val="32"/>
          <w:lang w:eastAsia="zh-CN"/>
        </w:rPr>
        <w:t>机关运行经费较上年决算数减少</w:t>
      </w:r>
      <w:r>
        <w:rPr>
          <w:rFonts w:hint="eastAsia" w:ascii="方正仿宋_GBK" w:hAnsi="方正仿宋_GBK" w:eastAsia="方正仿宋_GBK" w:cs="方正仿宋_GBK"/>
          <w:sz w:val="32"/>
          <w:szCs w:val="32"/>
          <w:lang w:val="en-US"/>
        </w:rPr>
        <w:t>9.28</w:t>
      </w:r>
      <w:r>
        <w:rPr>
          <w:rFonts w:ascii="方正仿宋_GBK" w:hAnsi="方正仿宋_GBK"/>
          <w:sz w:val="32"/>
          <w:szCs w:val="32"/>
          <w:lang w:eastAsia="zh-CN"/>
        </w:rPr>
        <w:t>万元，下降</w:t>
      </w:r>
      <w:r>
        <w:rPr>
          <w:rFonts w:hint="eastAsia" w:ascii="方正仿宋_GBK" w:hAnsi="方正仿宋_GBK" w:eastAsia="方正仿宋_GBK" w:cs="方正仿宋_GBK"/>
          <w:sz w:val="32"/>
          <w:szCs w:val="32"/>
          <w:lang w:val="en-US"/>
        </w:rPr>
        <w:t>14.1%</w:t>
      </w:r>
      <w:r>
        <w:rPr>
          <w:rFonts w:ascii="方正仿宋_GBK" w:hAnsi="方正仿宋_GBK"/>
          <w:sz w:val="32"/>
          <w:szCs w:val="32"/>
          <w:lang w:eastAsia="zh-CN"/>
        </w:rPr>
        <w:t>，主要原因是主要原因是按政府过紧日子要求，厉行节约，严控支出。</w:t>
      </w:r>
    </w:p>
    <w:p w14:paraId="5904439E">
      <w:pPr>
        <w:autoSpaceDE w:val="0"/>
        <w:autoSpaceDN/>
        <w:spacing w:line="500" w:lineRule="exact"/>
        <w:ind w:left="0" w:firstLine="960" w:firstLineChars="300"/>
        <w:rPr>
          <w:rFonts w:hint="default" w:ascii="方正楷体_GBK" w:hAnsi="方正楷体_GBK" w:eastAsia="方正楷体_GBK" w:cs="方正楷体_GBK"/>
          <w:sz w:val="32"/>
          <w:szCs w:val="32"/>
          <w:lang w:val="en-US"/>
        </w:rPr>
      </w:pPr>
      <w:r>
        <w:rPr>
          <w:rFonts w:ascii="方正楷体_GBK" w:hAnsi="方正楷体_GBK"/>
          <w:sz w:val="32"/>
          <w:szCs w:val="32"/>
          <w:lang w:eastAsia="zh-CN"/>
        </w:rPr>
        <w:t>（二）国有资产占用情况说明。</w:t>
      </w:r>
    </w:p>
    <w:p w14:paraId="5713D7C3">
      <w:pPr>
        <w:autoSpaceDE w:val="0"/>
        <w:autoSpaceDN/>
        <w:spacing w:line="500" w:lineRule="exact"/>
        <w:ind w:left="0" w:firstLine="960" w:firstLineChars="300"/>
        <w:rPr>
          <w:rFonts w:hint="eastAsia" w:ascii="方正仿宋_GBK" w:hAnsi="方正仿宋_GBK" w:eastAsia="方正仿宋_GBK" w:cs="方正仿宋_GBK"/>
          <w:sz w:val="32"/>
          <w:szCs w:val="32"/>
          <w:lang w:val="en-US"/>
        </w:rPr>
      </w:pPr>
      <w:r>
        <w:rPr>
          <w:rFonts w:ascii="方正仿宋_GBK" w:hAnsi="方正仿宋_GBK"/>
          <w:sz w:val="32"/>
          <w:szCs w:val="32"/>
          <w:lang w:eastAsia="zh-CN"/>
        </w:rPr>
        <w:t>截至</w:t>
      </w:r>
      <w:r>
        <w:rPr>
          <w:rFonts w:hint="eastAsia" w:ascii="方正仿宋_GBK" w:hAnsi="方正仿宋_GBK" w:eastAsia="方正仿宋_GBK" w:cs="方正仿宋_GBK"/>
          <w:sz w:val="32"/>
          <w:szCs w:val="32"/>
          <w:lang w:val="en-US"/>
        </w:rPr>
        <w:t>2020</w:t>
      </w:r>
      <w:r>
        <w:rPr>
          <w:rFonts w:ascii="方正仿宋_GBK" w:hAnsi="方正仿宋_GBK"/>
          <w:sz w:val="32"/>
          <w:szCs w:val="32"/>
          <w:lang w:eastAsia="zh-CN"/>
        </w:rPr>
        <w:t>年</w:t>
      </w:r>
      <w:r>
        <w:rPr>
          <w:rFonts w:hint="eastAsia" w:ascii="方正仿宋_GBK" w:hAnsi="方正仿宋_GBK" w:eastAsia="方正仿宋_GBK" w:cs="方正仿宋_GBK"/>
          <w:sz w:val="32"/>
          <w:szCs w:val="32"/>
          <w:lang w:val="en-US"/>
        </w:rPr>
        <w:t>12</w:t>
      </w:r>
      <w:r>
        <w:rPr>
          <w:rFonts w:ascii="方正仿宋_GBK" w:hAnsi="方正仿宋_GBK"/>
          <w:sz w:val="32"/>
          <w:szCs w:val="32"/>
          <w:lang w:eastAsia="zh-CN"/>
        </w:rPr>
        <w:t>月</w:t>
      </w:r>
      <w:r>
        <w:rPr>
          <w:rFonts w:hint="eastAsia" w:ascii="方正仿宋_GBK" w:hAnsi="方正仿宋_GBK" w:eastAsia="方正仿宋_GBK" w:cs="方正仿宋_GBK"/>
          <w:sz w:val="32"/>
          <w:szCs w:val="32"/>
          <w:lang w:val="en-US"/>
        </w:rPr>
        <w:t>31</w:t>
      </w:r>
      <w:r>
        <w:rPr>
          <w:rFonts w:ascii="方正仿宋_GBK" w:hAnsi="方正仿宋_GBK"/>
          <w:sz w:val="32"/>
          <w:szCs w:val="32"/>
          <w:lang w:eastAsia="zh-CN"/>
        </w:rPr>
        <w:t>日，本部门共有车辆</w:t>
      </w:r>
      <w:r>
        <w:rPr>
          <w:rFonts w:hint="eastAsia" w:ascii="方正仿宋_GBK" w:hAnsi="方正仿宋_GBK" w:eastAsia="方正仿宋_GBK" w:cs="方正仿宋_GBK"/>
          <w:sz w:val="32"/>
          <w:szCs w:val="32"/>
          <w:lang w:val="en-US"/>
        </w:rPr>
        <w:t>5</w:t>
      </w:r>
      <w:r>
        <w:rPr>
          <w:rFonts w:ascii="方正仿宋_GBK" w:hAnsi="方正仿宋_GBK"/>
          <w:sz w:val="32"/>
          <w:szCs w:val="32"/>
          <w:lang w:eastAsia="zh-CN"/>
        </w:rPr>
        <w:t>辆，其中，副部（省）级及以上领导用车</w:t>
      </w:r>
      <w:r>
        <w:rPr>
          <w:rFonts w:hint="eastAsia" w:ascii="方正仿宋_GBK" w:hAnsi="方正仿宋_GBK" w:eastAsia="方正仿宋_GBK" w:cs="方正仿宋_GBK"/>
          <w:sz w:val="32"/>
          <w:szCs w:val="32"/>
          <w:lang w:val="en-US"/>
        </w:rPr>
        <w:t>0</w:t>
      </w:r>
      <w:r>
        <w:rPr>
          <w:rFonts w:ascii="方正仿宋_GBK" w:hAnsi="方正仿宋_GBK"/>
          <w:sz w:val="32"/>
          <w:szCs w:val="32"/>
          <w:lang w:eastAsia="zh-CN"/>
        </w:rPr>
        <w:t>辆、主要领导干部用车</w:t>
      </w:r>
      <w:r>
        <w:rPr>
          <w:rFonts w:hint="eastAsia" w:ascii="方正仿宋_GBK" w:hAnsi="方正仿宋_GBK" w:eastAsia="方正仿宋_GBK" w:cs="方正仿宋_GBK"/>
          <w:sz w:val="32"/>
          <w:szCs w:val="32"/>
          <w:lang w:val="en-US"/>
        </w:rPr>
        <w:t>0</w:t>
      </w:r>
      <w:r>
        <w:rPr>
          <w:rFonts w:ascii="方正仿宋_GBK" w:hAnsi="方正仿宋_GBK"/>
          <w:sz w:val="32"/>
          <w:szCs w:val="32"/>
          <w:lang w:eastAsia="zh-CN"/>
        </w:rPr>
        <w:t>辆、机要通信用车</w:t>
      </w:r>
      <w:r>
        <w:rPr>
          <w:rFonts w:hint="eastAsia" w:ascii="方正仿宋_GBK" w:hAnsi="方正仿宋_GBK" w:eastAsia="方正仿宋_GBK" w:cs="方正仿宋_GBK"/>
          <w:sz w:val="32"/>
          <w:szCs w:val="32"/>
          <w:lang w:val="en-US"/>
        </w:rPr>
        <w:t>0</w:t>
      </w:r>
      <w:r>
        <w:rPr>
          <w:rFonts w:ascii="方正仿宋_GBK" w:hAnsi="方正仿宋_GBK"/>
          <w:sz w:val="32"/>
          <w:szCs w:val="32"/>
          <w:lang w:eastAsia="zh-CN"/>
        </w:rPr>
        <w:t>辆、应急保障用车</w:t>
      </w:r>
      <w:r>
        <w:rPr>
          <w:rFonts w:hint="eastAsia" w:ascii="方正仿宋_GBK" w:hAnsi="方正仿宋_GBK" w:eastAsia="方正仿宋_GBK" w:cs="方正仿宋_GBK"/>
          <w:sz w:val="32"/>
          <w:szCs w:val="32"/>
          <w:lang w:val="en-US"/>
        </w:rPr>
        <w:t>4</w:t>
      </w:r>
      <w:r>
        <w:rPr>
          <w:rFonts w:ascii="方正仿宋_GBK" w:hAnsi="方正仿宋_GBK"/>
          <w:sz w:val="32"/>
          <w:szCs w:val="32"/>
          <w:lang w:eastAsia="zh-CN"/>
        </w:rPr>
        <w:t>辆、执法执勤用车</w:t>
      </w:r>
      <w:r>
        <w:rPr>
          <w:rFonts w:hint="eastAsia" w:ascii="方正仿宋_GBK" w:hAnsi="方正仿宋_GBK" w:eastAsia="方正仿宋_GBK" w:cs="方正仿宋_GBK"/>
          <w:sz w:val="32"/>
          <w:szCs w:val="32"/>
          <w:lang w:val="en-US"/>
        </w:rPr>
        <w:t>0</w:t>
      </w:r>
      <w:r>
        <w:rPr>
          <w:rFonts w:ascii="方正仿宋_GBK" w:hAnsi="方正仿宋_GBK"/>
          <w:sz w:val="32"/>
          <w:szCs w:val="32"/>
          <w:lang w:eastAsia="zh-CN"/>
        </w:rPr>
        <w:t>辆，特种专业技术用车</w:t>
      </w:r>
      <w:r>
        <w:rPr>
          <w:rFonts w:hint="eastAsia" w:ascii="方正仿宋_GBK" w:hAnsi="方正仿宋_GBK" w:eastAsia="方正仿宋_GBK" w:cs="方正仿宋_GBK"/>
          <w:sz w:val="32"/>
          <w:szCs w:val="32"/>
          <w:lang w:val="en-US"/>
        </w:rPr>
        <w:t>1</w:t>
      </w:r>
      <w:r>
        <w:rPr>
          <w:rFonts w:ascii="方正仿宋_GBK" w:hAnsi="方正仿宋_GBK"/>
          <w:sz w:val="32"/>
          <w:szCs w:val="32"/>
          <w:lang w:eastAsia="zh-CN"/>
        </w:rPr>
        <w:t>辆，离退休干部用车</w:t>
      </w:r>
      <w:r>
        <w:rPr>
          <w:rFonts w:hint="eastAsia" w:ascii="方正仿宋_GBK" w:hAnsi="方正仿宋_GBK" w:eastAsia="方正仿宋_GBK" w:cs="方正仿宋_GBK"/>
          <w:sz w:val="32"/>
          <w:szCs w:val="32"/>
          <w:lang w:val="en-US"/>
        </w:rPr>
        <w:t>0</w:t>
      </w:r>
      <w:r>
        <w:rPr>
          <w:rFonts w:ascii="方正仿宋_GBK" w:hAnsi="方正仿宋_GBK"/>
          <w:sz w:val="32"/>
          <w:szCs w:val="32"/>
          <w:lang w:eastAsia="zh-CN"/>
        </w:rPr>
        <w:t>辆，其他用车</w:t>
      </w:r>
      <w:r>
        <w:rPr>
          <w:rFonts w:hint="eastAsia" w:ascii="方正仿宋_GBK" w:hAnsi="方正仿宋_GBK" w:eastAsia="方正仿宋_GBK" w:cs="方正仿宋_GBK"/>
          <w:sz w:val="32"/>
          <w:szCs w:val="32"/>
          <w:lang w:val="en-US"/>
        </w:rPr>
        <w:t>0</w:t>
      </w:r>
      <w:r>
        <w:rPr>
          <w:rFonts w:ascii="方正仿宋_GBK" w:hAnsi="方正仿宋_GBK"/>
          <w:sz w:val="32"/>
          <w:szCs w:val="32"/>
          <w:lang w:eastAsia="zh-CN"/>
        </w:rPr>
        <w:t>辆，其他用车主要是用环境应急、采样。单价</w:t>
      </w:r>
      <w:r>
        <w:rPr>
          <w:rFonts w:hint="eastAsia" w:ascii="方正仿宋_GBK" w:hAnsi="方正仿宋_GBK" w:eastAsia="方正仿宋_GBK" w:cs="方正仿宋_GBK"/>
          <w:sz w:val="32"/>
          <w:szCs w:val="32"/>
          <w:lang w:val="en-US"/>
        </w:rPr>
        <w:t>50</w:t>
      </w:r>
      <w:r>
        <w:rPr>
          <w:rFonts w:ascii="方正仿宋_GBK" w:hAnsi="方正仿宋_GBK"/>
          <w:sz w:val="32"/>
          <w:szCs w:val="32"/>
          <w:lang w:eastAsia="zh-CN"/>
        </w:rPr>
        <w:t>万元（含）以上通用设备</w:t>
      </w:r>
      <w:r>
        <w:rPr>
          <w:rFonts w:hint="eastAsia" w:ascii="方正仿宋_GBK" w:hAnsi="方正仿宋_GBK" w:eastAsia="方正仿宋_GBK" w:cs="方正仿宋_GBK"/>
          <w:sz w:val="32"/>
          <w:szCs w:val="32"/>
          <w:lang w:val="en-US"/>
        </w:rPr>
        <w:t>4</w:t>
      </w:r>
      <w:r>
        <w:rPr>
          <w:rFonts w:ascii="方正仿宋_GBK" w:hAnsi="方正仿宋_GBK"/>
          <w:sz w:val="32"/>
          <w:szCs w:val="32"/>
          <w:lang w:eastAsia="zh-CN"/>
        </w:rPr>
        <w:t>台（套），单价</w:t>
      </w:r>
      <w:r>
        <w:rPr>
          <w:rFonts w:hint="eastAsia" w:ascii="方正仿宋_GBK" w:hAnsi="方正仿宋_GBK" w:eastAsia="方正仿宋_GBK" w:cs="方正仿宋_GBK"/>
          <w:sz w:val="32"/>
          <w:szCs w:val="32"/>
          <w:lang w:val="en-US"/>
        </w:rPr>
        <w:t>100</w:t>
      </w:r>
      <w:r>
        <w:rPr>
          <w:rFonts w:ascii="方正仿宋_GBK" w:hAnsi="方正仿宋_GBK"/>
          <w:sz w:val="32"/>
          <w:szCs w:val="32"/>
          <w:lang w:eastAsia="zh-CN"/>
        </w:rPr>
        <w:t>万元（含）以上专用设备</w:t>
      </w:r>
      <w:r>
        <w:rPr>
          <w:rFonts w:hint="eastAsia" w:ascii="方正仿宋_GBK" w:hAnsi="方正仿宋_GBK" w:eastAsia="方正仿宋_GBK" w:cs="方正仿宋_GBK"/>
          <w:sz w:val="32"/>
          <w:szCs w:val="32"/>
          <w:lang w:val="en-US"/>
        </w:rPr>
        <w:t>1</w:t>
      </w:r>
      <w:r>
        <w:rPr>
          <w:rFonts w:ascii="方正仿宋_GBK" w:hAnsi="方正仿宋_GBK"/>
          <w:sz w:val="32"/>
          <w:szCs w:val="32"/>
          <w:lang w:eastAsia="zh-CN"/>
        </w:rPr>
        <w:t>台（套）。</w:t>
      </w:r>
    </w:p>
    <w:p w14:paraId="78202F65">
      <w:pPr>
        <w:autoSpaceDE w:val="0"/>
        <w:autoSpaceDN/>
        <w:spacing w:line="500" w:lineRule="exact"/>
        <w:ind w:left="0" w:firstLine="640" w:firstLineChars="200"/>
        <w:rPr>
          <w:rFonts w:hint="default" w:ascii="方正楷体_GBK" w:hAnsi="方正楷体_GBK" w:eastAsia="方正楷体_GBK" w:cs="方正楷体_GBK"/>
          <w:sz w:val="32"/>
          <w:szCs w:val="32"/>
          <w:lang w:val="en-US"/>
        </w:rPr>
      </w:pPr>
      <w:r>
        <w:rPr>
          <w:rFonts w:ascii="方正楷体_GBK" w:hAnsi="方正楷体_GBK"/>
          <w:sz w:val="32"/>
          <w:szCs w:val="32"/>
          <w:lang w:eastAsia="zh-CN"/>
        </w:rPr>
        <w:t>（三）政府采购支出情况说明。</w:t>
      </w:r>
    </w:p>
    <w:p w14:paraId="688E69CF">
      <w:pPr>
        <w:autoSpaceDE w:val="0"/>
        <w:autoSpaceDN/>
        <w:spacing w:line="500" w:lineRule="exact"/>
        <w:ind w:left="0" w:firstLine="960" w:firstLineChars="300"/>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lang w:val="en-US"/>
        </w:rPr>
        <w:t>2020</w:t>
      </w:r>
      <w:r>
        <w:rPr>
          <w:rFonts w:ascii="方正仿宋_GBK" w:hAnsi="方正仿宋_GBK"/>
          <w:sz w:val="32"/>
          <w:szCs w:val="32"/>
          <w:lang w:eastAsia="zh-CN"/>
        </w:rPr>
        <w:t>年度本部门政府采购支出总额</w:t>
      </w:r>
      <w:r>
        <w:rPr>
          <w:rFonts w:hint="eastAsia" w:ascii="方正仿宋_GBK" w:hAnsi="方正仿宋_GBK" w:eastAsia="方正仿宋_GBK" w:cs="方正仿宋_GBK"/>
          <w:sz w:val="32"/>
          <w:szCs w:val="32"/>
          <w:lang w:val="en-US"/>
        </w:rPr>
        <w:t>260.84</w:t>
      </w:r>
      <w:r>
        <w:rPr>
          <w:rFonts w:ascii="方正仿宋_GBK" w:hAnsi="方正仿宋_GBK"/>
          <w:sz w:val="32"/>
          <w:szCs w:val="32"/>
          <w:lang w:eastAsia="zh-CN"/>
        </w:rPr>
        <w:t>万元，其中：政府采购货物支出</w:t>
      </w:r>
      <w:r>
        <w:rPr>
          <w:rFonts w:hint="eastAsia" w:ascii="方正仿宋_GBK" w:hAnsi="方正仿宋_GBK" w:eastAsia="方正仿宋_GBK" w:cs="方正仿宋_GBK"/>
          <w:sz w:val="32"/>
          <w:szCs w:val="32"/>
          <w:lang w:val="en-US"/>
        </w:rPr>
        <w:t>175.96</w:t>
      </w:r>
      <w:r>
        <w:rPr>
          <w:rFonts w:ascii="方正仿宋_GBK" w:hAnsi="方正仿宋_GBK"/>
          <w:sz w:val="32"/>
          <w:szCs w:val="32"/>
          <w:lang w:eastAsia="zh-CN"/>
        </w:rPr>
        <w:t>万元、政府采购工程支出</w:t>
      </w:r>
      <w:r>
        <w:rPr>
          <w:rFonts w:hint="eastAsia" w:ascii="方正仿宋_GBK" w:hAnsi="方正仿宋_GBK" w:eastAsia="方正仿宋_GBK" w:cs="方正仿宋_GBK"/>
          <w:sz w:val="32"/>
          <w:szCs w:val="32"/>
          <w:lang w:val="en-US"/>
        </w:rPr>
        <w:t>0.00</w:t>
      </w:r>
      <w:r>
        <w:rPr>
          <w:rFonts w:ascii="方正仿宋_GBK" w:hAnsi="方正仿宋_GBK"/>
          <w:sz w:val="32"/>
          <w:szCs w:val="32"/>
          <w:lang w:eastAsia="zh-CN"/>
        </w:rPr>
        <w:t>万元、政府采购服务支出</w:t>
      </w:r>
      <w:r>
        <w:rPr>
          <w:rFonts w:hint="eastAsia" w:ascii="方正仿宋_GBK" w:hAnsi="方正仿宋_GBK" w:eastAsia="方正仿宋_GBK" w:cs="方正仿宋_GBK"/>
          <w:sz w:val="32"/>
          <w:szCs w:val="32"/>
          <w:lang w:val="en-US"/>
        </w:rPr>
        <w:t>84.89</w:t>
      </w:r>
      <w:r>
        <w:rPr>
          <w:rFonts w:ascii="方正仿宋_GBK" w:hAnsi="方正仿宋_GBK"/>
          <w:sz w:val="32"/>
          <w:szCs w:val="32"/>
          <w:lang w:eastAsia="zh-CN"/>
        </w:rPr>
        <w:t>万元。授予中小企业合同金额</w:t>
      </w:r>
      <w:r>
        <w:rPr>
          <w:rFonts w:hint="eastAsia" w:ascii="方正仿宋_GBK" w:hAnsi="方正仿宋_GBK" w:eastAsia="方正仿宋_GBK" w:cs="方正仿宋_GBK"/>
          <w:sz w:val="32"/>
          <w:szCs w:val="32"/>
          <w:lang w:val="en-US"/>
        </w:rPr>
        <w:t>260.84</w:t>
      </w:r>
      <w:r>
        <w:rPr>
          <w:rFonts w:ascii="方正仿宋_GBK" w:hAnsi="方正仿宋_GBK"/>
          <w:sz w:val="32"/>
          <w:szCs w:val="32"/>
          <w:lang w:eastAsia="zh-CN"/>
        </w:rPr>
        <w:t>万元，占政府采购支出总额的</w:t>
      </w:r>
      <w:r>
        <w:rPr>
          <w:rFonts w:hint="eastAsia" w:ascii="方正仿宋_GBK" w:hAnsi="方正仿宋_GBK" w:eastAsia="方正仿宋_GBK" w:cs="方正仿宋_GBK"/>
          <w:sz w:val="32"/>
          <w:szCs w:val="32"/>
          <w:lang w:val="en-US"/>
        </w:rPr>
        <w:t>100%</w:t>
      </w:r>
      <w:r>
        <w:rPr>
          <w:rFonts w:ascii="方正仿宋_GBK" w:hAnsi="方正仿宋_GBK"/>
          <w:sz w:val="32"/>
          <w:szCs w:val="32"/>
          <w:lang w:eastAsia="zh-CN"/>
        </w:rPr>
        <w:t>，其中：授予小微企业合同金额</w:t>
      </w:r>
      <w:r>
        <w:rPr>
          <w:rFonts w:hint="eastAsia" w:ascii="方正仿宋_GBK" w:hAnsi="方正仿宋_GBK" w:eastAsia="方正仿宋_GBK" w:cs="方正仿宋_GBK"/>
          <w:sz w:val="32"/>
          <w:szCs w:val="32"/>
          <w:lang w:val="en-US"/>
        </w:rPr>
        <w:t xml:space="preserve"> 133.34</w:t>
      </w:r>
      <w:r>
        <w:rPr>
          <w:rFonts w:ascii="方正仿宋_GBK" w:hAnsi="方正仿宋_GBK"/>
          <w:sz w:val="32"/>
          <w:szCs w:val="32"/>
          <w:lang w:eastAsia="zh-CN"/>
        </w:rPr>
        <w:t>万元，占政府采购支出总额的</w:t>
      </w:r>
      <w:r>
        <w:rPr>
          <w:rFonts w:hint="eastAsia" w:ascii="方正仿宋_GBK" w:hAnsi="方正仿宋_GBK" w:eastAsia="方正仿宋_GBK" w:cs="方正仿宋_GBK"/>
          <w:sz w:val="32"/>
          <w:szCs w:val="32"/>
          <w:lang w:val="en-US"/>
        </w:rPr>
        <w:t>51.1%</w:t>
      </w:r>
      <w:r>
        <w:rPr>
          <w:rFonts w:ascii="方正仿宋_GBK" w:hAnsi="方正仿宋_GBK"/>
          <w:sz w:val="32"/>
          <w:szCs w:val="32"/>
          <w:lang w:eastAsia="zh-CN"/>
        </w:rPr>
        <w:t>。主要用于采购监测站仪器设备及实验耗材。</w:t>
      </w:r>
    </w:p>
    <w:p w14:paraId="6AFD416C">
      <w:pPr>
        <w:autoSpaceDE w:val="0"/>
        <w:autoSpaceDN/>
        <w:spacing w:line="500" w:lineRule="exact"/>
        <w:ind w:left="0" w:firstLine="640" w:firstLineChars="200"/>
        <w:rPr>
          <w:rFonts w:hint="default" w:ascii="方正黑体_GBK" w:hAnsi="方正黑体_GBK" w:eastAsia="方正黑体_GBK" w:cs="方正黑体_GBK"/>
          <w:bCs/>
          <w:sz w:val="32"/>
          <w:szCs w:val="32"/>
          <w:lang w:val="en-US"/>
        </w:rPr>
      </w:pPr>
      <w:r>
        <w:rPr>
          <w:rFonts w:ascii="方正黑体_GBK" w:hAnsi="方正黑体_GBK"/>
          <w:bCs/>
          <w:sz w:val="32"/>
          <w:szCs w:val="32"/>
          <w:lang w:eastAsia="zh-CN"/>
        </w:rPr>
        <w:t>五、预算绩效管理情况说明</w:t>
      </w:r>
    </w:p>
    <w:p w14:paraId="03C6323D">
      <w:pPr>
        <w:ind w:left="0" w:firstLine="480" w:firstLineChars="150"/>
        <w:rPr>
          <w:rFonts w:hint="default" w:ascii="方正楷体_GBK" w:hAnsi="方正楷体_GBK" w:eastAsia="方正楷体_GBK" w:cs="方正楷体_GBK"/>
          <w:sz w:val="32"/>
          <w:szCs w:val="32"/>
          <w:lang w:val="en-US"/>
        </w:rPr>
      </w:pPr>
      <w:r>
        <w:rPr>
          <w:rFonts w:ascii="方正楷体_GBK" w:hAnsi="方正楷体_GBK"/>
          <w:sz w:val="32"/>
          <w:szCs w:val="32"/>
          <w:lang w:eastAsia="zh-CN"/>
        </w:rPr>
        <w:t>（一）预算绩效管理工作开展情况</w:t>
      </w:r>
    </w:p>
    <w:p w14:paraId="43E125FC">
      <w:pPr>
        <w:spacing w:line="560" w:lineRule="exact"/>
        <w:ind w:left="0" w:firstLine="640" w:firstLineChars="200"/>
        <w:outlineLvl w:val="0"/>
        <w:rPr>
          <w:rFonts w:hint="eastAsia" w:ascii="方正仿宋_GBK" w:hAnsi="方正仿宋_GBK" w:eastAsia="方正仿宋_GBK" w:cs="方正仿宋_GBK"/>
          <w:sz w:val="32"/>
          <w:szCs w:val="32"/>
          <w:shd w:val="clear" w:fill="FFFFFF"/>
          <w:lang w:val="en-US"/>
        </w:rPr>
      </w:pPr>
      <w:r>
        <w:rPr>
          <w:rFonts w:ascii="方正仿宋_GBK" w:hAnsi="方正仿宋_GBK"/>
          <w:sz w:val="32"/>
          <w:szCs w:val="32"/>
          <w:lang w:eastAsia="zh-CN"/>
        </w:rPr>
        <w:t>根据预算绩效管理要求，我局对部门整体和</w:t>
      </w:r>
      <w:r>
        <w:rPr>
          <w:rFonts w:hint="eastAsia" w:ascii="方正仿宋_GBK" w:hAnsi="方正仿宋_GBK" w:eastAsia="方正仿宋_GBK" w:cs="方正仿宋_GBK"/>
          <w:sz w:val="32"/>
          <w:szCs w:val="32"/>
          <w:lang w:val="en-US"/>
        </w:rPr>
        <w:t>6</w:t>
      </w:r>
      <w:r>
        <w:rPr>
          <w:rFonts w:ascii="方正仿宋_GBK" w:hAnsi="方正仿宋_GBK"/>
          <w:sz w:val="32"/>
          <w:szCs w:val="32"/>
          <w:lang w:eastAsia="zh-CN"/>
        </w:rPr>
        <w:t>个项目开展了绩效自评，其中，以填报目标自评表形式开展自评</w:t>
      </w:r>
      <w:r>
        <w:rPr>
          <w:rFonts w:hint="eastAsia" w:ascii="方正仿宋_GBK" w:hAnsi="方正仿宋_GBK" w:eastAsia="方正仿宋_GBK" w:cs="方正仿宋_GBK"/>
          <w:sz w:val="32"/>
          <w:szCs w:val="32"/>
          <w:lang w:val="en-US"/>
        </w:rPr>
        <w:t>6</w:t>
      </w:r>
      <w:r>
        <w:rPr>
          <w:rFonts w:ascii="方正仿宋_GBK" w:hAnsi="方正仿宋_GBK"/>
          <w:sz w:val="32"/>
          <w:szCs w:val="32"/>
          <w:lang w:eastAsia="zh-CN"/>
        </w:rPr>
        <w:t>项，涉及资金</w:t>
      </w:r>
      <w:r>
        <w:rPr>
          <w:rFonts w:hint="eastAsia" w:ascii="方正仿宋_GBK" w:hAnsi="方正仿宋_GBK" w:eastAsia="方正仿宋_GBK" w:cs="方正仿宋_GBK"/>
          <w:sz w:val="32"/>
          <w:szCs w:val="32"/>
          <w:lang w:val="en-US"/>
        </w:rPr>
        <w:t>1444.9</w:t>
      </w:r>
      <w:r>
        <w:rPr>
          <w:rFonts w:ascii="方正仿宋_GBK" w:hAnsi="方正仿宋_GBK"/>
          <w:sz w:val="32"/>
          <w:szCs w:val="32"/>
          <w:lang w:eastAsia="zh-CN"/>
        </w:rPr>
        <w:t>万元；从评价情况来看，资金到位率</w:t>
      </w:r>
      <w:r>
        <w:rPr>
          <w:rFonts w:hint="eastAsia" w:ascii="方正仿宋_GBK" w:hAnsi="方正仿宋_GBK" w:eastAsia="方正仿宋_GBK" w:cs="方正仿宋_GBK"/>
          <w:sz w:val="32"/>
          <w:szCs w:val="32"/>
          <w:lang w:val="en-US"/>
        </w:rPr>
        <w:t>100%</w:t>
      </w:r>
      <w:r>
        <w:rPr>
          <w:rFonts w:ascii="方正仿宋_GBK" w:hAnsi="方正仿宋_GBK"/>
          <w:sz w:val="32"/>
          <w:szCs w:val="32"/>
          <w:lang w:eastAsia="zh-CN"/>
        </w:rPr>
        <w:t>，在资金的使用上，严格按中央转移支付资金的使用范围，没有存在挪用或超标准开支的情况。在财务管理上，严格按照要求进行资金分配支出，会计核算规范。</w:t>
      </w:r>
    </w:p>
    <w:p w14:paraId="179B2265">
      <w:pPr>
        <w:numPr>
          <w:ilvl w:val="0"/>
          <w:numId w:val="2"/>
        </w:numPr>
        <w:ind w:left="0" w:firstLine="480" w:firstLineChars="150"/>
        <w:rPr>
          <w:rFonts w:hint="default" w:ascii="方正楷体_GBK" w:hAnsi="方正楷体_GBK" w:eastAsia="方正楷体_GBK" w:cs="方正楷体_GBK"/>
          <w:sz w:val="32"/>
          <w:szCs w:val="32"/>
          <w:lang w:val="en-US"/>
        </w:rPr>
      </w:pPr>
      <w:r>
        <w:rPr>
          <w:rFonts w:ascii="方正楷体_GBK" w:hAnsi="方正楷体_GBK"/>
          <w:sz w:val="32"/>
          <w:szCs w:val="32"/>
          <w:lang w:eastAsia="zh-CN"/>
        </w:rPr>
        <w:t>绩效自评结果</w:t>
      </w:r>
    </w:p>
    <w:p w14:paraId="462D8F45">
      <w:pPr>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lang w:val="en-US"/>
        </w:rPr>
        <w:t xml:space="preserve"> </w:t>
      </w:r>
    </w:p>
    <w:p w14:paraId="4EA29B12">
      <w:pPr>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lang w:val="en-US"/>
        </w:rPr>
        <w:t xml:space="preserve"> </w:t>
      </w:r>
    </w:p>
    <w:p w14:paraId="0BC2EDDE">
      <w:pPr>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lang w:val="en-US"/>
        </w:rPr>
        <w:t xml:space="preserve"> </w:t>
      </w:r>
    </w:p>
    <w:p w14:paraId="1E1B8E02">
      <w:pPr>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lang w:val="en-US"/>
        </w:rPr>
        <w:t xml:space="preserve"> </w:t>
      </w:r>
    </w:p>
    <w:p w14:paraId="6A7B1D83">
      <w:pPr>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lang w:val="en-US"/>
        </w:rPr>
        <w:t xml:space="preserve"> </w:t>
      </w:r>
    </w:p>
    <w:p w14:paraId="4730F0B2">
      <w:pPr>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lang w:val="en-US"/>
        </w:rPr>
        <w:t xml:space="preserve"> </w:t>
      </w:r>
    </w:p>
    <w:p w14:paraId="4DC5867D">
      <w:pPr>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lang w:val="en-US"/>
        </w:rPr>
        <w:t xml:space="preserve"> </w:t>
      </w:r>
    </w:p>
    <w:p w14:paraId="7B65A083">
      <w:pPr>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lang w:val="en-US"/>
        </w:rPr>
        <w:t xml:space="preserve"> </w:t>
      </w:r>
    </w:p>
    <w:p w14:paraId="1DD862E7">
      <w:pPr>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lang w:val="en-US"/>
        </w:rPr>
        <w:t xml:space="preserve"> </w:t>
      </w:r>
    </w:p>
    <w:p w14:paraId="7B1B7F35">
      <w:pPr>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lang w:val="en-US"/>
        </w:rPr>
        <w:t xml:space="preserve"> </w:t>
      </w:r>
    </w:p>
    <w:p w14:paraId="424AE266">
      <w:pPr>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lang w:val="en-US"/>
        </w:rPr>
        <w:t xml:space="preserve"> </w:t>
      </w:r>
    </w:p>
    <w:p w14:paraId="4AFE17A0">
      <w:pPr>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lang w:val="en-US"/>
        </w:rPr>
        <w:t xml:space="preserve"> </w:t>
      </w:r>
    </w:p>
    <w:p w14:paraId="5FA52D64">
      <w:pPr>
        <w:rPr>
          <w:rFonts w:hint="eastAsia" w:ascii="方正仿宋_GBK" w:hAnsi="方正仿宋_GBK" w:eastAsia="方正仿宋_GBK" w:cs="方正仿宋_GBK"/>
          <w:sz w:val="32"/>
          <w:szCs w:val="32"/>
          <w:lang w:val="en-US"/>
        </w:rPr>
      </w:pPr>
      <w:r>
        <w:rPr>
          <w:rFonts w:hint="eastAsia" w:ascii="方正仿宋_GBK" w:hAnsi="方正仿宋_GBK" w:eastAsia="方正仿宋_GBK" w:cs="方正仿宋_GBK"/>
          <w:sz w:val="32"/>
          <w:szCs w:val="32"/>
          <w:lang w:val="en-US"/>
        </w:rPr>
        <w:t xml:space="preserve"> </w:t>
      </w:r>
    </w:p>
    <w:p w14:paraId="50F52F59">
      <w:pPr>
        <w:pStyle w:val="37"/>
        <w:spacing w:line="600" w:lineRule="exact"/>
        <w:ind w:left="0" w:firstLine="0" w:firstLineChars="0"/>
        <w:jc w:val="center"/>
        <w:rPr>
          <w:rFonts w:hint="eastAsia" w:ascii="方正仿宋_GBK" w:hAnsi="方正仿宋_GBK" w:eastAsia="方正仿宋_GBK" w:cs="方正仿宋_GBK"/>
          <w:sz w:val="32"/>
          <w:szCs w:val="32"/>
          <w:lang w:val="en-US"/>
        </w:rPr>
      </w:pPr>
      <w:r>
        <w:rPr>
          <w:rFonts w:ascii="方正仿宋_GBK" w:hAnsi="方正仿宋_GBK"/>
          <w:color w:val="000000"/>
          <w:sz w:val="32"/>
          <w:szCs w:val="32"/>
          <w:lang w:eastAsia="zh-CN"/>
        </w:rPr>
        <w:t>部门整体绩效自评表</w:t>
      </w:r>
    </w:p>
    <w:tbl>
      <w:tblPr>
        <w:tblStyle w:val="11"/>
        <w:tblW w:w="9990" w:type="dxa"/>
        <w:tblInd w:w="-31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831"/>
        <w:gridCol w:w="990"/>
        <w:gridCol w:w="164"/>
        <w:gridCol w:w="63"/>
        <w:gridCol w:w="643"/>
        <w:gridCol w:w="921"/>
        <w:gridCol w:w="575"/>
        <w:gridCol w:w="305"/>
        <w:gridCol w:w="424"/>
        <w:gridCol w:w="244"/>
        <w:gridCol w:w="519"/>
        <w:gridCol w:w="408"/>
        <w:gridCol w:w="773"/>
        <w:gridCol w:w="1055"/>
        <w:gridCol w:w="156"/>
        <w:gridCol w:w="794"/>
        <w:gridCol w:w="1118"/>
      </w:tblGrid>
      <w:tr w14:paraId="5A7CE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830" w:type="dxa"/>
            <w:vMerge w:val="restart"/>
            <w:tcBorders>
              <w:top w:val="single" w:color="auto" w:sz="4" w:space="0"/>
              <w:left w:val="single" w:color="auto" w:sz="4" w:space="0"/>
              <w:bottom w:val="single" w:color="000000" w:sz="4" w:space="0"/>
              <w:right w:val="single" w:color="auto" w:sz="4" w:space="0"/>
            </w:tcBorders>
            <w:shd w:val="clear"/>
            <w:vAlign w:val="center"/>
          </w:tcPr>
          <w:p w14:paraId="538E2FD1">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主管</w:t>
            </w:r>
          </w:p>
          <w:p w14:paraId="671E0CA2">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部门</w:t>
            </w:r>
          </w:p>
        </w:tc>
        <w:tc>
          <w:tcPr>
            <w:tcW w:w="1216" w:type="dxa"/>
            <w:gridSpan w:val="3"/>
            <w:vMerge w:val="restart"/>
            <w:tcBorders>
              <w:top w:val="single" w:color="auto" w:sz="4" w:space="0"/>
              <w:left w:val="nil"/>
              <w:bottom w:val="single" w:color="000000" w:sz="4" w:space="0"/>
              <w:right w:val="single" w:color="000000" w:sz="4" w:space="0"/>
            </w:tcBorders>
            <w:shd w:val="clear"/>
            <w:vAlign w:val="center"/>
          </w:tcPr>
          <w:p w14:paraId="784DFC7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城口县生态环境局</w:t>
            </w:r>
          </w:p>
        </w:tc>
        <w:tc>
          <w:tcPr>
            <w:tcW w:w="1563" w:type="dxa"/>
            <w:gridSpan w:val="2"/>
            <w:vMerge w:val="restart"/>
            <w:tcBorders>
              <w:top w:val="single" w:color="auto" w:sz="4" w:space="0"/>
              <w:left w:val="nil"/>
              <w:bottom w:val="single" w:color="000000" w:sz="4" w:space="0"/>
              <w:right w:val="single" w:color="auto" w:sz="4" w:space="0"/>
            </w:tcBorders>
            <w:shd w:val="clear"/>
            <w:vAlign w:val="center"/>
          </w:tcPr>
          <w:p w14:paraId="24AB30C2">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财政处室</w:t>
            </w:r>
          </w:p>
        </w:tc>
        <w:tc>
          <w:tcPr>
            <w:tcW w:w="880" w:type="dxa"/>
            <w:gridSpan w:val="2"/>
            <w:vMerge w:val="restart"/>
            <w:tcBorders>
              <w:top w:val="single" w:color="auto" w:sz="4" w:space="0"/>
              <w:left w:val="nil"/>
              <w:bottom w:val="single" w:color="000000" w:sz="4" w:space="0"/>
              <w:right w:val="single" w:color="000000" w:sz="4" w:space="0"/>
            </w:tcBorders>
            <w:shd w:val="clear"/>
            <w:vAlign w:val="center"/>
          </w:tcPr>
          <w:p w14:paraId="6F153082">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经建科</w:t>
            </w:r>
          </w:p>
        </w:tc>
        <w:tc>
          <w:tcPr>
            <w:tcW w:w="1595" w:type="dxa"/>
            <w:gridSpan w:val="4"/>
            <w:tcBorders>
              <w:top w:val="single" w:color="auto" w:sz="4" w:space="0"/>
              <w:left w:val="nil"/>
              <w:bottom w:val="single" w:color="auto" w:sz="4" w:space="0"/>
              <w:right w:val="single" w:color="auto" w:sz="4" w:space="0"/>
            </w:tcBorders>
            <w:shd w:val="clear"/>
            <w:vAlign w:val="center"/>
          </w:tcPr>
          <w:p w14:paraId="167401AB">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自评总分（分）</w:t>
            </w:r>
          </w:p>
        </w:tc>
        <w:tc>
          <w:tcPr>
            <w:tcW w:w="3892" w:type="dxa"/>
            <w:gridSpan w:val="5"/>
            <w:tcBorders>
              <w:top w:val="single" w:color="auto" w:sz="4" w:space="0"/>
              <w:left w:val="nil"/>
              <w:bottom w:val="single" w:color="auto" w:sz="4" w:space="0"/>
              <w:right w:val="single" w:color="000000" w:sz="4" w:space="0"/>
            </w:tcBorders>
            <w:shd w:val="clear"/>
            <w:vAlign w:val="center"/>
          </w:tcPr>
          <w:p w14:paraId="287096C9">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r>
      <w:tr w14:paraId="672BC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47" w:hRule="atLeast"/>
        </w:trPr>
        <w:tc>
          <w:tcPr>
            <w:tcW w:w="830" w:type="dxa"/>
            <w:vMerge w:val="continue"/>
            <w:tcBorders>
              <w:top w:val="single" w:color="auto" w:sz="4" w:space="0"/>
              <w:left w:val="single" w:color="auto" w:sz="4" w:space="0"/>
              <w:bottom w:val="single" w:color="000000" w:sz="4" w:space="0"/>
              <w:right w:val="single" w:color="auto" w:sz="4" w:space="0"/>
            </w:tcBorders>
            <w:shd w:val="clear"/>
            <w:vAlign w:val="center"/>
          </w:tcPr>
          <w:p w14:paraId="5060C589">
            <w:pPr>
              <w:rPr>
                <w:rFonts w:hint="default" w:ascii="Times New Roman" w:hAnsi="Times New Roman" w:cs="Times New Roman"/>
                <w:sz w:val="20"/>
                <w:szCs w:val="20"/>
              </w:rPr>
            </w:pPr>
          </w:p>
        </w:tc>
        <w:tc>
          <w:tcPr>
            <w:tcW w:w="1216" w:type="dxa"/>
            <w:gridSpan w:val="3"/>
            <w:vMerge w:val="continue"/>
            <w:tcBorders>
              <w:top w:val="single" w:color="auto" w:sz="4" w:space="0"/>
              <w:left w:val="nil"/>
              <w:bottom w:val="single" w:color="000000" w:sz="4" w:space="0"/>
              <w:right w:val="single" w:color="000000" w:sz="4" w:space="0"/>
            </w:tcBorders>
            <w:shd w:val="clear"/>
            <w:vAlign w:val="center"/>
          </w:tcPr>
          <w:p w14:paraId="4C041F9B">
            <w:pPr>
              <w:rPr>
                <w:rFonts w:hint="default" w:ascii="Times New Roman" w:hAnsi="Times New Roman" w:cs="Times New Roman"/>
                <w:sz w:val="20"/>
                <w:szCs w:val="20"/>
              </w:rPr>
            </w:pPr>
          </w:p>
        </w:tc>
        <w:tc>
          <w:tcPr>
            <w:tcW w:w="1563" w:type="dxa"/>
            <w:gridSpan w:val="2"/>
            <w:vMerge w:val="continue"/>
            <w:tcBorders>
              <w:top w:val="single" w:color="auto" w:sz="4" w:space="0"/>
              <w:left w:val="nil"/>
              <w:bottom w:val="single" w:color="000000" w:sz="4" w:space="0"/>
              <w:right w:val="single" w:color="auto" w:sz="4" w:space="0"/>
            </w:tcBorders>
            <w:shd w:val="clear"/>
            <w:vAlign w:val="center"/>
          </w:tcPr>
          <w:p w14:paraId="3DF9DD05">
            <w:pPr>
              <w:rPr>
                <w:rFonts w:hint="default" w:ascii="Times New Roman" w:hAnsi="Times New Roman" w:cs="Times New Roman"/>
                <w:sz w:val="20"/>
                <w:szCs w:val="20"/>
              </w:rPr>
            </w:pPr>
          </w:p>
        </w:tc>
        <w:tc>
          <w:tcPr>
            <w:tcW w:w="880" w:type="dxa"/>
            <w:gridSpan w:val="2"/>
            <w:vMerge w:val="continue"/>
            <w:tcBorders>
              <w:top w:val="single" w:color="auto" w:sz="4" w:space="0"/>
              <w:left w:val="nil"/>
              <w:bottom w:val="single" w:color="000000" w:sz="4" w:space="0"/>
              <w:right w:val="single" w:color="000000" w:sz="4" w:space="0"/>
            </w:tcBorders>
            <w:shd w:val="clear"/>
            <w:vAlign w:val="center"/>
          </w:tcPr>
          <w:p w14:paraId="3ECC5DA7">
            <w:pPr>
              <w:rPr>
                <w:rFonts w:hint="default" w:ascii="Times New Roman" w:hAnsi="Times New Roman" w:cs="Times New Roman"/>
                <w:sz w:val="20"/>
                <w:szCs w:val="20"/>
              </w:rPr>
            </w:pPr>
          </w:p>
        </w:tc>
        <w:tc>
          <w:tcPr>
            <w:tcW w:w="1595" w:type="dxa"/>
            <w:gridSpan w:val="4"/>
            <w:tcBorders>
              <w:top w:val="nil"/>
              <w:left w:val="nil"/>
              <w:bottom w:val="single" w:color="auto" w:sz="4" w:space="0"/>
              <w:right w:val="single" w:color="auto" w:sz="4" w:space="0"/>
            </w:tcBorders>
            <w:shd w:val="clear"/>
            <w:vAlign w:val="center"/>
          </w:tcPr>
          <w:p w14:paraId="522119D1">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部门联系人</w:t>
            </w:r>
          </w:p>
        </w:tc>
        <w:tc>
          <w:tcPr>
            <w:tcW w:w="772" w:type="dxa"/>
            <w:tcBorders>
              <w:top w:val="nil"/>
              <w:left w:val="nil"/>
              <w:bottom w:val="single" w:color="auto" w:sz="4" w:space="0"/>
              <w:right w:val="single" w:color="auto" w:sz="4" w:space="0"/>
            </w:tcBorders>
            <w:shd w:val="clear"/>
            <w:vAlign w:val="center"/>
          </w:tcPr>
          <w:p w14:paraId="7D7E795F">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朱银建</w:t>
            </w:r>
          </w:p>
        </w:tc>
        <w:tc>
          <w:tcPr>
            <w:tcW w:w="1210" w:type="dxa"/>
            <w:gridSpan w:val="2"/>
            <w:tcBorders>
              <w:top w:val="nil"/>
              <w:left w:val="nil"/>
              <w:bottom w:val="single" w:color="auto" w:sz="4" w:space="0"/>
              <w:right w:val="single" w:color="auto" w:sz="4" w:space="0"/>
            </w:tcBorders>
            <w:shd w:val="clear"/>
            <w:vAlign w:val="center"/>
          </w:tcPr>
          <w:p w14:paraId="5B1CB5FF">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联系电话</w:t>
            </w:r>
          </w:p>
        </w:tc>
        <w:tc>
          <w:tcPr>
            <w:tcW w:w="1910" w:type="dxa"/>
            <w:gridSpan w:val="2"/>
            <w:tcBorders>
              <w:top w:val="single" w:color="auto" w:sz="4" w:space="0"/>
              <w:left w:val="nil"/>
              <w:bottom w:val="single" w:color="auto" w:sz="4" w:space="0"/>
              <w:right w:val="single" w:color="000000" w:sz="4" w:space="0"/>
            </w:tcBorders>
            <w:shd w:val="clear"/>
            <w:vAlign w:val="center"/>
          </w:tcPr>
          <w:p w14:paraId="68B7F4AF">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15923834848</w:t>
            </w:r>
          </w:p>
        </w:tc>
      </w:tr>
      <w:tr w14:paraId="5A546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60" w:hRule="atLeast"/>
        </w:trPr>
        <w:tc>
          <w:tcPr>
            <w:tcW w:w="830" w:type="dxa"/>
            <w:vMerge w:val="restart"/>
            <w:tcBorders>
              <w:top w:val="nil"/>
              <w:left w:val="single" w:color="auto" w:sz="4" w:space="0"/>
              <w:bottom w:val="single" w:color="auto" w:sz="4" w:space="0"/>
              <w:right w:val="single" w:color="auto" w:sz="4" w:space="0"/>
            </w:tcBorders>
            <w:shd w:val="clear"/>
            <w:vAlign w:val="center"/>
          </w:tcPr>
          <w:p w14:paraId="75E9A731">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部门预算执行情况</w:t>
            </w:r>
          </w:p>
        </w:tc>
        <w:tc>
          <w:tcPr>
            <w:tcW w:w="989" w:type="dxa"/>
            <w:vMerge w:val="restart"/>
            <w:shd w:val="clear"/>
            <w:vAlign w:val="center"/>
          </w:tcPr>
          <w:p w14:paraId="073E3019">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预算</w:t>
            </w:r>
          </w:p>
          <w:p w14:paraId="249D4C28">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资金</w:t>
            </w:r>
          </w:p>
          <w:p w14:paraId="296BDC81">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（万元）</w:t>
            </w:r>
          </w:p>
        </w:tc>
        <w:tc>
          <w:tcPr>
            <w:tcW w:w="1790" w:type="dxa"/>
            <w:gridSpan w:val="4"/>
            <w:tcBorders>
              <w:top w:val="single" w:color="auto" w:sz="4" w:space="0"/>
              <w:left w:val="single" w:color="auto" w:sz="4" w:space="0"/>
              <w:bottom w:val="single" w:color="auto" w:sz="4" w:space="0"/>
              <w:right w:val="single" w:color="000000" w:sz="4" w:space="0"/>
            </w:tcBorders>
            <w:shd w:val="clear"/>
            <w:vAlign w:val="center"/>
          </w:tcPr>
          <w:p w14:paraId="6A57172D">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年初</w:t>
            </w:r>
          </w:p>
          <w:p w14:paraId="2A34157F">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预算数</w:t>
            </w:r>
          </w:p>
        </w:tc>
        <w:tc>
          <w:tcPr>
            <w:tcW w:w="1548" w:type="dxa"/>
            <w:gridSpan w:val="4"/>
            <w:tcBorders>
              <w:top w:val="single" w:color="auto" w:sz="4" w:space="0"/>
              <w:left w:val="nil"/>
              <w:bottom w:val="single" w:color="auto" w:sz="4" w:space="0"/>
              <w:right w:val="single" w:color="auto" w:sz="4" w:space="0"/>
            </w:tcBorders>
            <w:shd w:val="clear"/>
            <w:vAlign w:val="center"/>
          </w:tcPr>
          <w:p w14:paraId="5C6A2B88">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全年（调整）</w:t>
            </w:r>
          </w:p>
          <w:p w14:paraId="022A9B98">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预算数</w:t>
            </w:r>
          </w:p>
        </w:tc>
        <w:tc>
          <w:tcPr>
            <w:tcW w:w="1699" w:type="dxa"/>
            <w:gridSpan w:val="3"/>
            <w:tcBorders>
              <w:top w:val="single" w:color="auto" w:sz="4" w:space="0"/>
              <w:left w:val="nil"/>
              <w:bottom w:val="single" w:color="auto" w:sz="4" w:space="0"/>
              <w:right w:val="single" w:color="auto" w:sz="4" w:space="0"/>
            </w:tcBorders>
            <w:shd w:val="clear"/>
            <w:vAlign w:val="center"/>
          </w:tcPr>
          <w:p w14:paraId="65FAD52D">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全年执行数</w:t>
            </w:r>
          </w:p>
        </w:tc>
        <w:tc>
          <w:tcPr>
            <w:tcW w:w="1210" w:type="dxa"/>
            <w:gridSpan w:val="2"/>
            <w:tcBorders>
              <w:top w:val="nil"/>
              <w:left w:val="nil"/>
              <w:bottom w:val="single" w:color="auto" w:sz="4" w:space="0"/>
              <w:right w:val="single" w:color="auto" w:sz="4" w:space="0"/>
            </w:tcBorders>
            <w:shd w:val="clear"/>
            <w:vAlign w:val="center"/>
          </w:tcPr>
          <w:p w14:paraId="0E02971B">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执行率</w:t>
            </w:r>
          </w:p>
          <w:p w14:paraId="74AA8CD6">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w:t>
            </w:r>
            <w:r>
              <w:rPr>
                <w:rFonts w:hint="eastAsia" w:ascii="方正仿宋_GBK" w:hAnsi="方正仿宋_GBK" w:eastAsia="方正仿宋_GBK" w:cs="方正仿宋_GBK"/>
                <w:color w:val="000000"/>
                <w:sz w:val="28"/>
                <w:szCs w:val="28"/>
                <w:bdr w:val="none" w:color="auto" w:sz="0" w:space="0"/>
                <w:lang w:val="en-US"/>
              </w:rPr>
              <w:t>%</w:t>
            </w:r>
            <w:r>
              <w:rPr>
                <w:rFonts w:ascii="方正仿宋_GBK" w:hAnsi="方正仿宋_GBK"/>
                <w:color w:val="000000"/>
                <w:sz w:val="28"/>
                <w:szCs w:val="28"/>
                <w:bdr w:val="none" w:color="auto" w:sz="0" w:space="0"/>
              </w:rPr>
              <w:t>）</w:t>
            </w:r>
          </w:p>
        </w:tc>
        <w:tc>
          <w:tcPr>
            <w:tcW w:w="793" w:type="dxa"/>
            <w:tcBorders>
              <w:top w:val="nil"/>
              <w:left w:val="nil"/>
              <w:bottom w:val="single" w:color="auto" w:sz="4" w:space="0"/>
              <w:right w:val="single" w:color="auto" w:sz="4" w:space="0"/>
            </w:tcBorders>
            <w:shd w:val="clear"/>
            <w:vAlign w:val="center"/>
          </w:tcPr>
          <w:p w14:paraId="5EF12B55">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执行率</w:t>
            </w:r>
          </w:p>
          <w:p w14:paraId="58DB814E">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权重</w:t>
            </w:r>
          </w:p>
        </w:tc>
        <w:tc>
          <w:tcPr>
            <w:tcW w:w="1117" w:type="dxa"/>
            <w:tcBorders>
              <w:top w:val="nil"/>
              <w:left w:val="nil"/>
              <w:bottom w:val="single" w:color="auto" w:sz="4" w:space="0"/>
              <w:right w:val="single" w:color="auto" w:sz="4" w:space="0"/>
            </w:tcBorders>
            <w:shd w:val="clear"/>
            <w:vAlign w:val="center"/>
          </w:tcPr>
          <w:p w14:paraId="7FB2C398">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执行率</w:t>
            </w:r>
          </w:p>
          <w:p w14:paraId="13D7932D">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得分</w:t>
            </w:r>
          </w:p>
          <w:p w14:paraId="649364A4">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（分）</w:t>
            </w:r>
          </w:p>
        </w:tc>
      </w:tr>
      <w:tr w14:paraId="2C178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5" w:hRule="atLeast"/>
        </w:trPr>
        <w:tc>
          <w:tcPr>
            <w:tcW w:w="830" w:type="dxa"/>
            <w:vMerge w:val="continue"/>
            <w:tcBorders>
              <w:top w:val="nil"/>
              <w:left w:val="single" w:color="auto" w:sz="4" w:space="0"/>
              <w:bottom w:val="single" w:color="auto" w:sz="4" w:space="0"/>
              <w:right w:val="single" w:color="auto" w:sz="4" w:space="0"/>
            </w:tcBorders>
            <w:shd w:val="clear"/>
            <w:vAlign w:val="center"/>
          </w:tcPr>
          <w:p w14:paraId="7275FEFD">
            <w:pPr>
              <w:rPr>
                <w:rFonts w:hint="default" w:ascii="Times New Roman" w:hAnsi="Times New Roman" w:cs="Times New Roman"/>
                <w:sz w:val="20"/>
                <w:szCs w:val="20"/>
              </w:rPr>
            </w:pPr>
          </w:p>
        </w:tc>
        <w:tc>
          <w:tcPr>
            <w:tcW w:w="989" w:type="dxa"/>
            <w:vMerge w:val="continue"/>
            <w:shd w:val="clear"/>
            <w:vAlign w:val="center"/>
          </w:tcPr>
          <w:p w14:paraId="0798822D">
            <w:pPr>
              <w:rPr>
                <w:rFonts w:hint="default" w:ascii="Times New Roman" w:hAnsi="Times New Roman" w:cs="Times New Roman"/>
                <w:sz w:val="20"/>
                <w:szCs w:val="20"/>
              </w:rPr>
            </w:pPr>
          </w:p>
        </w:tc>
        <w:tc>
          <w:tcPr>
            <w:tcW w:w="1790" w:type="dxa"/>
            <w:gridSpan w:val="4"/>
            <w:tcBorders>
              <w:top w:val="single" w:color="auto" w:sz="4" w:space="0"/>
              <w:left w:val="single" w:color="auto" w:sz="4" w:space="0"/>
              <w:bottom w:val="single" w:color="auto" w:sz="4" w:space="0"/>
              <w:right w:val="single" w:color="000000" w:sz="4" w:space="0"/>
            </w:tcBorders>
            <w:shd w:val="clear"/>
            <w:vAlign w:val="center"/>
          </w:tcPr>
          <w:p w14:paraId="6C5D3781">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593.27</w:t>
            </w:r>
          </w:p>
        </w:tc>
        <w:tc>
          <w:tcPr>
            <w:tcW w:w="1548" w:type="dxa"/>
            <w:gridSpan w:val="4"/>
            <w:tcBorders>
              <w:top w:val="single" w:color="auto" w:sz="4" w:space="0"/>
              <w:left w:val="nil"/>
              <w:bottom w:val="single" w:color="auto" w:sz="4" w:space="0"/>
              <w:right w:val="single" w:color="auto" w:sz="4" w:space="0"/>
            </w:tcBorders>
            <w:shd w:val="clear"/>
            <w:vAlign w:val="center"/>
          </w:tcPr>
          <w:p w14:paraId="41635E21">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3980.78</w:t>
            </w:r>
          </w:p>
        </w:tc>
        <w:tc>
          <w:tcPr>
            <w:tcW w:w="1699" w:type="dxa"/>
            <w:gridSpan w:val="3"/>
            <w:tcBorders>
              <w:top w:val="single" w:color="auto" w:sz="4" w:space="0"/>
              <w:left w:val="nil"/>
              <w:bottom w:val="single" w:color="auto" w:sz="4" w:space="0"/>
              <w:right w:val="single" w:color="auto" w:sz="4" w:space="0"/>
            </w:tcBorders>
            <w:shd w:val="clear"/>
            <w:vAlign w:val="center"/>
          </w:tcPr>
          <w:p w14:paraId="55AA40A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3980.78</w:t>
            </w:r>
          </w:p>
        </w:tc>
        <w:tc>
          <w:tcPr>
            <w:tcW w:w="1210" w:type="dxa"/>
            <w:gridSpan w:val="2"/>
            <w:tcBorders>
              <w:top w:val="nil"/>
              <w:left w:val="nil"/>
              <w:bottom w:val="single" w:color="auto" w:sz="4" w:space="0"/>
              <w:right w:val="single" w:color="auto" w:sz="4" w:space="0"/>
            </w:tcBorders>
            <w:shd w:val="clear"/>
            <w:vAlign w:val="center"/>
          </w:tcPr>
          <w:p w14:paraId="4EB5C3EB">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793" w:type="dxa"/>
            <w:tcBorders>
              <w:top w:val="nil"/>
              <w:left w:val="nil"/>
              <w:bottom w:val="single" w:color="auto" w:sz="4" w:space="0"/>
              <w:right w:val="single" w:color="auto" w:sz="4" w:space="0"/>
            </w:tcBorders>
            <w:shd w:val="clear"/>
            <w:vAlign w:val="center"/>
          </w:tcPr>
          <w:p w14:paraId="675D304C">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1117" w:type="dxa"/>
            <w:tcBorders>
              <w:top w:val="nil"/>
              <w:left w:val="nil"/>
              <w:bottom w:val="single" w:color="auto" w:sz="4" w:space="0"/>
              <w:right w:val="single" w:color="auto" w:sz="4" w:space="0"/>
            </w:tcBorders>
            <w:shd w:val="clear"/>
            <w:vAlign w:val="center"/>
          </w:tcPr>
          <w:p w14:paraId="576AAF65">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r>
      <w:tr w14:paraId="6B073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62" w:hRule="atLeast"/>
        </w:trPr>
        <w:tc>
          <w:tcPr>
            <w:tcW w:w="830" w:type="dxa"/>
            <w:vMerge w:val="restart"/>
            <w:tcBorders>
              <w:top w:val="nil"/>
              <w:left w:val="single" w:color="auto" w:sz="4" w:space="0"/>
              <w:bottom w:val="single" w:color="auto" w:sz="4" w:space="0"/>
              <w:right w:val="single" w:color="auto" w:sz="4" w:space="0"/>
            </w:tcBorders>
            <w:shd w:val="clear"/>
            <w:vAlign w:val="center"/>
          </w:tcPr>
          <w:p w14:paraId="0A75F118">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当年绩效目标</w:t>
            </w:r>
          </w:p>
        </w:tc>
        <w:tc>
          <w:tcPr>
            <w:tcW w:w="2779" w:type="dxa"/>
            <w:gridSpan w:val="5"/>
            <w:tcBorders>
              <w:top w:val="single" w:color="auto" w:sz="4" w:space="0"/>
              <w:left w:val="nil"/>
              <w:bottom w:val="single" w:color="auto" w:sz="4" w:space="0"/>
              <w:right w:val="single" w:color="000000" w:sz="4" w:space="0"/>
            </w:tcBorders>
            <w:shd w:val="clear"/>
            <w:vAlign w:val="center"/>
          </w:tcPr>
          <w:p w14:paraId="7BE5118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年初绩效目标</w:t>
            </w:r>
          </w:p>
        </w:tc>
        <w:tc>
          <w:tcPr>
            <w:tcW w:w="3247" w:type="dxa"/>
            <w:gridSpan w:val="7"/>
            <w:tcBorders>
              <w:top w:val="single" w:color="auto" w:sz="4" w:space="0"/>
              <w:left w:val="nil"/>
              <w:bottom w:val="single" w:color="auto" w:sz="4" w:space="0"/>
              <w:right w:val="single" w:color="000000" w:sz="4" w:space="0"/>
            </w:tcBorders>
            <w:shd w:val="clear"/>
            <w:vAlign w:val="center"/>
          </w:tcPr>
          <w:p w14:paraId="68FD88A8">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全年（调整）绩效目标</w:t>
            </w:r>
          </w:p>
        </w:tc>
        <w:tc>
          <w:tcPr>
            <w:tcW w:w="3120" w:type="dxa"/>
            <w:gridSpan w:val="4"/>
            <w:tcBorders>
              <w:top w:val="single" w:color="auto" w:sz="4" w:space="0"/>
              <w:left w:val="nil"/>
              <w:bottom w:val="single" w:color="auto" w:sz="4" w:space="0"/>
              <w:right w:val="single" w:color="000000" w:sz="4" w:space="0"/>
            </w:tcBorders>
            <w:shd w:val="clear"/>
            <w:vAlign w:val="center"/>
          </w:tcPr>
          <w:p w14:paraId="062DAEE6">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全年目标实际完成情况</w:t>
            </w:r>
          </w:p>
        </w:tc>
      </w:tr>
      <w:tr w14:paraId="7675D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12" w:hRule="atLeast"/>
        </w:trPr>
        <w:tc>
          <w:tcPr>
            <w:tcW w:w="830" w:type="dxa"/>
            <w:vMerge w:val="continue"/>
            <w:tcBorders>
              <w:top w:val="nil"/>
              <w:left w:val="single" w:color="auto" w:sz="4" w:space="0"/>
              <w:bottom w:val="single" w:color="auto" w:sz="4" w:space="0"/>
              <w:right w:val="single" w:color="auto" w:sz="4" w:space="0"/>
            </w:tcBorders>
            <w:shd w:val="clear"/>
            <w:vAlign w:val="center"/>
          </w:tcPr>
          <w:p w14:paraId="0AF56D2D">
            <w:pPr>
              <w:rPr>
                <w:rFonts w:hint="default" w:ascii="Times New Roman" w:hAnsi="Times New Roman" w:cs="Times New Roman"/>
                <w:sz w:val="20"/>
                <w:szCs w:val="20"/>
              </w:rPr>
            </w:pPr>
          </w:p>
        </w:tc>
        <w:tc>
          <w:tcPr>
            <w:tcW w:w="2779" w:type="dxa"/>
            <w:gridSpan w:val="5"/>
            <w:tcBorders>
              <w:top w:val="single" w:color="auto" w:sz="4" w:space="0"/>
              <w:left w:val="nil"/>
              <w:bottom w:val="single" w:color="auto" w:sz="4" w:space="0"/>
              <w:right w:val="single" w:color="000000" w:sz="4" w:space="0"/>
            </w:tcBorders>
            <w:shd w:val="clear"/>
            <w:vAlign w:val="center"/>
          </w:tcPr>
          <w:p w14:paraId="7AC6E58B">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确保全局人员的工资福利以及社会保险支出，维持日常工作运转；对全县环境质量进行监测，提供相关监测数据</w:t>
            </w:r>
            <w:r>
              <w:rPr>
                <w:rFonts w:hint="eastAsia" w:ascii="方正仿宋_GBK" w:hAnsi="方正仿宋_GBK" w:eastAsia="方正仿宋_GBK" w:cs="方正仿宋_GBK"/>
                <w:color w:val="000000"/>
                <w:sz w:val="28"/>
                <w:szCs w:val="28"/>
                <w:bdr w:val="none" w:color="auto" w:sz="0" w:space="0"/>
                <w:lang w:val="en-US"/>
              </w:rPr>
              <w:t>;</w:t>
            </w:r>
            <w:r>
              <w:rPr>
                <w:rFonts w:ascii="方正仿宋_GBK" w:hAnsi="方正仿宋_GBK"/>
                <w:color w:val="000000"/>
                <w:sz w:val="28"/>
                <w:szCs w:val="28"/>
                <w:bdr w:val="none" w:color="auto" w:sz="0" w:space="0"/>
              </w:rPr>
              <w:t>加强日常环境监管执法</w:t>
            </w:r>
            <w:r>
              <w:rPr>
                <w:rFonts w:hint="eastAsia" w:ascii="方正仿宋_GBK" w:hAnsi="方正仿宋_GBK" w:eastAsia="方正仿宋_GBK" w:cs="方正仿宋_GBK"/>
                <w:color w:val="000000"/>
                <w:sz w:val="28"/>
                <w:szCs w:val="28"/>
                <w:bdr w:val="none" w:color="auto" w:sz="0" w:space="0"/>
                <w:lang w:val="en-US"/>
              </w:rPr>
              <w:t>,</w:t>
            </w:r>
            <w:r>
              <w:rPr>
                <w:rFonts w:ascii="方正仿宋_GBK" w:hAnsi="方正仿宋_GBK"/>
                <w:color w:val="000000"/>
                <w:sz w:val="28"/>
                <w:szCs w:val="28"/>
                <w:bdr w:val="none" w:color="auto" w:sz="0" w:space="0"/>
              </w:rPr>
              <w:t>重拳打击违法排污行为</w:t>
            </w:r>
            <w:r>
              <w:rPr>
                <w:rFonts w:hint="eastAsia" w:ascii="方正仿宋_GBK" w:hAnsi="方正仿宋_GBK" w:eastAsia="方正仿宋_GBK" w:cs="方正仿宋_GBK"/>
                <w:color w:val="000000"/>
                <w:sz w:val="28"/>
                <w:szCs w:val="28"/>
                <w:bdr w:val="none" w:color="auto" w:sz="0" w:space="0"/>
                <w:lang w:val="en-US"/>
              </w:rPr>
              <w:t>,</w:t>
            </w:r>
            <w:r>
              <w:rPr>
                <w:rFonts w:ascii="方正仿宋_GBK" w:hAnsi="方正仿宋_GBK"/>
                <w:color w:val="000000"/>
                <w:sz w:val="28"/>
                <w:szCs w:val="28"/>
                <w:bdr w:val="none" w:color="auto" w:sz="0" w:space="0"/>
              </w:rPr>
              <w:t>保障辖区环境安全；完成监测设备采购；开展执法大比武</w:t>
            </w:r>
            <w:r>
              <w:rPr>
                <w:rFonts w:hint="eastAsia" w:ascii="方正仿宋_GBK" w:hAnsi="方正仿宋_GBK" w:eastAsia="方正仿宋_GBK" w:cs="方正仿宋_GBK"/>
                <w:color w:val="000000"/>
                <w:sz w:val="28"/>
                <w:szCs w:val="28"/>
                <w:bdr w:val="none" w:color="auto" w:sz="0" w:space="0"/>
                <w:lang w:val="en-US"/>
              </w:rPr>
              <w:t>2</w:t>
            </w:r>
            <w:r>
              <w:rPr>
                <w:rFonts w:ascii="方正仿宋_GBK" w:hAnsi="方正仿宋_GBK"/>
                <w:color w:val="000000"/>
                <w:sz w:val="28"/>
                <w:szCs w:val="28"/>
                <w:bdr w:val="none" w:color="auto" w:sz="0" w:space="0"/>
              </w:rPr>
              <w:t>次；</w:t>
            </w:r>
          </w:p>
        </w:tc>
        <w:tc>
          <w:tcPr>
            <w:tcW w:w="3247" w:type="dxa"/>
            <w:gridSpan w:val="7"/>
            <w:tcBorders>
              <w:top w:val="single" w:color="auto" w:sz="4" w:space="0"/>
              <w:left w:val="nil"/>
              <w:bottom w:val="single" w:color="auto" w:sz="4" w:space="0"/>
              <w:right w:val="single" w:color="000000" w:sz="4" w:space="0"/>
            </w:tcBorders>
            <w:shd w:val="clear"/>
            <w:vAlign w:val="center"/>
          </w:tcPr>
          <w:p w14:paraId="06C0F74E">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确保全局人员的工资福利以及社会保险支出，维持日常工作运转；认真进行环境质量监测</w:t>
            </w:r>
            <w:r>
              <w:rPr>
                <w:rFonts w:hint="eastAsia" w:ascii="方正仿宋_GBK" w:hAnsi="方正仿宋_GBK" w:eastAsia="方正仿宋_GBK" w:cs="方正仿宋_GBK"/>
                <w:color w:val="000000"/>
                <w:sz w:val="28"/>
                <w:szCs w:val="28"/>
                <w:bdr w:val="none" w:color="auto" w:sz="0" w:space="0"/>
                <w:lang w:val="en-US"/>
              </w:rPr>
              <w:t>,</w:t>
            </w:r>
            <w:r>
              <w:rPr>
                <w:rFonts w:ascii="方正仿宋_GBK" w:hAnsi="方正仿宋_GBK"/>
                <w:color w:val="000000"/>
                <w:sz w:val="28"/>
                <w:szCs w:val="28"/>
                <w:bdr w:val="none" w:color="auto" w:sz="0" w:space="0"/>
              </w:rPr>
              <w:t>严厉查处违法排污行为，认真办理安全生产违法案件；完成监测设备采购；开展执法大比武</w:t>
            </w:r>
            <w:r>
              <w:rPr>
                <w:rFonts w:hint="eastAsia" w:ascii="方正仿宋_GBK" w:hAnsi="方正仿宋_GBK" w:eastAsia="方正仿宋_GBK" w:cs="方正仿宋_GBK"/>
                <w:color w:val="000000"/>
                <w:sz w:val="28"/>
                <w:szCs w:val="28"/>
                <w:bdr w:val="none" w:color="auto" w:sz="0" w:space="0"/>
                <w:lang w:val="en-US"/>
              </w:rPr>
              <w:t>2</w:t>
            </w:r>
            <w:r>
              <w:rPr>
                <w:rFonts w:ascii="方正仿宋_GBK" w:hAnsi="方正仿宋_GBK"/>
                <w:color w:val="000000"/>
                <w:sz w:val="28"/>
                <w:szCs w:val="28"/>
                <w:bdr w:val="none" w:color="auto" w:sz="0" w:space="0"/>
              </w:rPr>
              <w:t>次；</w:t>
            </w:r>
          </w:p>
        </w:tc>
        <w:tc>
          <w:tcPr>
            <w:tcW w:w="3120" w:type="dxa"/>
            <w:gridSpan w:val="4"/>
            <w:tcBorders>
              <w:top w:val="single" w:color="auto" w:sz="4" w:space="0"/>
              <w:left w:val="nil"/>
              <w:bottom w:val="single" w:color="auto" w:sz="4" w:space="0"/>
              <w:right w:val="single" w:color="000000" w:sz="4" w:space="0"/>
            </w:tcBorders>
            <w:shd w:val="clear"/>
            <w:vAlign w:val="center"/>
          </w:tcPr>
          <w:p w14:paraId="141DAE65">
            <w:pPr>
              <w:spacing w:line="300" w:lineRule="exact"/>
              <w:rPr>
                <w:rFonts w:hint="eastAsia" w:ascii="方正仿宋_GBK" w:hAnsi="方正仿宋_GBK" w:eastAsia="方正仿宋_GBK" w:cs="方正仿宋_GBK"/>
                <w:b/>
                <w:bCs/>
                <w:color w:val="000000"/>
                <w:sz w:val="28"/>
                <w:szCs w:val="28"/>
                <w:bdr w:val="none" w:color="auto" w:sz="0" w:space="0"/>
                <w:lang w:val="en-US"/>
              </w:rPr>
            </w:pPr>
            <w:r>
              <w:rPr>
                <w:rFonts w:ascii="方正仿宋_GBK" w:hAnsi="方正仿宋_GBK"/>
                <w:color w:val="000000"/>
                <w:sz w:val="28"/>
                <w:szCs w:val="28"/>
                <w:bdr w:val="none" w:color="auto" w:sz="0" w:space="0"/>
              </w:rPr>
              <w:t>确保全局人员的工资福利以及社会保险支出，维持日常工作运转；认真进行环境质量监测</w:t>
            </w:r>
            <w:r>
              <w:rPr>
                <w:rFonts w:hint="eastAsia" w:ascii="方正仿宋_GBK" w:hAnsi="方正仿宋_GBK" w:eastAsia="方正仿宋_GBK" w:cs="方正仿宋_GBK"/>
                <w:color w:val="000000"/>
                <w:sz w:val="28"/>
                <w:szCs w:val="28"/>
                <w:bdr w:val="none" w:color="auto" w:sz="0" w:space="0"/>
                <w:lang w:val="en-US"/>
              </w:rPr>
              <w:t>,</w:t>
            </w:r>
            <w:r>
              <w:rPr>
                <w:rFonts w:ascii="方正仿宋_GBK" w:hAnsi="方正仿宋_GBK"/>
                <w:color w:val="000000"/>
                <w:sz w:val="28"/>
                <w:szCs w:val="28"/>
                <w:bdr w:val="none" w:color="auto" w:sz="0" w:space="0"/>
              </w:rPr>
              <w:t>严厉查处违法排污行为，认真办理安全生产违法案件；完成监测设备采购；开展执法大比武</w:t>
            </w:r>
            <w:r>
              <w:rPr>
                <w:rFonts w:hint="eastAsia" w:ascii="方正仿宋_GBK" w:hAnsi="方正仿宋_GBK" w:eastAsia="方正仿宋_GBK" w:cs="方正仿宋_GBK"/>
                <w:color w:val="000000"/>
                <w:sz w:val="28"/>
                <w:szCs w:val="28"/>
                <w:bdr w:val="none" w:color="auto" w:sz="0" w:space="0"/>
                <w:lang w:val="en-US"/>
              </w:rPr>
              <w:t>2</w:t>
            </w:r>
            <w:r>
              <w:rPr>
                <w:rFonts w:ascii="方正仿宋_GBK" w:hAnsi="方正仿宋_GBK"/>
                <w:color w:val="000000"/>
                <w:sz w:val="28"/>
                <w:szCs w:val="28"/>
                <w:bdr w:val="none" w:color="auto" w:sz="0" w:space="0"/>
              </w:rPr>
              <w:t>次；</w:t>
            </w:r>
          </w:p>
        </w:tc>
      </w:tr>
      <w:tr w14:paraId="35D30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75" w:hRule="atLeast"/>
        </w:trPr>
        <w:tc>
          <w:tcPr>
            <w:tcW w:w="830" w:type="dxa"/>
            <w:vMerge w:val="restart"/>
            <w:tcBorders>
              <w:top w:val="nil"/>
              <w:left w:val="single" w:color="auto" w:sz="4" w:space="0"/>
              <w:bottom w:val="single" w:color="auto" w:sz="4" w:space="0"/>
              <w:right w:val="single" w:color="auto" w:sz="4" w:space="0"/>
            </w:tcBorders>
            <w:shd w:val="clear"/>
            <w:vAlign w:val="center"/>
          </w:tcPr>
          <w:p w14:paraId="0DF4FE8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绩效指标</w:t>
            </w:r>
          </w:p>
        </w:tc>
        <w:tc>
          <w:tcPr>
            <w:tcW w:w="1153" w:type="dxa"/>
            <w:gridSpan w:val="2"/>
            <w:tcBorders>
              <w:top w:val="nil"/>
              <w:left w:val="nil"/>
              <w:bottom w:val="single" w:color="auto" w:sz="4" w:space="0"/>
              <w:right w:val="nil"/>
            </w:tcBorders>
            <w:shd w:val="clear"/>
            <w:vAlign w:val="center"/>
          </w:tcPr>
          <w:p w14:paraId="7AAFC5C0">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指标</w:t>
            </w:r>
          </w:p>
          <w:p w14:paraId="0313C8E9">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名称</w:t>
            </w:r>
          </w:p>
        </w:tc>
        <w:tc>
          <w:tcPr>
            <w:tcW w:w="706" w:type="dxa"/>
            <w:gridSpan w:val="2"/>
            <w:tcBorders>
              <w:top w:val="nil"/>
              <w:left w:val="single" w:color="auto" w:sz="4" w:space="0"/>
              <w:bottom w:val="single" w:color="auto" w:sz="4" w:space="0"/>
              <w:right w:val="single" w:color="auto" w:sz="4" w:space="0"/>
            </w:tcBorders>
            <w:shd w:val="clear"/>
            <w:vAlign w:val="center"/>
          </w:tcPr>
          <w:p w14:paraId="2519389D">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计量</w:t>
            </w:r>
          </w:p>
          <w:p w14:paraId="68CB8C65">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单位</w:t>
            </w:r>
          </w:p>
        </w:tc>
        <w:tc>
          <w:tcPr>
            <w:tcW w:w="920" w:type="dxa"/>
            <w:tcBorders>
              <w:top w:val="nil"/>
              <w:left w:val="nil"/>
              <w:bottom w:val="single" w:color="auto" w:sz="4" w:space="0"/>
              <w:right w:val="single" w:color="auto" w:sz="4" w:space="0"/>
            </w:tcBorders>
            <w:shd w:val="clear"/>
            <w:vAlign w:val="center"/>
          </w:tcPr>
          <w:p w14:paraId="637F254B">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指标</w:t>
            </w:r>
          </w:p>
          <w:p w14:paraId="625FBF02">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性质</w:t>
            </w:r>
          </w:p>
        </w:tc>
        <w:tc>
          <w:tcPr>
            <w:tcW w:w="575" w:type="dxa"/>
            <w:tcBorders>
              <w:top w:val="nil"/>
              <w:left w:val="nil"/>
              <w:bottom w:val="single" w:color="auto" w:sz="4" w:space="0"/>
              <w:right w:val="single" w:color="auto" w:sz="4" w:space="0"/>
            </w:tcBorders>
            <w:shd w:val="clear"/>
            <w:vAlign w:val="center"/>
          </w:tcPr>
          <w:p w14:paraId="4E3E3975">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年初</w:t>
            </w:r>
          </w:p>
          <w:p w14:paraId="44F5886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指标</w:t>
            </w:r>
          </w:p>
          <w:p w14:paraId="58146988">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值</w:t>
            </w:r>
          </w:p>
        </w:tc>
        <w:tc>
          <w:tcPr>
            <w:tcW w:w="729" w:type="dxa"/>
            <w:gridSpan w:val="2"/>
            <w:tcBorders>
              <w:top w:val="nil"/>
              <w:left w:val="nil"/>
              <w:bottom w:val="single" w:color="auto" w:sz="4" w:space="0"/>
              <w:right w:val="single" w:color="auto" w:sz="4" w:space="0"/>
            </w:tcBorders>
            <w:shd w:val="clear"/>
            <w:vAlign w:val="center"/>
          </w:tcPr>
          <w:p w14:paraId="221F4F70">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调整</w:t>
            </w:r>
          </w:p>
          <w:p w14:paraId="77A3490A">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指标</w:t>
            </w:r>
          </w:p>
          <w:p w14:paraId="05DAC692">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值</w:t>
            </w:r>
          </w:p>
        </w:tc>
        <w:tc>
          <w:tcPr>
            <w:tcW w:w="763" w:type="dxa"/>
            <w:gridSpan w:val="2"/>
            <w:tcBorders>
              <w:top w:val="nil"/>
              <w:left w:val="nil"/>
              <w:bottom w:val="single" w:color="auto" w:sz="4" w:space="0"/>
              <w:right w:val="single" w:color="auto" w:sz="4" w:space="0"/>
            </w:tcBorders>
            <w:shd w:val="clear"/>
            <w:vAlign w:val="center"/>
          </w:tcPr>
          <w:p w14:paraId="2E28B204">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全年</w:t>
            </w:r>
          </w:p>
          <w:p w14:paraId="715C09F6">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完成</w:t>
            </w:r>
          </w:p>
          <w:p w14:paraId="3B1F8676">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值</w:t>
            </w:r>
          </w:p>
        </w:tc>
        <w:tc>
          <w:tcPr>
            <w:tcW w:w="1180" w:type="dxa"/>
            <w:gridSpan w:val="2"/>
            <w:tcBorders>
              <w:top w:val="nil"/>
              <w:left w:val="nil"/>
              <w:bottom w:val="single" w:color="auto" w:sz="4" w:space="0"/>
              <w:right w:val="single" w:color="auto" w:sz="4" w:space="0"/>
            </w:tcBorders>
            <w:shd w:val="clear"/>
            <w:vAlign w:val="center"/>
          </w:tcPr>
          <w:p w14:paraId="7DB9D0EE">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得分</w:t>
            </w:r>
          </w:p>
          <w:p w14:paraId="58F9B54F">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系数</w:t>
            </w:r>
          </w:p>
          <w:p w14:paraId="62703A61">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w:t>
            </w:r>
            <w:r>
              <w:rPr>
                <w:rFonts w:hint="eastAsia" w:ascii="方正仿宋_GBK" w:hAnsi="方正仿宋_GBK" w:eastAsia="方正仿宋_GBK" w:cs="方正仿宋_GBK"/>
                <w:color w:val="000000"/>
                <w:sz w:val="28"/>
                <w:szCs w:val="28"/>
                <w:bdr w:val="none" w:color="auto" w:sz="0" w:space="0"/>
                <w:lang w:val="en-US"/>
              </w:rPr>
              <w:t>%</w:t>
            </w:r>
            <w:r>
              <w:rPr>
                <w:rFonts w:ascii="方正仿宋_GBK" w:hAnsi="方正仿宋_GBK"/>
                <w:color w:val="000000"/>
                <w:sz w:val="28"/>
                <w:szCs w:val="28"/>
                <w:bdr w:val="none" w:color="auto" w:sz="0" w:space="0"/>
              </w:rPr>
              <w:t>）</w:t>
            </w:r>
          </w:p>
        </w:tc>
        <w:tc>
          <w:tcPr>
            <w:tcW w:w="1054" w:type="dxa"/>
            <w:tcBorders>
              <w:top w:val="nil"/>
              <w:left w:val="nil"/>
              <w:bottom w:val="single" w:color="auto" w:sz="4" w:space="0"/>
              <w:right w:val="single" w:color="auto" w:sz="4" w:space="0"/>
            </w:tcBorders>
            <w:shd w:val="clear"/>
            <w:vAlign w:val="center"/>
          </w:tcPr>
          <w:p w14:paraId="6AD05EEB">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指标权重</w:t>
            </w:r>
          </w:p>
          <w:p w14:paraId="20CA756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（分）</w:t>
            </w:r>
          </w:p>
        </w:tc>
        <w:tc>
          <w:tcPr>
            <w:tcW w:w="949" w:type="dxa"/>
            <w:gridSpan w:val="2"/>
            <w:tcBorders>
              <w:top w:val="nil"/>
              <w:left w:val="nil"/>
              <w:bottom w:val="single" w:color="auto" w:sz="4" w:space="0"/>
              <w:right w:val="single" w:color="auto" w:sz="4" w:space="0"/>
            </w:tcBorders>
            <w:shd w:val="clear"/>
            <w:vAlign w:val="center"/>
          </w:tcPr>
          <w:p w14:paraId="0DB2A17F">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指标</w:t>
            </w:r>
          </w:p>
          <w:p w14:paraId="27B73E43">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得分</w:t>
            </w:r>
          </w:p>
          <w:p w14:paraId="0FD3E444">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（分）</w:t>
            </w:r>
          </w:p>
        </w:tc>
        <w:tc>
          <w:tcPr>
            <w:tcW w:w="1117" w:type="dxa"/>
            <w:tcBorders>
              <w:top w:val="nil"/>
              <w:left w:val="nil"/>
              <w:bottom w:val="single" w:color="auto" w:sz="4" w:space="0"/>
              <w:right w:val="single" w:color="auto" w:sz="4" w:space="0"/>
            </w:tcBorders>
            <w:shd w:val="clear"/>
            <w:vAlign w:val="center"/>
          </w:tcPr>
          <w:p w14:paraId="7C3D4430">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是否核心</w:t>
            </w:r>
          </w:p>
          <w:p w14:paraId="17C1D13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指标</w:t>
            </w:r>
          </w:p>
        </w:tc>
      </w:tr>
      <w:tr w14:paraId="0829C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45" w:hRule="atLeast"/>
        </w:trPr>
        <w:tc>
          <w:tcPr>
            <w:tcW w:w="830" w:type="dxa"/>
            <w:vMerge w:val="continue"/>
            <w:tcBorders>
              <w:top w:val="nil"/>
              <w:left w:val="single" w:color="auto" w:sz="4" w:space="0"/>
              <w:bottom w:val="single" w:color="auto" w:sz="4" w:space="0"/>
              <w:right w:val="single" w:color="auto" w:sz="4" w:space="0"/>
            </w:tcBorders>
            <w:shd w:val="clear"/>
            <w:vAlign w:val="center"/>
          </w:tcPr>
          <w:p w14:paraId="717A9B1F">
            <w:pPr>
              <w:rPr>
                <w:rFonts w:hint="default" w:ascii="Times New Roman" w:hAnsi="Times New Roman" w:cs="Times New Roman"/>
                <w:sz w:val="20"/>
                <w:szCs w:val="20"/>
              </w:rPr>
            </w:pPr>
          </w:p>
        </w:tc>
        <w:tc>
          <w:tcPr>
            <w:tcW w:w="1153" w:type="dxa"/>
            <w:gridSpan w:val="2"/>
            <w:tcBorders>
              <w:top w:val="nil"/>
              <w:left w:val="nil"/>
              <w:bottom w:val="single" w:color="auto" w:sz="4" w:space="0"/>
              <w:right w:val="nil"/>
            </w:tcBorders>
            <w:shd w:val="clear"/>
            <w:vAlign w:val="center"/>
          </w:tcPr>
          <w:p w14:paraId="44878CF0">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预算执行率</w:t>
            </w:r>
          </w:p>
        </w:tc>
        <w:tc>
          <w:tcPr>
            <w:tcW w:w="706" w:type="dxa"/>
            <w:gridSpan w:val="2"/>
            <w:tcBorders>
              <w:top w:val="nil"/>
              <w:left w:val="single" w:color="auto" w:sz="4" w:space="0"/>
              <w:bottom w:val="single" w:color="auto" w:sz="4" w:space="0"/>
              <w:right w:val="nil"/>
            </w:tcBorders>
            <w:shd w:val="clear"/>
            <w:vAlign w:val="center"/>
          </w:tcPr>
          <w:p w14:paraId="3251C6D3">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920" w:type="dxa"/>
            <w:tcBorders>
              <w:top w:val="nil"/>
              <w:left w:val="single" w:color="auto" w:sz="4" w:space="0"/>
              <w:bottom w:val="single" w:color="auto" w:sz="4" w:space="0"/>
              <w:right w:val="nil"/>
            </w:tcBorders>
            <w:shd w:val="clear"/>
            <w:vAlign w:val="center"/>
          </w:tcPr>
          <w:p w14:paraId="040C91DD">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575" w:type="dxa"/>
            <w:tcBorders>
              <w:top w:val="nil"/>
              <w:left w:val="single" w:color="auto" w:sz="4" w:space="0"/>
              <w:bottom w:val="single" w:color="auto" w:sz="4" w:space="0"/>
              <w:right w:val="nil"/>
            </w:tcBorders>
            <w:shd w:val="clear"/>
            <w:vAlign w:val="center"/>
          </w:tcPr>
          <w:p w14:paraId="5D865D8A">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729" w:type="dxa"/>
            <w:gridSpan w:val="2"/>
            <w:tcBorders>
              <w:top w:val="nil"/>
              <w:left w:val="single" w:color="auto" w:sz="4" w:space="0"/>
              <w:bottom w:val="single" w:color="auto" w:sz="4" w:space="0"/>
              <w:right w:val="nil"/>
            </w:tcBorders>
            <w:shd w:val="clear"/>
            <w:vAlign w:val="center"/>
          </w:tcPr>
          <w:p w14:paraId="74BF2EA6">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763" w:type="dxa"/>
            <w:gridSpan w:val="2"/>
            <w:tcBorders>
              <w:top w:val="nil"/>
              <w:left w:val="single" w:color="auto" w:sz="4" w:space="0"/>
              <w:bottom w:val="single" w:color="auto" w:sz="4" w:space="0"/>
              <w:right w:val="nil"/>
            </w:tcBorders>
            <w:shd w:val="clear"/>
            <w:vAlign w:val="center"/>
          </w:tcPr>
          <w:p w14:paraId="4D21E89D">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180" w:type="dxa"/>
            <w:gridSpan w:val="2"/>
            <w:tcBorders>
              <w:top w:val="nil"/>
              <w:left w:val="single" w:color="auto" w:sz="4" w:space="0"/>
              <w:bottom w:val="single" w:color="auto" w:sz="4" w:space="0"/>
              <w:right w:val="nil"/>
            </w:tcBorders>
            <w:shd w:val="clear"/>
            <w:vAlign w:val="center"/>
          </w:tcPr>
          <w:p w14:paraId="50D23CC8">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054" w:type="dxa"/>
            <w:tcBorders>
              <w:top w:val="nil"/>
              <w:left w:val="single" w:color="auto" w:sz="4" w:space="0"/>
              <w:bottom w:val="single" w:color="auto" w:sz="4" w:space="0"/>
              <w:right w:val="nil"/>
            </w:tcBorders>
            <w:shd w:val="clear"/>
            <w:vAlign w:val="center"/>
          </w:tcPr>
          <w:p w14:paraId="01C22191">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949" w:type="dxa"/>
            <w:gridSpan w:val="2"/>
            <w:tcBorders>
              <w:top w:val="nil"/>
              <w:left w:val="single" w:color="auto" w:sz="4" w:space="0"/>
              <w:bottom w:val="single" w:color="auto" w:sz="4" w:space="0"/>
              <w:right w:val="nil"/>
            </w:tcBorders>
            <w:shd w:val="clear"/>
            <w:vAlign w:val="center"/>
          </w:tcPr>
          <w:p w14:paraId="703D6CA7">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1117" w:type="dxa"/>
            <w:tcBorders>
              <w:top w:val="nil"/>
              <w:left w:val="single" w:color="auto" w:sz="4" w:space="0"/>
              <w:bottom w:val="single" w:color="auto" w:sz="4" w:space="0"/>
              <w:right w:val="single" w:color="auto" w:sz="4" w:space="0"/>
            </w:tcBorders>
            <w:shd w:val="clear"/>
            <w:vAlign w:val="center"/>
          </w:tcPr>
          <w:p w14:paraId="00654A74">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否</w:t>
            </w:r>
          </w:p>
        </w:tc>
      </w:tr>
      <w:tr w14:paraId="0A951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95" w:hRule="atLeast"/>
        </w:trPr>
        <w:tc>
          <w:tcPr>
            <w:tcW w:w="830" w:type="dxa"/>
            <w:vMerge w:val="continue"/>
            <w:tcBorders>
              <w:top w:val="nil"/>
              <w:left w:val="single" w:color="auto" w:sz="4" w:space="0"/>
              <w:bottom w:val="single" w:color="auto" w:sz="4" w:space="0"/>
              <w:right w:val="single" w:color="auto" w:sz="4" w:space="0"/>
            </w:tcBorders>
            <w:shd w:val="clear"/>
            <w:vAlign w:val="center"/>
          </w:tcPr>
          <w:p w14:paraId="74DE5E87">
            <w:pPr>
              <w:rPr>
                <w:rFonts w:hint="default" w:ascii="Times New Roman" w:hAnsi="Times New Roman" w:cs="Times New Roman"/>
                <w:sz w:val="20"/>
                <w:szCs w:val="20"/>
              </w:rPr>
            </w:pPr>
          </w:p>
        </w:tc>
        <w:tc>
          <w:tcPr>
            <w:tcW w:w="1153" w:type="dxa"/>
            <w:gridSpan w:val="2"/>
            <w:tcBorders>
              <w:top w:val="nil"/>
              <w:left w:val="nil"/>
              <w:bottom w:val="single" w:color="auto" w:sz="4" w:space="0"/>
              <w:right w:val="nil"/>
            </w:tcBorders>
            <w:shd w:val="clear"/>
            <w:vAlign w:val="center"/>
          </w:tcPr>
          <w:p w14:paraId="70DB4729">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基本支出预算执行率</w:t>
            </w:r>
          </w:p>
        </w:tc>
        <w:tc>
          <w:tcPr>
            <w:tcW w:w="706" w:type="dxa"/>
            <w:gridSpan w:val="2"/>
            <w:tcBorders>
              <w:top w:val="nil"/>
              <w:left w:val="single" w:color="auto" w:sz="4" w:space="0"/>
              <w:bottom w:val="single" w:color="auto" w:sz="4" w:space="0"/>
              <w:right w:val="nil"/>
            </w:tcBorders>
            <w:shd w:val="clear"/>
            <w:vAlign w:val="center"/>
          </w:tcPr>
          <w:p w14:paraId="4F455952">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920" w:type="dxa"/>
            <w:tcBorders>
              <w:top w:val="nil"/>
              <w:left w:val="single" w:color="auto" w:sz="4" w:space="0"/>
              <w:bottom w:val="single" w:color="auto" w:sz="4" w:space="0"/>
              <w:right w:val="nil"/>
            </w:tcBorders>
            <w:shd w:val="clear"/>
            <w:vAlign w:val="center"/>
          </w:tcPr>
          <w:p w14:paraId="61FD2DA7">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575" w:type="dxa"/>
            <w:tcBorders>
              <w:top w:val="nil"/>
              <w:left w:val="single" w:color="auto" w:sz="4" w:space="0"/>
              <w:bottom w:val="single" w:color="auto" w:sz="4" w:space="0"/>
              <w:right w:val="nil"/>
            </w:tcBorders>
            <w:shd w:val="clear"/>
            <w:vAlign w:val="center"/>
          </w:tcPr>
          <w:p w14:paraId="2582F306">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729" w:type="dxa"/>
            <w:gridSpan w:val="2"/>
            <w:tcBorders>
              <w:top w:val="nil"/>
              <w:left w:val="single" w:color="auto" w:sz="4" w:space="0"/>
              <w:bottom w:val="single" w:color="auto" w:sz="4" w:space="0"/>
              <w:right w:val="nil"/>
            </w:tcBorders>
            <w:shd w:val="clear"/>
            <w:vAlign w:val="center"/>
          </w:tcPr>
          <w:p w14:paraId="0FA7D090">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763" w:type="dxa"/>
            <w:gridSpan w:val="2"/>
            <w:tcBorders>
              <w:top w:val="nil"/>
              <w:left w:val="single" w:color="auto" w:sz="4" w:space="0"/>
              <w:bottom w:val="single" w:color="auto" w:sz="4" w:space="0"/>
              <w:right w:val="nil"/>
            </w:tcBorders>
            <w:shd w:val="clear"/>
            <w:vAlign w:val="center"/>
          </w:tcPr>
          <w:p w14:paraId="3F9E937D">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180" w:type="dxa"/>
            <w:gridSpan w:val="2"/>
            <w:tcBorders>
              <w:top w:val="nil"/>
              <w:left w:val="single" w:color="auto" w:sz="4" w:space="0"/>
              <w:bottom w:val="single" w:color="auto" w:sz="4" w:space="0"/>
              <w:right w:val="nil"/>
            </w:tcBorders>
            <w:shd w:val="clear"/>
            <w:vAlign w:val="center"/>
          </w:tcPr>
          <w:p w14:paraId="43165181">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054" w:type="dxa"/>
            <w:tcBorders>
              <w:top w:val="nil"/>
              <w:left w:val="single" w:color="auto" w:sz="4" w:space="0"/>
              <w:bottom w:val="single" w:color="auto" w:sz="4" w:space="0"/>
              <w:right w:val="nil"/>
            </w:tcBorders>
            <w:shd w:val="clear"/>
            <w:vAlign w:val="center"/>
          </w:tcPr>
          <w:p w14:paraId="71DDC82F">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949" w:type="dxa"/>
            <w:gridSpan w:val="2"/>
            <w:tcBorders>
              <w:top w:val="nil"/>
              <w:left w:val="single" w:color="auto" w:sz="4" w:space="0"/>
              <w:bottom w:val="single" w:color="auto" w:sz="4" w:space="0"/>
              <w:right w:val="nil"/>
            </w:tcBorders>
            <w:shd w:val="clear"/>
            <w:vAlign w:val="center"/>
          </w:tcPr>
          <w:p w14:paraId="33D769F1">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1117" w:type="dxa"/>
            <w:tcBorders>
              <w:top w:val="nil"/>
              <w:left w:val="single" w:color="auto" w:sz="4" w:space="0"/>
              <w:bottom w:val="single" w:color="auto" w:sz="4" w:space="0"/>
              <w:right w:val="single" w:color="auto" w:sz="4" w:space="0"/>
            </w:tcBorders>
            <w:shd w:val="clear"/>
            <w:vAlign w:val="center"/>
          </w:tcPr>
          <w:p w14:paraId="6C57D43D">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否</w:t>
            </w:r>
          </w:p>
        </w:tc>
      </w:tr>
      <w:tr w14:paraId="055AD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90" w:hRule="atLeast"/>
        </w:trPr>
        <w:tc>
          <w:tcPr>
            <w:tcW w:w="830" w:type="dxa"/>
            <w:vMerge w:val="continue"/>
            <w:tcBorders>
              <w:top w:val="nil"/>
              <w:left w:val="single" w:color="auto" w:sz="4" w:space="0"/>
              <w:bottom w:val="single" w:color="auto" w:sz="4" w:space="0"/>
              <w:right w:val="single" w:color="auto" w:sz="4" w:space="0"/>
            </w:tcBorders>
            <w:shd w:val="clear"/>
            <w:vAlign w:val="center"/>
          </w:tcPr>
          <w:p w14:paraId="48BD8349">
            <w:pPr>
              <w:rPr>
                <w:rFonts w:hint="default" w:ascii="Times New Roman" w:hAnsi="Times New Roman" w:cs="Times New Roman"/>
                <w:sz w:val="20"/>
                <w:szCs w:val="20"/>
              </w:rPr>
            </w:pPr>
          </w:p>
        </w:tc>
        <w:tc>
          <w:tcPr>
            <w:tcW w:w="1153" w:type="dxa"/>
            <w:gridSpan w:val="2"/>
            <w:tcBorders>
              <w:top w:val="nil"/>
              <w:left w:val="nil"/>
              <w:bottom w:val="single" w:color="auto" w:sz="4" w:space="0"/>
              <w:right w:val="nil"/>
            </w:tcBorders>
            <w:shd w:val="clear"/>
            <w:vAlign w:val="center"/>
          </w:tcPr>
          <w:p w14:paraId="39FA45B6">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预决算及三公经费信息公开率</w:t>
            </w:r>
          </w:p>
        </w:tc>
        <w:tc>
          <w:tcPr>
            <w:tcW w:w="706" w:type="dxa"/>
            <w:gridSpan w:val="2"/>
            <w:tcBorders>
              <w:top w:val="nil"/>
              <w:left w:val="single" w:color="auto" w:sz="4" w:space="0"/>
              <w:bottom w:val="single" w:color="auto" w:sz="4" w:space="0"/>
              <w:right w:val="nil"/>
            </w:tcBorders>
            <w:shd w:val="clear"/>
            <w:vAlign w:val="center"/>
          </w:tcPr>
          <w:p w14:paraId="0393D7F2">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920" w:type="dxa"/>
            <w:tcBorders>
              <w:top w:val="nil"/>
              <w:left w:val="single" w:color="auto" w:sz="4" w:space="0"/>
              <w:bottom w:val="single" w:color="auto" w:sz="4" w:space="0"/>
              <w:right w:val="nil"/>
            </w:tcBorders>
            <w:shd w:val="clear"/>
            <w:vAlign w:val="center"/>
          </w:tcPr>
          <w:p w14:paraId="506B40D9">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575" w:type="dxa"/>
            <w:tcBorders>
              <w:top w:val="nil"/>
              <w:left w:val="single" w:color="auto" w:sz="4" w:space="0"/>
              <w:bottom w:val="single" w:color="auto" w:sz="4" w:space="0"/>
              <w:right w:val="nil"/>
            </w:tcBorders>
            <w:shd w:val="clear"/>
            <w:vAlign w:val="center"/>
          </w:tcPr>
          <w:p w14:paraId="36258637">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729" w:type="dxa"/>
            <w:gridSpan w:val="2"/>
            <w:tcBorders>
              <w:top w:val="nil"/>
              <w:left w:val="single" w:color="auto" w:sz="4" w:space="0"/>
              <w:bottom w:val="single" w:color="auto" w:sz="4" w:space="0"/>
              <w:right w:val="nil"/>
            </w:tcBorders>
            <w:shd w:val="clear"/>
            <w:vAlign w:val="center"/>
          </w:tcPr>
          <w:p w14:paraId="43F4F932">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763" w:type="dxa"/>
            <w:gridSpan w:val="2"/>
            <w:tcBorders>
              <w:top w:val="nil"/>
              <w:left w:val="single" w:color="auto" w:sz="4" w:space="0"/>
              <w:bottom w:val="single" w:color="auto" w:sz="4" w:space="0"/>
              <w:right w:val="nil"/>
            </w:tcBorders>
            <w:shd w:val="clear"/>
            <w:vAlign w:val="center"/>
          </w:tcPr>
          <w:p w14:paraId="268BC6FA">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180" w:type="dxa"/>
            <w:gridSpan w:val="2"/>
            <w:tcBorders>
              <w:top w:val="nil"/>
              <w:left w:val="single" w:color="auto" w:sz="4" w:space="0"/>
              <w:bottom w:val="single" w:color="auto" w:sz="4" w:space="0"/>
              <w:right w:val="nil"/>
            </w:tcBorders>
            <w:shd w:val="clear"/>
            <w:vAlign w:val="center"/>
          </w:tcPr>
          <w:p w14:paraId="02AF928F">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054" w:type="dxa"/>
            <w:tcBorders>
              <w:top w:val="nil"/>
              <w:left w:val="single" w:color="auto" w:sz="4" w:space="0"/>
              <w:bottom w:val="single" w:color="auto" w:sz="4" w:space="0"/>
              <w:right w:val="nil"/>
            </w:tcBorders>
            <w:shd w:val="clear"/>
            <w:vAlign w:val="center"/>
          </w:tcPr>
          <w:p w14:paraId="31628456">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949" w:type="dxa"/>
            <w:gridSpan w:val="2"/>
            <w:tcBorders>
              <w:top w:val="nil"/>
              <w:left w:val="single" w:color="auto" w:sz="4" w:space="0"/>
              <w:bottom w:val="single" w:color="auto" w:sz="4" w:space="0"/>
              <w:right w:val="nil"/>
            </w:tcBorders>
            <w:shd w:val="clear"/>
            <w:vAlign w:val="center"/>
          </w:tcPr>
          <w:p w14:paraId="7B2D5498">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1117" w:type="dxa"/>
            <w:tcBorders>
              <w:top w:val="nil"/>
              <w:left w:val="single" w:color="auto" w:sz="4" w:space="0"/>
              <w:bottom w:val="single" w:color="auto" w:sz="4" w:space="0"/>
              <w:right w:val="single" w:color="auto" w:sz="4" w:space="0"/>
            </w:tcBorders>
            <w:shd w:val="clear"/>
            <w:vAlign w:val="center"/>
          </w:tcPr>
          <w:p w14:paraId="74A9B691">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否</w:t>
            </w:r>
          </w:p>
        </w:tc>
      </w:tr>
      <w:tr w14:paraId="388C9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830" w:type="dxa"/>
            <w:vMerge w:val="continue"/>
            <w:tcBorders>
              <w:top w:val="nil"/>
              <w:left w:val="single" w:color="auto" w:sz="4" w:space="0"/>
              <w:bottom w:val="single" w:color="auto" w:sz="4" w:space="0"/>
              <w:right w:val="single" w:color="auto" w:sz="4" w:space="0"/>
            </w:tcBorders>
            <w:shd w:val="clear"/>
            <w:vAlign w:val="center"/>
          </w:tcPr>
          <w:p w14:paraId="2A5009FE">
            <w:pPr>
              <w:rPr>
                <w:rFonts w:hint="default" w:ascii="Times New Roman" w:hAnsi="Times New Roman" w:cs="Times New Roman"/>
                <w:sz w:val="20"/>
                <w:szCs w:val="20"/>
              </w:rPr>
            </w:pPr>
          </w:p>
        </w:tc>
        <w:tc>
          <w:tcPr>
            <w:tcW w:w="1153" w:type="dxa"/>
            <w:gridSpan w:val="2"/>
            <w:tcBorders>
              <w:top w:val="nil"/>
              <w:left w:val="nil"/>
              <w:bottom w:val="single" w:color="auto" w:sz="4" w:space="0"/>
              <w:right w:val="nil"/>
            </w:tcBorders>
            <w:shd w:val="clear"/>
            <w:vAlign w:val="center"/>
          </w:tcPr>
          <w:p w14:paraId="4B97E561">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开展执法大比武</w:t>
            </w:r>
          </w:p>
        </w:tc>
        <w:tc>
          <w:tcPr>
            <w:tcW w:w="706" w:type="dxa"/>
            <w:gridSpan w:val="2"/>
            <w:tcBorders>
              <w:top w:val="nil"/>
              <w:left w:val="single" w:color="auto" w:sz="4" w:space="0"/>
              <w:bottom w:val="single" w:color="auto" w:sz="4" w:space="0"/>
              <w:right w:val="nil"/>
            </w:tcBorders>
            <w:shd w:val="clear"/>
            <w:vAlign w:val="center"/>
          </w:tcPr>
          <w:p w14:paraId="25AAD4B5">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次</w:t>
            </w:r>
          </w:p>
        </w:tc>
        <w:tc>
          <w:tcPr>
            <w:tcW w:w="920" w:type="dxa"/>
            <w:tcBorders>
              <w:top w:val="nil"/>
              <w:left w:val="single" w:color="auto" w:sz="4" w:space="0"/>
              <w:bottom w:val="single" w:color="auto" w:sz="4" w:space="0"/>
              <w:right w:val="nil"/>
            </w:tcBorders>
            <w:shd w:val="clear"/>
            <w:vAlign w:val="center"/>
          </w:tcPr>
          <w:p w14:paraId="7D85E818">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575" w:type="dxa"/>
            <w:tcBorders>
              <w:top w:val="nil"/>
              <w:left w:val="single" w:color="auto" w:sz="4" w:space="0"/>
              <w:bottom w:val="single" w:color="auto" w:sz="4" w:space="0"/>
              <w:right w:val="nil"/>
            </w:tcBorders>
            <w:shd w:val="clear"/>
            <w:vAlign w:val="center"/>
          </w:tcPr>
          <w:p w14:paraId="2C824DFD">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w:t>
            </w:r>
          </w:p>
        </w:tc>
        <w:tc>
          <w:tcPr>
            <w:tcW w:w="729" w:type="dxa"/>
            <w:gridSpan w:val="2"/>
            <w:tcBorders>
              <w:top w:val="nil"/>
              <w:left w:val="single" w:color="auto" w:sz="4" w:space="0"/>
              <w:bottom w:val="single" w:color="auto" w:sz="4" w:space="0"/>
              <w:right w:val="nil"/>
            </w:tcBorders>
            <w:shd w:val="clear"/>
            <w:vAlign w:val="center"/>
          </w:tcPr>
          <w:p w14:paraId="44EBF4D9">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w:t>
            </w:r>
          </w:p>
        </w:tc>
        <w:tc>
          <w:tcPr>
            <w:tcW w:w="763" w:type="dxa"/>
            <w:gridSpan w:val="2"/>
            <w:tcBorders>
              <w:top w:val="nil"/>
              <w:left w:val="single" w:color="auto" w:sz="4" w:space="0"/>
              <w:bottom w:val="single" w:color="auto" w:sz="4" w:space="0"/>
              <w:right w:val="nil"/>
            </w:tcBorders>
            <w:shd w:val="clear"/>
            <w:vAlign w:val="center"/>
          </w:tcPr>
          <w:p w14:paraId="5F9EB1CF">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w:t>
            </w:r>
          </w:p>
        </w:tc>
        <w:tc>
          <w:tcPr>
            <w:tcW w:w="1180" w:type="dxa"/>
            <w:gridSpan w:val="2"/>
            <w:tcBorders>
              <w:top w:val="nil"/>
              <w:left w:val="single" w:color="auto" w:sz="4" w:space="0"/>
              <w:bottom w:val="single" w:color="auto" w:sz="4" w:space="0"/>
              <w:right w:val="nil"/>
            </w:tcBorders>
            <w:shd w:val="clear"/>
            <w:vAlign w:val="center"/>
          </w:tcPr>
          <w:p w14:paraId="494E5456">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054" w:type="dxa"/>
            <w:tcBorders>
              <w:top w:val="nil"/>
              <w:left w:val="single" w:color="auto" w:sz="4" w:space="0"/>
              <w:bottom w:val="single" w:color="auto" w:sz="4" w:space="0"/>
              <w:right w:val="nil"/>
            </w:tcBorders>
            <w:shd w:val="clear"/>
            <w:vAlign w:val="center"/>
          </w:tcPr>
          <w:p w14:paraId="26864134">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949" w:type="dxa"/>
            <w:gridSpan w:val="2"/>
            <w:tcBorders>
              <w:top w:val="nil"/>
              <w:left w:val="single" w:color="auto" w:sz="4" w:space="0"/>
              <w:bottom w:val="single" w:color="auto" w:sz="4" w:space="0"/>
              <w:right w:val="nil"/>
            </w:tcBorders>
            <w:shd w:val="clear"/>
            <w:vAlign w:val="center"/>
          </w:tcPr>
          <w:p w14:paraId="32FA809C">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1117" w:type="dxa"/>
            <w:tcBorders>
              <w:top w:val="nil"/>
              <w:left w:val="single" w:color="auto" w:sz="4" w:space="0"/>
              <w:bottom w:val="single" w:color="auto" w:sz="4" w:space="0"/>
              <w:right w:val="single" w:color="auto" w:sz="4" w:space="0"/>
            </w:tcBorders>
            <w:shd w:val="clear"/>
            <w:vAlign w:val="center"/>
          </w:tcPr>
          <w:p w14:paraId="70CF2BD9">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是</w:t>
            </w:r>
          </w:p>
        </w:tc>
      </w:tr>
      <w:tr w14:paraId="04B839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830" w:type="dxa"/>
            <w:vMerge w:val="continue"/>
            <w:tcBorders>
              <w:top w:val="nil"/>
              <w:left w:val="single" w:color="auto" w:sz="4" w:space="0"/>
              <w:bottom w:val="single" w:color="auto" w:sz="4" w:space="0"/>
              <w:right w:val="single" w:color="auto" w:sz="4" w:space="0"/>
            </w:tcBorders>
            <w:shd w:val="clear"/>
            <w:vAlign w:val="center"/>
          </w:tcPr>
          <w:p w14:paraId="288080E8">
            <w:pPr>
              <w:rPr>
                <w:rFonts w:hint="default" w:ascii="Times New Roman" w:hAnsi="Times New Roman" w:cs="Times New Roman"/>
                <w:sz w:val="20"/>
                <w:szCs w:val="20"/>
              </w:rPr>
            </w:pPr>
          </w:p>
        </w:tc>
        <w:tc>
          <w:tcPr>
            <w:tcW w:w="1153" w:type="dxa"/>
            <w:gridSpan w:val="2"/>
            <w:tcBorders>
              <w:top w:val="nil"/>
              <w:left w:val="nil"/>
              <w:bottom w:val="single" w:color="auto" w:sz="4" w:space="0"/>
              <w:right w:val="nil"/>
            </w:tcBorders>
            <w:shd w:val="clear"/>
            <w:vAlign w:val="center"/>
          </w:tcPr>
          <w:p w14:paraId="0E84B483">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开展执法专项检查</w:t>
            </w:r>
          </w:p>
        </w:tc>
        <w:tc>
          <w:tcPr>
            <w:tcW w:w="706" w:type="dxa"/>
            <w:gridSpan w:val="2"/>
            <w:tcBorders>
              <w:top w:val="nil"/>
              <w:left w:val="single" w:color="auto" w:sz="4" w:space="0"/>
              <w:bottom w:val="single" w:color="auto" w:sz="4" w:space="0"/>
              <w:right w:val="nil"/>
            </w:tcBorders>
            <w:shd w:val="clear"/>
            <w:vAlign w:val="center"/>
          </w:tcPr>
          <w:p w14:paraId="3D52266C">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次</w:t>
            </w:r>
          </w:p>
        </w:tc>
        <w:tc>
          <w:tcPr>
            <w:tcW w:w="920" w:type="dxa"/>
            <w:tcBorders>
              <w:top w:val="nil"/>
              <w:left w:val="single" w:color="auto" w:sz="4" w:space="0"/>
              <w:bottom w:val="single" w:color="auto" w:sz="4" w:space="0"/>
              <w:right w:val="nil"/>
            </w:tcBorders>
            <w:shd w:val="clear"/>
            <w:vAlign w:val="center"/>
          </w:tcPr>
          <w:p w14:paraId="3623797E">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575" w:type="dxa"/>
            <w:tcBorders>
              <w:top w:val="nil"/>
              <w:left w:val="single" w:color="auto" w:sz="4" w:space="0"/>
              <w:bottom w:val="single" w:color="auto" w:sz="4" w:space="0"/>
              <w:right w:val="nil"/>
            </w:tcBorders>
            <w:shd w:val="clear"/>
            <w:vAlign w:val="center"/>
          </w:tcPr>
          <w:p w14:paraId="64C87411">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200</w:t>
            </w:r>
          </w:p>
        </w:tc>
        <w:tc>
          <w:tcPr>
            <w:tcW w:w="729" w:type="dxa"/>
            <w:gridSpan w:val="2"/>
            <w:tcBorders>
              <w:top w:val="nil"/>
              <w:left w:val="single" w:color="auto" w:sz="4" w:space="0"/>
              <w:bottom w:val="single" w:color="auto" w:sz="4" w:space="0"/>
              <w:right w:val="nil"/>
            </w:tcBorders>
            <w:shd w:val="clear"/>
            <w:vAlign w:val="center"/>
          </w:tcPr>
          <w:p w14:paraId="0E8C4839">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200</w:t>
            </w:r>
          </w:p>
        </w:tc>
        <w:tc>
          <w:tcPr>
            <w:tcW w:w="763" w:type="dxa"/>
            <w:gridSpan w:val="2"/>
            <w:tcBorders>
              <w:top w:val="nil"/>
              <w:left w:val="single" w:color="auto" w:sz="4" w:space="0"/>
              <w:bottom w:val="single" w:color="auto" w:sz="4" w:space="0"/>
              <w:right w:val="nil"/>
            </w:tcBorders>
            <w:shd w:val="clear"/>
            <w:vAlign w:val="center"/>
          </w:tcPr>
          <w:p w14:paraId="415197FF">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200</w:t>
            </w:r>
          </w:p>
        </w:tc>
        <w:tc>
          <w:tcPr>
            <w:tcW w:w="1180" w:type="dxa"/>
            <w:gridSpan w:val="2"/>
            <w:tcBorders>
              <w:top w:val="nil"/>
              <w:left w:val="single" w:color="auto" w:sz="4" w:space="0"/>
              <w:bottom w:val="single" w:color="auto" w:sz="4" w:space="0"/>
              <w:right w:val="nil"/>
            </w:tcBorders>
            <w:shd w:val="clear"/>
            <w:vAlign w:val="center"/>
          </w:tcPr>
          <w:p w14:paraId="49EA8CF6">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054" w:type="dxa"/>
            <w:tcBorders>
              <w:top w:val="nil"/>
              <w:left w:val="single" w:color="auto" w:sz="4" w:space="0"/>
              <w:bottom w:val="single" w:color="auto" w:sz="4" w:space="0"/>
              <w:right w:val="nil"/>
            </w:tcBorders>
            <w:shd w:val="clear"/>
            <w:vAlign w:val="center"/>
          </w:tcPr>
          <w:p w14:paraId="1A39FED3">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20</w:t>
            </w:r>
          </w:p>
        </w:tc>
        <w:tc>
          <w:tcPr>
            <w:tcW w:w="949" w:type="dxa"/>
            <w:gridSpan w:val="2"/>
            <w:tcBorders>
              <w:top w:val="nil"/>
              <w:left w:val="single" w:color="auto" w:sz="4" w:space="0"/>
              <w:bottom w:val="single" w:color="auto" w:sz="4" w:space="0"/>
              <w:right w:val="nil"/>
            </w:tcBorders>
            <w:shd w:val="clear"/>
            <w:vAlign w:val="center"/>
          </w:tcPr>
          <w:p w14:paraId="486B3BB5">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20</w:t>
            </w:r>
          </w:p>
        </w:tc>
        <w:tc>
          <w:tcPr>
            <w:tcW w:w="1117" w:type="dxa"/>
            <w:tcBorders>
              <w:top w:val="nil"/>
              <w:left w:val="single" w:color="auto" w:sz="4" w:space="0"/>
              <w:bottom w:val="single" w:color="auto" w:sz="4" w:space="0"/>
              <w:right w:val="single" w:color="auto" w:sz="4" w:space="0"/>
            </w:tcBorders>
            <w:shd w:val="clear"/>
            <w:vAlign w:val="center"/>
          </w:tcPr>
          <w:p w14:paraId="3041BC3C">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是</w:t>
            </w:r>
          </w:p>
        </w:tc>
      </w:tr>
      <w:tr w14:paraId="114EA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830" w:type="dxa"/>
            <w:vMerge w:val="continue"/>
            <w:tcBorders>
              <w:top w:val="nil"/>
              <w:left w:val="single" w:color="auto" w:sz="4" w:space="0"/>
              <w:bottom w:val="single" w:color="auto" w:sz="4" w:space="0"/>
              <w:right w:val="single" w:color="auto" w:sz="4" w:space="0"/>
            </w:tcBorders>
            <w:shd w:val="clear"/>
            <w:vAlign w:val="center"/>
          </w:tcPr>
          <w:p w14:paraId="3411A46C">
            <w:pPr>
              <w:rPr>
                <w:rFonts w:hint="default" w:ascii="Times New Roman" w:hAnsi="Times New Roman" w:cs="Times New Roman"/>
                <w:sz w:val="20"/>
                <w:szCs w:val="20"/>
              </w:rPr>
            </w:pPr>
          </w:p>
        </w:tc>
        <w:tc>
          <w:tcPr>
            <w:tcW w:w="1153" w:type="dxa"/>
            <w:gridSpan w:val="2"/>
            <w:tcBorders>
              <w:top w:val="nil"/>
              <w:left w:val="nil"/>
              <w:bottom w:val="single" w:color="auto" w:sz="4" w:space="0"/>
              <w:right w:val="nil"/>
            </w:tcBorders>
            <w:shd w:val="clear"/>
            <w:vAlign w:val="center"/>
          </w:tcPr>
          <w:p w14:paraId="2F1EBAEC">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加油站油气回收抽测</w:t>
            </w:r>
          </w:p>
        </w:tc>
        <w:tc>
          <w:tcPr>
            <w:tcW w:w="706" w:type="dxa"/>
            <w:gridSpan w:val="2"/>
            <w:tcBorders>
              <w:top w:val="nil"/>
              <w:left w:val="single" w:color="auto" w:sz="4" w:space="0"/>
              <w:bottom w:val="single" w:color="auto" w:sz="4" w:space="0"/>
              <w:right w:val="nil"/>
            </w:tcBorders>
            <w:shd w:val="clear"/>
            <w:vAlign w:val="center"/>
          </w:tcPr>
          <w:p w14:paraId="1C83A776">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家</w:t>
            </w:r>
          </w:p>
        </w:tc>
        <w:tc>
          <w:tcPr>
            <w:tcW w:w="920" w:type="dxa"/>
            <w:tcBorders>
              <w:top w:val="nil"/>
              <w:left w:val="single" w:color="auto" w:sz="4" w:space="0"/>
              <w:bottom w:val="single" w:color="auto" w:sz="4" w:space="0"/>
              <w:right w:val="nil"/>
            </w:tcBorders>
            <w:shd w:val="clear"/>
            <w:vAlign w:val="center"/>
          </w:tcPr>
          <w:p w14:paraId="76513D57">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575" w:type="dxa"/>
            <w:tcBorders>
              <w:top w:val="nil"/>
              <w:left w:val="single" w:color="auto" w:sz="4" w:space="0"/>
              <w:bottom w:val="single" w:color="auto" w:sz="4" w:space="0"/>
              <w:right w:val="nil"/>
            </w:tcBorders>
            <w:shd w:val="clear"/>
            <w:vAlign w:val="center"/>
          </w:tcPr>
          <w:p w14:paraId="561AC572">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6</w:t>
            </w:r>
          </w:p>
        </w:tc>
        <w:tc>
          <w:tcPr>
            <w:tcW w:w="729" w:type="dxa"/>
            <w:gridSpan w:val="2"/>
            <w:tcBorders>
              <w:top w:val="nil"/>
              <w:left w:val="single" w:color="auto" w:sz="4" w:space="0"/>
              <w:bottom w:val="single" w:color="auto" w:sz="4" w:space="0"/>
              <w:right w:val="nil"/>
            </w:tcBorders>
            <w:shd w:val="clear"/>
            <w:vAlign w:val="center"/>
          </w:tcPr>
          <w:p w14:paraId="7A67B5E2">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6</w:t>
            </w:r>
          </w:p>
        </w:tc>
        <w:tc>
          <w:tcPr>
            <w:tcW w:w="763" w:type="dxa"/>
            <w:gridSpan w:val="2"/>
            <w:tcBorders>
              <w:top w:val="nil"/>
              <w:left w:val="single" w:color="auto" w:sz="4" w:space="0"/>
              <w:bottom w:val="single" w:color="auto" w:sz="4" w:space="0"/>
              <w:right w:val="nil"/>
            </w:tcBorders>
            <w:shd w:val="clear"/>
            <w:vAlign w:val="center"/>
          </w:tcPr>
          <w:p w14:paraId="6B5359D0">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6</w:t>
            </w:r>
          </w:p>
        </w:tc>
        <w:tc>
          <w:tcPr>
            <w:tcW w:w="1180" w:type="dxa"/>
            <w:gridSpan w:val="2"/>
            <w:tcBorders>
              <w:top w:val="nil"/>
              <w:left w:val="single" w:color="auto" w:sz="4" w:space="0"/>
              <w:bottom w:val="single" w:color="auto" w:sz="4" w:space="0"/>
              <w:right w:val="nil"/>
            </w:tcBorders>
            <w:shd w:val="clear"/>
            <w:vAlign w:val="center"/>
          </w:tcPr>
          <w:p w14:paraId="1BBB40C0">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054" w:type="dxa"/>
            <w:tcBorders>
              <w:top w:val="nil"/>
              <w:left w:val="single" w:color="auto" w:sz="4" w:space="0"/>
              <w:bottom w:val="single" w:color="auto" w:sz="4" w:space="0"/>
              <w:right w:val="nil"/>
            </w:tcBorders>
            <w:shd w:val="clear"/>
            <w:vAlign w:val="center"/>
          </w:tcPr>
          <w:p w14:paraId="3F49BC56">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20</w:t>
            </w:r>
          </w:p>
        </w:tc>
        <w:tc>
          <w:tcPr>
            <w:tcW w:w="949" w:type="dxa"/>
            <w:gridSpan w:val="2"/>
            <w:tcBorders>
              <w:top w:val="nil"/>
              <w:left w:val="single" w:color="auto" w:sz="4" w:space="0"/>
              <w:bottom w:val="single" w:color="auto" w:sz="4" w:space="0"/>
              <w:right w:val="nil"/>
            </w:tcBorders>
            <w:shd w:val="clear"/>
            <w:vAlign w:val="center"/>
          </w:tcPr>
          <w:p w14:paraId="4884D265">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20</w:t>
            </w:r>
          </w:p>
        </w:tc>
        <w:tc>
          <w:tcPr>
            <w:tcW w:w="1117" w:type="dxa"/>
            <w:tcBorders>
              <w:top w:val="nil"/>
              <w:left w:val="single" w:color="auto" w:sz="4" w:space="0"/>
              <w:bottom w:val="single" w:color="auto" w:sz="4" w:space="0"/>
              <w:right w:val="single" w:color="auto" w:sz="4" w:space="0"/>
            </w:tcBorders>
            <w:shd w:val="clear"/>
            <w:vAlign w:val="center"/>
          </w:tcPr>
          <w:p w14:paraId="606796CA">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是</w:t>
            </w:r>
          </w:p>
        </w:tc>
      </w:tr>
      <w:tr w14:paraId="58554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830" w:type="dxa"/>
            <w:vMerge w:val="continue"/>
            <w:tcBorders>
              <w:top w:val="nil"/>
              <w:left w:val="single" w:color="auto" w:sz="4" w:space="0"/>
              <w:bottom w:val="single" w:color="auto" w:sz="4" w:space="0"/>
              <w:right w:val="single" w:color="auto" w:sz="4" w:space="0"/>
            </w:tcBorders>
            <w:shd w:val="clear"/>
            <w:vAlign w:val="center"/>
          </w:tcPr>
          <w:p w14:paraId="237E92AB">
            <w:pPr>
              <w:rPr>
                <w:rFonts w:hint="default" w:ascii="Times New Roman" w:hAnsi="Times New Roman" w:cs="Times New Roman"/>
                <w:sz w:val="20"/>
                <w:szCs w:val="20"/>
              </w:rPr>
            </w:pPr>
          </w:p>
        </w:tc>
        <w:tc>
          <w:tcPr>
            <w:tcW w:w="1153" w:type="dxa"/>
            <w:gridSpan w:val="2"/>
            <w:tcBorders>
              <w:top w:val="nil"/>
              <w:left w:val="nil"/>
              <w:bottom w:val="single" w:color="auto" w:sz="4" w:space="0"/>
              <w:right w:val="nil"/>
            </w:tcBorders>
            <w:shd w:val="clear"/>
            <w:vAlign w:val="center"/>
          </w:tcPr>
          <w:p w14:paraId="4A1B17DF">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餐饮企业油烟整顿</w:t>
            </w:r>
          </w:p>
        </w:tc>
        <w:tc>
          <w:tcPr>
            <w:tcW w:w="706" w:type="dxa"/>
            <w:gridSpan w:val="2"/>
            <w:tcBorders>
              <w:top w:val="nil"/>
              <w:left w:val="single" w:color="auto" w:sz="4" w:space="0"/>
              <w:bottom w:val="single" w:color="auto" w:sz="4" w:space="0"/>
              <w:right w:val="nil"/>
            </w:tcBorders>
            <w:shd w:val="clear"/>
            <w:vAlign w:val="center"/>
          </w:tcPr>
          <w:p w14:paraId="464BB6DC">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家</w:t>
            </w:r>
          </w:p>
        </w:tc>
        <w:tc>
          <w:tcPr>
            <w:tcW w:w="920" w:type="dxa"/>
            <w:tcBorders>
              <w:top w:val="nil"/>
              <w:left w:val="single" w:color="auto" w:sz="4" w:space="0"/>
              <w:bottom w:val="single" w:color="auto" w:sz="4" w:space="0"/>
              <w:right w:val="nil"/>
            </w:tcBorders>
            <w:shd w:val="clear"/>
            <w:vAlign w:val="center"/>
          </w:tcPr>
          <w:p w14:paraId="176A5D96">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575" w:type="dxa"/>
            <w:tcBorders>
              <w:top w:val="nil"/>
              <w:left w:val="single" w:color="auto" w:sz="4" w:space="0"/>
              <w:bottom w:val="single" w:color="auto" w:sz="4" w:space="0"/>
              <w:right w:val="nil"/>
            </w:tcBorders>
            <w:shd w:val="clear"/>
            <w:vAlign w:val="center"/>
          </w:tcPr>
          <w:p w14:paraId="186C5BF1">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30</w:t>
            </w:r>
          </w:p>
        </w:tc>
        <w:tc>
          <w:tcPr>
            <w:tcW w:w="729" w:type="dxa"/>
            <w:gridSpan w:val="2"/>
            <w:tcBorders>
              <w:top w:val="nil"/>
              <w:left w:val="single" w:color="auto" w:sz="4" w:space="0"/>
              <w:bottom w:val="single" w:color="auto" w:sz="4" w:space="0"/>
              <w:right w:val="nil"/>
            </w:tcBorders>
            <w:shd w:val="clear"/>
            <w:vAlign w:val="center"/>
          </w:tcPr>
          <w:p w14:paraId="1BE6D233">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30</w:t>
            </w:r>
          </w:p>
        </w:tc>
        <w:tc>
          <w:tcPr>
            <w:tcW w:w="763" w:type="dxa"/>
            <w:gridSpan w:val="2"/>
            <w:tcBorders>
              <w:top w:val="nil"/>
              <w:left w:val="single" w:color="auto" w:sz="4" w:space="0"/>
              <w:bottom w:val="single" w:color="auto" w:sz="4" w:space="0"/>
              <w:right w:val="nil"/>
            </w:tcBorders>
            <w:shd w:val="clear"/>
            <w:vAlign w:val="center"/>
          </w:tcPr>
          <w:p w14:paraId="249A4526">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30</w:t>
            </w:r>
          </w:p>
        </w:tc>
        <w:tc>
          <w:tcPr>
            <w:tcW w:w="1180" w:type="dxa"/>
            <w:gridSpan w:val="2"/>
            <w:tcBorders>
              <w:top w:val="nil"/>
              <w:left w:val="single" w:color="auto" w:sz="4" w:space="0"/>
              <w:bottom w:val="single" w:color="auto" w:sz="4" w:space="0"/>
              <w:right w:val="nil"/>
            </w:tcBorders>
            <w:shd w:val="clear"/>
            <w:vAlign w:val="center"/>
          </w:tcPr>
          <w:p w14:paraId="7D776494">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054" w:type="dxa"/>
            <w:tcBorders>
              <w:top w:val="nil"/>
              <w:left w:val="single" w:color="auto" w:sz="4" w:space="0"/>
              <w:bottom w:val="single" w:color="auto" w:sz="4" w:space="0"/>
              <w:right w:val="nil"/>
            </w:tcBorders>
            <w:shd w:val="clear"/>
            <w:vAlign w:val="center"/>
          </w:tcPr>
          <w:p w14:paraId="6CBDF177">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949" w:type="dxa"/>
            <w:gridSpan w:val="2"/>
            <w:tcBorders>
              <w:top w:val="nil"/>
              <w:left w:val="single" w:color="auto" w:sz="4" w:space="0"/>
              <w:bottom w:val="single" w:color="auto" w:sz="4" w:space="0"/>
              <w:right w:val="nil"/>
            </w:tcBorders>
            <w:shd w:val="clear"/>
            <w:vAlign w:val="center"/>
          </w:tcPr>
          <w:p w14:paraId="4E4C55FD">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1117" w:type="dxa"/>
            <w:tcBorders>
              <w:top w:val="nil"/>
              <w:left w:val="single" w:color="auto" w:sz="4" w:space="0"/>
              <w:bottom w:val="single" w:color="auto" w:sz="4" w:space="0"/>
              <w:right w:val="single" w:color="auto" w:sz="4" w:space="0"/>
            </w:tcBorders>
            <w:shd w:val="clear"/>
            <w:vAlign w:val="center"/>
          </w:tcPr>
          <w:p w14:paraId="61FE2DF4">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是</w:t>
            </w:r>
          </w:p>
        </w:tc>
      </w:tr>
      <w:tr w14:paraId="73EA1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500" w:hRule="atLeast"/>
        </w:trPr>
        <w:tc>
          <w:tcPr>
            <w:tcW w:w="830" w:type="dxa"/>
            <w:vMerge w:val="continue"/>
            <w:tcBorders>
              <w:top w:val="nil"/>
              <w:left w:val="single" w:color="auto" w:sz="4" w:space="0"/>
              <w:bottom w:val="single" w:color="auto" w:sz="4" w:space="0"/>
              <w:right w:val="single" w:color="auto" w:sz="4" w:space="0"/>
            </w:tcBorders>
            <w:shd w:val="clear"/>
            <w:vAlign w:val="center"/>
          </w:tcPr>
          <w:p w14:paraId="336E815F">
            <w:pPr>
              <w:rPr>
                <w:rFonts w:hint="default" w:ascii="Times New Roman" w:hAnsi="Times New Roman" w:cs="Times New Roman"/>
                <w:sz w:val="20"/>
                <w:szCs w:val="20"/>
              </w:rPr>
            </w:pPr>
          </w:p>
        </w:tc>
        <w:tc>
          <w:tcPr>
            <w:tcW w:w="1153" w:type="dxa"/>
            <w:gridSpan w:val="2"/>
            <w:tcBorders>
              <w:top w:val="nil"/>
              <w:left w:val="nil"/>
              <w:bottom w:val="single" w:color="auto" w:sz="4" w:space="0"/>
              <w:right w:val="nil"/>
            </w:tcBorders>
            <w:shd w:val="clear"/>
            <w:vAlign w:val="center"/>
          </w:tcPr>
          <w:p w14:paraId="3B9FA1FB">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服务对象满意度</w:t>
            </w:r>
          </w:p>
        </w:tc>
        <w:tc>
          <w:tcPr>
            <w:tcW w:w="706" w:type="dxa"/>
            <w:gridSpan w:val="2"/>
            <w:tcBorders>
              <w:top w:val="nil"/>
              <w:left w:val="single" w:color="auto" w:sz="4" w:space="0"/>
              <w:bottom w:val="single" w:color="auto" w:sz="4" w:space="0"/>
              <w:right w:val="nil"/>
            </w:tcBorders>
            <w:shd w:val="clear"/>
            <w:vAlign w:val="center"/>
          </w:tcPr>
          <w:p w14:paraId="2ABEDC26">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920" w:type="dxa"/>
            <w:tcBorders>
              <w:top w:val="nil"/>
              <w:left w:val="single" w:color="auto" w:sz="4" w:space="0"/>
              <w:bottom w:val="single" w:color="auto" w:sz="4" w:space="0"/>
              <w:right w:val="nil"/>
            </w:tcBorders>
            <w:shd w:val="clear"/>
            <w:vAlign w:val="center"/>
          </w:tcPr>
          <w:p w14:paraId="028A318F">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575" w:type="dxa"/>
            <w:tcBorders>
              <w:top w:val="nil"/>
              <w:left w:val="single" w:color="auto" w:sz="4" w:space="0"/>
              <w:bottom w:val="single" w:color="auto" w:sz="4" w:space="0"/>
              <w:right w:val="nil"/>
            </w:tcBorders>
            <w:shd w:val="clear"/>
            <w:vAlign w:val="center"/>
          </w:tcPr>
          <w:p w14:paraId="171E2A31">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90</w:t>
            </w:r>
          </w:p>
        </w:tc>
        <w:tc>
          <w:tcPr>
            <w:tcW w:w="729" w:type="dxa"/>
            <w:gridSpan w:val="2"/>
            <w:tcBorders>
              <w:top w:val="nil"/>
              <w:left w:val="single" w:color="auto" w:sz="4" w:space="0"/>
              <w:bottom w:val="single" w:color="auto" w:sz="4" w:space="0"/>
              <w:right w:val="nil"/>
            </w:tcBorders>
            <w:shd w:val="clear"/>
            <w:vAlign w:val="center"/>
          </w:tcPr>
          <w:p w14:paraId="1CEB5FC7">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90</w:t>
            </w:r>
          </w:p>
        </w:tc>
        <w:tc>
          <w:tcPr>
            <w:tcW w:w="763" w:type="dxa"/>
            <w:gridSpan w:val="2"/>
            <w:tcBorders>
              <w:top w:val="nil"/>
              <w:left w:val="single" w:color="auto" w:sz="4" w:space="0"/>
              <w:bottom w:val="single" w:color="auto" w:sz="4" w:space="0"/>
              <w:right w:val="nil"/>
            </w:tcBorders>
            <w:shd w:val="clear"/>
            <w:vAlign w:val="center"/>
          </w:tcPr>
          <w:p w14:paraId="36E8533A">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95</w:t>
            </w:r>
          </w:p>
        </w:tc>
        <w:tc>
          <w:tcPr>
            <w:tcW w:w="1180" w:type="dxa"/>
            <w:gridSpan w:val="2"/>
            <w:tcBorders>
              <w:top w:val="nil"/>
              <w:left w:val="single" w:color="auto" w:sz="4" w:space="0"/>
              <w:bottom w:val="single" w:color="auto" w:sz="4" w:space="0"/>
              <w:right w:val="nil"/>
            </w:tcBorders>
            <w:shd w:val="clear"/>
            <w:vAlign w:val="center"/>
          </w:tcPr>
          <w:p w14:paraId="6510775D">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054" w:type="dxa"/>
            <w:tcBorders>
              <w:top w:val="nil"/>
              <w:left w:val="single" w:color="auto" w:sz="4" w:space="0"/>
              <w:bottom w:val="single" w:color="auto" w:sz="4" w:space="0"/>
              <w:right w:val="nil"/>
            </w:tcBorders>
            <w:shd w:val="clear"/>
            <w:vAlign w:val="center"/>
          </w:tcPr>
          <w:p w14:paraId="3CC88B04">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949" w:type="dxa"/>
            <w:gridSpan w:val="2"/>
            <w:tcBorders>
              <w:top w:val="nil"/>
              <w:left w:val="single" w:color="auto" w:sz="4" w:space="0"/>
              <w:bottom w:val="single" w:color="auto" w:sz="4" w:space="0"/>
              <w:right w:val="nil"/>
            </w:tcBorders>
            <w:shd w:val="clear"/>
            <w:vAlign w:val="center"/>
          </w:tcPr>
          <w:p w14:paraId="76FC3C35">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1117" w:type="dxa"/>
            <w:tcBorders>
              <w:top w:val="nil"/>
              <w:left w:val="single" w:color="auto" w:sz="4" w:space="0"/>
              <w:bottom w:val="single" w:color="auto" w:sz="4" w:space="0"/>
              <w:right w:val="single" w:color="auto" w:sz="4" w:space="0"/>
            </w:tcBorders>
            <w:shd w:val="clear"/>
            <w:vAlign w:val="center"/>
          </w:tcPr>
          <w:p w14:paraId="00E0A95A">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是</w:t>
            </w:r>
          </w:p>
        </w:tc>
      </w:tr>
      <w:tr w14:paraId="1E06E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15" w:hRule="atLeast"/>
        </w:trPr>
        <w:tc>
          <w:tcPr>
            <w:tcW w:w="830" w:type="dxa"/>
            <w:tcBorders>
              <w:top w:val="nil"/>
              <w:left w:val="single" w:color="auto" w:sz="4" w:space="0"/>
              <w:bottom w:val="single" w:color="auto" w:sz="4" w:space="0"/>
              <w:right w:val="single" w:color="auto" w:sz="4" w:space="0"/>
            </w:tcBorders>
            <w:shd w:val="clear"/>
            <w:vAlign w:val="center"/>
          </w:tcPr>
          <w:p w14:paraId="6F31A02B">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说明</w:t>
            </w:r>
          </w:p>
        </w:tc>
        <w:tc>
          <w:tcPr>
            <w:tcW w:w="9146" w:type="dxa"/>
            <w:gridSpan w:val="16"/>
            <w:tcBorders>
              <w:top w:val="single" w:color="auto" w:sz="4" w:space="0"/>
              <w:left w:val="nil"/>
              <w:bottom w:val="single" w:color="auto" w:sz="4" w:space="0"/>
              <w:right w:val="single" w:color="000000" w:sz="4" w:space="0"/>
            </w:tcBorders>
            <w:shd w:val="clear"/>
            <w:vAlign w:val="center"/>
          </w:tcPr>
          <w:p w14:paraId="142B51EE">
            <w:pPr>
              <w:spacing w:line="300" w:lineRule="exact"/>
              <w:rPr>
                <w:rFonts w:hint="eastAsia" w:ascii="方正仿宋_GBK" w:hAnsi="方正仿宋_GBK" w:eastAsia="方正仿宋_GBK" w:cs="方正仿宋_GBK"/>
                <w:color w:val="000000"/>
                <w:sz w:val="28"/>
                <w:szCs w:val="28"/>
                <w:bdr w:val="none" w:color="auto" w:sz="0" w:space="0"/>
                <w:lang w:val="en-US"/>
              </w:rPr>
            </w:pPr>
          </w:p>
        </w:tc>
      </w:tr>
    </w:tbl>
    <w:p w14:paraId="1201B6D5">
      <w:pPr>
        <w:pStyle w:val="37"/>
        <w:spacing w:line="600" w:lineRule="exact"/>
        <w:ind w:left="0" w:firstLine="0" w:firstLineChars="0"/>
        <w:jc w:val="center"/>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sz w:val="32"/>
          <w:szCs w:val="32"/>
          <w:lang w:val="en-US"/>
        </w:rPr>
        <w:t xml:space="preserve"> </w:t>
      </w:r>
    </w:p>
    <w:p w14:paraId="7D9CD988">
      <w:pPr>
        <w:pStyle w:val="37"/>
        <w:spacing w:line="600" w:lineRule="exact"/>
        <w:ind w:left="0" w:firstLine="0" w:firstLineChars="0"/>
        <w:jc w:val="center"/>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sz w:val="32"/>
          <w:szCs w:val="32"/>
          <w:lang w:val="en-US"/>
        </w:rPr>
        <w:t xml:space="preserve"> </w:t>
      </w:r>
    </w:p>
    <w:p w14:paraId="11B2764D">
      <w:pPr>
        <w:pStyle w:val="37"/>
        <w:spacing w:line="600" w:lineRule="exact"/>
        <w:ind w:left="0" w:firstLine="0" w:firstLineChars="0"/>
        <w:jc w:val="center"/>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sz w:val="32"/>
          <w:szCs w:val="32"/>
          <w:lang w:val="en-US"/>
        </w:rPr>
        <w:t xml:space="preserve"> </w:t>
      </w:r>
    </w:p>
    <w:p w14:paraId="1DAFF482">
      <w:pPr>
        <w:pStyle w:val="37"/>
        <w:spacing w:line="600" w:lineRule="exact"/>
        <w:ind w:left="0" w:firstLine="0" w:firstLineChars="0"/>
        <w:jc w:val="center"/>
        <w:rPr>
          <w:rFonts w:hint="eastAsia" w:ascii="方正仿宋_GBK" w:hAnsi="方正仿宋_GBK" w:eastAsia="方正仿宋_GBK" w:cs="方正仿宋_GBK"/>
          <w:color w:val="000000"/>
          <w:sz w:val="32"/>
          <w:szCs w:val="32"/>
          <w:lang w:val="en-US"/>
        </w:rPr>
      </w:pPr>
      <w:r>
        <w:rPr>
          <w:rFonts w:ascii="方正仿宋_GBK" w:hAnsi="方正仿宋_GBK"/>
          <w:color w:val="000000"/>
          <w:sz w:val="32"/>
          <w:szCs w:val="32"/>
          <w:lang w:eastAsia="zh-CN"/>
        </w:rPr>
        <w:t>一级项目绩效自评表</w:t>
      </w:r>
    </w:p>
    <w:tbl>
      <w:tblPr>
        <w:tblStyle w:val="11"/>
        <w:tblW w:w="115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082"/>
        <w:gridCol w:w="790"/>
        <w:gridCol w:w="361"/>
        <w:gridCol w:w="175"/>
        <w:gridCol w:w="110"/>
        <w:gridCol w:w="426"/>
        <w:gridCol w:w="311"/>
        <w:gridCol w:w="781"/>
        <w:gridCol w:w="273"/>
        <w:gridCol w:w="1365"/>
        <w:gridCol w:w="1365"/>
        <w:gridCol w:w="1028"/>
        <w:gridCol w:w="1028"/>
        <w:gridCol w:w="148"/>
        <w:gridCol w:w="1176"/>
        <w:gridCol w:w="1176"/>
      </w:tblGrid>
      <w:tr w14:paraId="1D650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7" w:hRule="atLeast"/>
          <w:jc w:val="center"/>
        </w:trPr>
        <w:tc>
          <w:tcPr>
            <w:tcW w:w="1082" w:type="dxa"/>
            <w:tcBorders>
              <w:top w:val="single" w:color="auto" w:sz="4" w:space="0"/>
              <w:left w:val="single" w:color="auto" w:sz="4" w:space="0"/>
              <w:bottom w:val="single" w:color="auto" w:sz="4" w:space="0"/>
              <w:right w:val="single" w:color="auto" w:sz="4" w:space="0"/>
            </w:tcBorders>
            <w:shd w:val="clear"/>
            <w:vAlign w:val="center"/>
          </w:tcPr>
          <w:p w14:paraId="328989DF">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项目</w:t>
            </w:r>
          </w:p>
          <w:p w14:paraId="2A8D2A93">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名称</w:t>
            </w:r>
          </w:p>
        </w:tc>
        <w:tc>
          <w:tcPr>
            <w:tcW w:w="1436" w:type="dxa"/>
            <w:gridSpan w:val="4"/>
            <w:tcBorders>
              <w:top w:val="single" w:color="auto" w:sz="4" w:space="0"/>
              <w:left w:val="nil"/>
              <w:bottom w:val="single" w:color="auto" w:sz="4" w:space="0"/>
              <w:right w:val="single" w:color="000000" w:sz="4" w:space="0"/>
            </w:tcBorders>
            <w:shd w:val="clear"/>
            <w:vAlign w:val="center"/>
          </w:tcPr>
          <w:p w14:paraId="33EC9DAA">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2020</w:t>
            </w:r>
            <w:r>
              <w:rPr>
                <w:rFonts w:ascii="方正仿宋_GBK" w:hAnsi="方正仿宋_GBK"/>
                <w:color w:val="000000"/>
                <w:sz w:val="28"/>
                <w:szCs w:val="28"/>
                <w:bdr w:val="none" w:color="auto" w:sz="0" w:space="0"/>
              </w:rPr>
              <w:t>年乡镇生活污水处理设施运营服务费</w:t>
            </w:r>
          </w:p>
        </w:tc>
        <w:tc>
          <w:tcPr>
            <w:tcW w:w="1518" w:type="dxa"/>
            <w:gridSpan w:val="3"/>
            <w:tcBorders>
              <w:top w:val="single" w:color="auto" w:sz="4" w:space="0"/>
              <w:left w:val="nil"/>
              <w:bottom w:val="single" w:color="auto" w:sz="4" w:space="0"/>
              <w:right w:val="single" w:color="auto" w:sz="4" w:space="0"/>
            </w:tcBorders>
            <w:shd w:val="clear"/>
            <w:vAlign w:val="center"/>
          </w:tcPr>
          <w:p w14:paraId="43D1C6DA">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项目</w:t>
            </w:r>
          </w:p>
          <w:p w14:paraId="7A8CC6FF">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编码</w:t>
            </w:r>
          </w:p>
        </w:tc>
        <w:tc>
          <w:tcPr>
            <w:tcW w:w="1638" w:type="dxa"/>
            <w:gridSpan w:val="2"/>
            <w:tcBorders>
              <w:top w:val="single" w:color="auto" w:sz="4" w:space="0"/>
              <w:left w:val="nil"/>
              <w:bottom w:val="single" w:color="auto" w:sz="4" w:space="0"/>
              <w:right w:val="single" w:color="000000" w:sz="4" w:space="0"/>
            </w:tcBorders>
            <w:shd w:val="clear"/>
            <w:vAlign w:val="center"/>
          </w:tcPr>
          <w:p w14:paraId="3000DE6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p>
        </w:tc>
        <w:tc>
          <w:tcPr>
            <w:tcW w:w="1365" w:type="dxa"/>
            <w:tcBorders>
              <w:top w:val="single" w:color="auto" w:sz="4" w:space="0"/>
              <w:left w:val="nil"/>
              <w:bottom w:val="single" w:color="auto" w:sz="4" w:space="0"/>
              <w:right w:val="single" w:color="auto" w:sz="4" w:space="0"/>
            </w:tcBorders>
            <w:shd w:val="clear"/>
            <w:vAlign w:val="center"/>
          </w:tcPr>
          <w:p w14:paraId="115D1853">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自评</w:t>
            </w:r>
          </w:p>
          <w:p w14:paraId="65515095">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总分</w:t>
            </w:r>
          </w:p>
          <w:p w14:paraId="4CE21E08">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（分）</w:t>
            </w:r>
          </w:p>
        </w:tc>
        <w:tc>
          <w:tcPr>
            <w:tcW w:w="4556" w:type="dxa"/>
            <w:gridSpan w:val="5"/>
            <w:tcBorders>
              <w:top w:val="single" w:color="auto" w:sz="4" w:space="0"/>
              <w:left w:val="nil"/>
              <w:bottom w:val="single" w:color="auto" w:sz="4" w:space="0"/>
              <w:right w:val="single" w:color="000000" w:sz="4" w:space="0"/>
            </w:tcBorders>
            <w:shd w:val="clear"/>
            <w:vAlign w:val="center"/>
          </w:tcPr>
          <w:p w14:paraId="780563C3">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 xml:space="preserve">       100</w:t>
            </w:r>
          </w:p>
        </w:tc>
      </w:tr>
      <w:tr w14:paraId="6C545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79" w:hRule="atLeast"/>
          <w:jc w:val="center"/>
        </w:trPr>
        <w:tc>
          <w:tcPr>
            <w:tcW w:w="1082" w:type="dxa"/>
            <w:tcBorders>
              <w:top w:val="nil"/>
              <w:left w:val="single" w:color="auto" w:sz="4" w:space="0"/>
              <w:bottom w:val="single" w:color="auto" w:sz="4" w:space="0"/>
              <w:right w:val="single" w:color="auto" w:sz="4" w:space="0"/>
            </w:tcBorders>
            <w:shd w:val="clear"/>
            <w:vAlign w:val="center"/>
          </w:tcPr>
          <w:p w14:paraId="1E604FC0">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主管</w:t>
            </w:r>
          </w:p>
          <w:p w14:paraId="5E2E3AD4">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部门</w:t>
            </w:r>
          </w:p>
        </w:tc>
        <w:tc>
          <w:tcPr>
            <w:tcW w:w="1436" w:type="dxa"/>
            <w:gridSpan w:val="4"/>
            <w:tcBorders>
              <w:top w:val="single" w:color="auto" w:sz="4" w:space="0"/>
              <w:left w:val="nil"/>
              <w:bottom w:val="single" w:color="auto" w:sz="4" w:space="0"/>
              <w:right w:val="single" w:color="000000" w:sz="4" w:space="0"/>
            </w:tcBorders>
            <w:shd w:val="clear"/>
            <w:vAlign w:val="center"/>
          </w:tcPr>
          <w:p w14:paraId="18E9B410">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城口县生态环境局</w:t>
            </w:r>
          </w:p>
        </w:tc>
        <w:tc>
          <w:tcPr>
            <w:tcW w:w="1518" w:type="dxa"/>
            <w:gridSpan w:val="3"/>
            <w:tcBorders>
              <w:top w:val="nil"/>
              <w:left w:val="nil"/>
              <w:bottom w:val="single" w:color="auto" w:sz="4" w:space="0"/>
              <w:right w:val="single" w:color="auto" w:sz="4" w:space="0"/>
            </w:tcBorders>
            <w:shd w:val="clear"/>
            <w:vAlign w:val="center"/>
          </w:tcPr>
          <w:p w14:paraId="78F95FB6">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财政</w:t>
            </w:r>
          </w:p>
          <w:p w14:paraId="3C170A5A">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处室</w:t>
            </w:r>
          </w:p>
        </w:tc>
        <w:tc>
          <w:tcPr>
            <w:tcW w:w="1638" w:type="dxa"/>
            <w:gridSpan w:val="2"/>
            <w:tcBorders>
              <w:top w:val="single" w:color="auto" w:sz="4" w:space="0"/>
              <w:left w:val="nil"/>
              <w:bottom w:val="single" w:color="auto" w:sz="4" w:space="0"/>
              <w:right w:val="single" w:color="000000" w:sz="4" w:space="0"/>
            </w:tcBorders>
            <w:shd w:val="clear"/>
            <w:vAlign w:val="center"/>
          </w:tcPr>
          <w:p w14:paraId="227E0FD1">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经建科</w:t>
            </w:r>
          </w:p>
        </w:tc>
        <w:tc>
          <w:tcPr>
            <w:tcW w:w="1365" w:type="dxa"/>
            <w:tcBorders>
              <w:top w:val="nil"/>
              <w:left w:val="nil"/>
              <w:bottom w:val="single" w:color="auto" w:sz="4" w:space="0"/>
              <w:right w:val="single" w:color="auto" w:sz="4" w:space="0"/>
            </w:tcBorders>
            <w:shd w:val="clear"/>
            <w:vAlign w:val="center"/>
          </w:tcPr>
          <w:p w14:paraId="592E1FD3">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项目</w:t>
            </w:r>
          </w:p>
          <w:p w14:paraId="5FD6A579">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联系人</w:t>
            </w:r>
          </w:p>
        </w:tc>
        <w:tc>
          <w:tcPr>
            <w:tcW w:w="1028" w:type="dxa"/>
            <w:tcBorders>
              <w:top w:val="nil"/>
              <w:left w:val="nil"/>
              <w:bottom w:val="single" w:color="auto" w:sz="4" w:space="0"/>
              <w:right w:val="single" w:color="auto" w:sz="4" w:space="0"/>
            </w:tcBorders>
            <w:shd w:val="clear"/>
            <w:vAlign w:val="center"/>
          </w:tcPr>
          <w:p w14:paraId="34877CE9">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裴育</w:t>
            </w:r>
          </w:p>
        </w:tc>
        <w:tc>
          <w:tcPr>
            <w:tcW w:w="1028" w:type="dxa"/>
            <w:tcBorders>
              <w:top w:val="nil"/>
              <w:left w:val="nil"/>
              <w:bottom w:val="single" w:color="auto" w:sz="4" w:space="0"/>
              <w:right w:val="single" w:color="auto" w:sz="4" w:space="0"/>
            </w:tcBorders>
            <w:shd w:val="clear"/>
            <w:vAlign w:val="center"/>
          </w:tcPr>
          <w:p w14:paraId="12A3A556">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联系电话</w:t>
            </w:r>
          </w:p>
        </w:tc>
        <w:tc>
          <w:tcPr>
            <w:tcW w:w="2500" w:type="dxa"/>
            <w:gridSpan w:val="3"/>
            <w:tcBorders>
              <w:top w:val="single" w:color="auto" w:sz="4" w:space="0"/>
              <w:left w:val="nil"/>
              <w:bottom w:val="single" w:color="auto" w:sz="4" w:space="0"/>
              <w:right w:val="single" w:color="000000" w:sz="4" w:space="0"/>
            </w:tcBorders>
            <w:shd w:val="clear"/>
            <w:vAlign w:val="center"/>
          </w:tcPr>
          <w:p w14:paraId="40A6F14F">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59222621</w:t>
            </w:r>
          </w:p>
        </w:tc>
      </w:tr>
      <w:tr w14:paraId="592BB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79" w:hRule="atLeast"/>
          <w:jc w:val="center"/>
        </w:trPr>
        <w:tc>
          <w:tcPr>
            <w:tcW w:w="1082" w:type="dxa"/>
            <w:vMerge w:val="restart"/>
            <w:tcBorders>
              <w:top w:val="nil"/>
              <w:left w:val="single" w:color="auto" w:sz="4" w:space="0"/>
              <w:bottom w:val="single" w:color="auto" w:sz="4" w:space="0"/>
              <w:right w:val="single" w:color="auto" w:sz="4" w:space="0"/>
            </w:tcBorders>
            <w:shd w:val="clear"/>
            <w:vAlign w:val="center"/>
          </w:tcPr>
          <w:p w14:paraId="62F375EC">
            <w:pPr>
              <w:spacing w:before="0" w:beforeAutospacing="0" w:after="0" w:afterAutospacing="0" w:line="300" w:lineRule="exact"/>
              <w:ind w:left="113" w:right="113"/>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项目资金（万元）</w:t>
            </w:r>
          </w:p>
        </w:tc>
        <w:tc>
          <w:tcPr>
            <w:tcW w:w="1151" w:type="dxa"/>
            <w:gridSpan w:val="2"/>
            <w:vMerge w:val="restart"/>
            <w:shd w:val="clear"/>
            <w:vAlign w:val="center"/>
          </w:tcPr>
          <w:p w14:paraId="6E454929">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年度</w:t>
            </w:r>
          </w:p>
          <w:p w14:paraId="0E466921">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总金额</w:t>
            </w:r>
          </w:p>
        </w:tc>
        <w:tc>
          <w:tcPr>
            <w:tcW w:w="1022" w:type="dxa"/>
            <w:gridSpan w:val="4"/>
            <w:tcBorders>
              <w:top w:val="single" w:color="auto" w:sz="4" w:space="0"/>
              <w:left w:val="single" w:color="auto" w:sz="4" w:space="0"/>
              <w:bottom w:val="single" w:color="auto" w:sz="4" w:space="0"/>
              <w:right w:val="single" w:color="000000" w:sz="4" w:space="0"/>
            </w:tcBorders>
            <w:shd w:val="clear"/>
            <w:vAlign w:val="center"/>
          </w:tcPr>
          <w:p w14:paraId="623BC477">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年初</w:t>
            </w:r>
          </w:p>
          <w:p w14:paraId="227F1670">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预算数</w:t>
            </w:r>
          </w:p>
        </w:tc>
        <w:tc>
          <w:tcPr>
            <w:tcW w:w="2419" w:type="dxa"/>
            <w:gridSpan w:val="3"/>
            <w:tcBorders>
              <w:top w:val="single" w:color="auto" w:sz="4" w:space="0"/>
              <w:left w:val="nil"/>
              <w:bottom w:val="single" w:color="auto" w:sz="4" w:space="0"/>
              <w:right w:val="single" w:color="auto" w:sz="4" w:space="0"/>
            </w:tcBorders>
            <w:shd w:val="clear"/>
            <w:vAlign w:val="center"/>
          </w:tcPr>
          <w:p w14:paraId="6D2D2C53">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全年</w:t>
            </w:r>
          </w:p>
          <w:p w14:paraId="2E9DEAEE">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（调整）预算数</w:t>
            </w:r>
          </w:p>
        </w:tc>
        <w:tc>
          <w:tcPr>
            <w:tcW w:w="2393" w:type="dxa"/>
            <w:gridSpan w:val="2"/>
            <w:tcBorders>
              <w:top w:val="single" w:color="auto" w:sz="4" w:space="0"/>
              <w:left w:val="nil"/>
              <w:bottom w:val="single" w:color="auto" w:sz="4" w:space="0"/>
              <w:right w:val="single" w:color="auto" w:sz="4" w:space="0"/>
            </w:tcBorders>
            <w:shd w:val="clear"/>
            <w:vAlign w:val="center"/>
          </w:tcPr>
          <w:p w14:paraId="1060420E">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全年执行数</w:t>
            </w:r>
          </w:p>
        </w:tc>
        <w:tc>
          <w:tcPr>
            <w:tcW w:w="1028" w:type="dxa"/>
            <w:tcBorders>
              <w:top w:val="nil"/>
              <w:left w:val="nil"/>
              <w:bottom w:val="single" w:color="auto" w:sz="4" w:space="0"/>
              <w:right w:val="single" w:color="auto" w:sz="4" w:space="0"/>
            </w:tcBorders>
            <w:shd w:val="clear"/>
            <w:vAlign w:val="center"/>
          </w:tcPr>
          <w:p w14:paraId="4F15B1C5">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执行率</w:t>
            </w:r>
          </w:p>
          <w:p w14:paraId="7AEA438B">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w:t>
            </w:r>
            <w:r>
              <w:rPr>
                <w:rFonts w:hint="eastAsia" w:ascii="方正仿宋_GBK" w:hAnsi="方正仿宋_GBK" w:eastAsia="方正仿宋_GBK" w:cs="方正仿宋_GBK"/>
                <w:color w:val="000000"/>
                <w:sz w:val="28"/>
                <w:szCs w:val="28"/>
                <w:bdr w:val="none" w:color="auto" w:sz="0" w:space="0"/>
                <w:lang w:val="en-US"/>
              </w:rPr>
              <w:t>%</w:t>
            </w:r>
            <w:r>
              <w:rPr>
                <w:rFonts w:ascii="方正仿宋_GBK" w:hAnsi="方正仿宋_GBK"/>
                <w:color w:val="000000"/>
                <w:sz w:val="28"/>
                <w:szCs w:val="28"/>
                <w:bdr w:val="none" w:color="auto" w:sz="0" w:space="0"/>
              </w:rPr>
              <w:t>）</w:t>
            </w:r>
          </w:p>
        </w:tc>
        <w:tc>
          <w:tcPr>
            <w:tcW w:w="1324" w:type="dxa"/>
            <w:gridSpan w:val="2"/>
            <w:tcBorders>
              <w:top w:val="nil"/>
              <w:left w:val="nil"/>
              <w:bottom w:val="single" w:color="auto" w:sz="4" w:space="0"/>
              <w:right w:val="single" w:color="auto" w:sz="4" w:space="0"/>
            </w:tcBorders>
            <w:shd w:val="clear"/>
            <w:vAlign w:val="center"/>
          </w:tcPr>
          <w:p w14:paraId="13DD0F3A">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执行率</w:t>
            </w:r>
          </w:p>
          <w:p w14:paraId="745D2526">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权重</w:t>
            </w:r>
          </w:p>
        </w:tc>
        <w:tc>
          <w:tcPr>
            <w:tcW w:w="1176" w:type="dxa"/>
            <w:tcBorders>
              <w:top w:val="nil"/>
              <w:left w:val="nil"/>
              <w:bottom w:val="single" w:color="auto" w:sz="4" w:space="0"/>
              <w:right w:val="single" w:color="auto" w:sz="4" w:space="0"/>
            </w:tcBorders>
            <w:shd w:val="clear"/>
            <w:vAlign w:val="center"/>
          </w:tcPr>
          <w:p w14:paraId="2DDA94D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执行率</w:t>
            </w:r>
          </w:p>
          <w:p w14:paraId="775A5EF5">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得分</w:t>
            </w:r>
          </w:p>
          <w:p w14:paraId="49E80E49">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（分）</w:t>
            </w:r>
          </w:p>
        </w:tc>
      </w:tr>
      <w:tr w14:paraId="696D6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79" w:hRule="atLeast"/>
          <w:jc w:val="center"/>
        </w:trPr>
        <w:tc>
          <w:tcPr>
            <w:tcW w:w="1082" w:type="dxa"/>
            <w:vMerge w:val="continue"/>
            <w:tcBorders>
              <w:top w:val="nil"/>
              <w:left w:val="single" w:color="auto" w:sz="4" w:space="0"/>
              <w:bottom w:val="single" w:color="auto" w:sz="4" w:space="0"/>
              <w:right w:val="single" w:color="auto" w:sz="4" w:space="0"/>
            </w:tcBorders>
            <w:shd w:val="clear"/>
            <w:vAlign w:val="center"/>
          </w:tcPr>
          <w:p w14:paraId="4949FBEF">
            <w:pPr>
              <w:rPr>
                <w:rFonts w:hint="default" w:ascii="Times New Roman" w:hAnsi="Times New Roman" w:cs="Times New Roman"/>
                <w:sz w:val="20"/>
                <w:szCs w:val="20"/>
              </w:rPr>
            </w:pPr>
          </w:p>
        </w:tc>
        <w:tc>
          <w:tcPr>
            <w:tcW w:w="1151" w:type="dxa"/>
            <w:gridSpan w:val="2"/>
            <w:vMerge w:val="continue"/>
            <w:shd w:val="clear"/>
            <w:vAlign w:val="center"/>
          </w:tcPr>
          <w:p w14:paraId="57B6D6AF">
            <w:pPr>
              <w:rPr>
                <w:rFonts w:hint="default" w:ascii="Times New Roman" w:hAnsi="Times New Roman" w:cs="Times New Roman"/>
                <w:sz w:val="20"/>
                <w:szCs w:val="20"/>
              </w:rPr>
            </w:pPr>
          </w:p>
        </w:tc>
        <w:tc>
          <w:tcPr>
            <w:tcW w:w="1022" w:type="dxa"/>
            <w:gridSpan w:val="4"/>
            <w:tcBorders>
              <w:top w:val="single" w:color="auto" w:sz="4" w:space="0"/>
              <w:left w:val="single" w:color="auto" w:sz="4" w:space="0"/>
              <w:bottom w:val="single" w:color="auto" w:sz="4" w:space="0"/>
              <w:right w:val="single" w:color="000000" w:sz="4" w:space="0"/>
            </w:tcBorders>
            <w:shd w:val="clear"/>
            <w:vAlign w:val="center"/>
          </w:tcPr>
          <w:p w14:paraId="257E7C84">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0</w:t>
            </w:r>
          </w:p>
        </w:tc>
        <w:tc>
          <w:tcPr>
            <w:tcW w:w="2419" w:type="dxa"/>
            <w:gridSpan w:val="3"/>
            <w:tcBorders>
              <w:top w:val="single" w:color="auto" w:sz="4" w:space="0"/>
              <w:left w:val="nil"/>
              <w:bottom w:val="single" w:color="auto" w:sz="4" w:space="0"/>
              <w:right w:val="single" w:color="auto" w:sz="4" w:space="0"/>
            </w:tcBorders>
            <w:shd w:val="clear"/>
            <w:vAlign w:val="center"/>
          </w:tcPr>
          <w:p w14:paraId="6B744ACF">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447.41</w:t>
            </w:r>
          </w:p>
        </w:tc>
        <w:tc>
          <w:tcPr>
            <w:tcW w:w="2393" w:type="dxa"/>
            <w:gridSpan w:val="2"/>
            <w:tcBorders>
              <w:top w:val="single" w:color="auto" w:sz="4" w:space="0"/>
              <w:left w:val="nil"/>
              <w:bottom w:val="single" w:color="auto" w:sz="4" w:space="0"/>
              <w:right w:val="single" w:color="auto" w:sz="4" w:space="0"/>
            </w:tcBorders>
            <w:shd w:val="clear"/>
            <w:vAlign w:val="center"/>
          </w:tcPr>
          <w:p w14:paraId="3FF23FF2">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447.41</w:t>
            </w:r>
          </w:p>
        </w:tc>
        <w:tc>
          <w:tcPr>
            <w:tcW w:w="1028" w:type="dxa"/>
            <w:tcBorders>
              <w:top w:val="nil"/>
              <w:left w:val="nil"/>
              <w:bottom w:val="single" w:color="auto" w:sz="4" w:space="0"/>
              <w:right w:val="single" w:color="auto" w:sz="4" w:space="0"/>
            </w:tcBorders>
            <w:shd w:val="clear"/>
            <w:vAlign w:val="center"/>
          </w:tcPr>
          <w:p w14:paraId="34ABB243">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324" w:type="dxa"/>
            <w:gridSpan w:val="2"/>
            <w:tcBorders>
              <w:top w:val="nil"/>
              <w:left w:val="nil"/>
              <w:bottom w:val="single" w:color="auto" w:sz="4" w:space="0"/>
              <w:right w:val="single" w:color="auto" w:sz="4" w:space="0"/>
            </w:tcBorders>
            <w:shd w:val="clear"/>
            <w:vAlign w:val="center"/>
          </w:tcPr>
          <w:p w14:paraId="5860500A">
            <w:pPr>
              <w:spacing w:line="300" w:lineRule="exact"/>
              <w:jc w:val="center"/>
              <w:rPr>
                <w:rFonts w:hint="eastAsia" w:ascii="方正仿宋_GBK" w:hAnsi="方正仿宋_GBK" w:eastAsia="方正仿宋_GBK" w:cs="方正仿宋_GBK"/>
                <w:sz w:val="28"/>
                <w:szCs w:val="28"/>
                <w:bdr w:val="none" w:color="auto" w:sz="0" w:space="0"/>
                <w:lang w:val="en-US"/>
              </w:rPr>
            </w:pPr>
            <w:r>
              <w:rPr>
                <w:rFonts w:hint="eastAsia" w:ascii="方正仿宋_GBK" w:hAnsi="方正仿宋_GBK" w:eastAsia="方正仿宋_GBK" w:cs="方正仿宋_GBK"/>
                <w:sz w:val="28"/>
                <w:szCs w:val="28"/>
                <w:bdr w:val="none" w:color="auto" w:sz="0" w:space="0"/>
                <w:lang w:val="en-US"/>
              </w:rPr>
              <w:t>10</w:t>
            </w:r>
          </w:p>
        </w:tc>
        <w:tc>
          <w:tcPr>
            <w:tcW w:w="1176" w:type="dxa"/>
            <w:tcBorders>
              <w:top w:val="nil"/>
              <w:left w:val="nil"/>
              <w:bottom w:val="single" w:color="auto" w:sz="4" w:space="0"/>
              <w:right w:val="single" w:color="auto" w:sz="4" w:space="0"/>
            </w:tcBorders>
            <w:shd w:val="clear"/>
            <w:vAlign w:val="center"/>
          </w:tcPr>
          <w:p w14:paraId="2E67790B">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r>
      <w:tr w14:paraId="2F6E4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79" w:hRule="atLeast"/>
          <w:jc w:val="center"/>
        </w:trPr>
        <w:tc>
          <w:tcPr>
            <w:tcW w:w="1082" w:type="dxa"/>
            <w:vMerge w:val="continue"/>
            <w:tcBorders>
              <w:top w:val="nil"/>
              <w:left w:val="single" w:color="auto" w:sz="4" w:space="0"/>
              <w:bottom w:val="single" w:color="auto" w:sz="4" w:space="0"/>
              <w:right w:val="single" w:color="auto" w:sz="4" w:space="0"/>
            </w:tcBorders>
            <w:shd w:val="clear"/>
            <w:vAlign w:val="center"/>
          </w:tcPr>
          <w:p w14:paraId="3FC7A342">
            <w:pPr>
              <w:rPr>
                <w:rFonts w:hint="default" w:ascii="Times New Roman" w:hAnsi="Times New Roman" w:cs="Times New Roman"/>
                <w:sz w:val="20"/>
                <w:szCs w:val="20"/>
              </w:rPr>
            </w:pPr>
          </w:p>
        </w:tc>
        <w:tc>
          <w:tcPr>
            <w:tcW w:w="1151" w:type="dxa"/>
            <w:gridSpan w:val="2"/>
            <w:tcBorders>
              <w:top w:val="nil"/>
              <w:left w:val="nil"/>
              <w:bottom w:val="single" w:color="auto" w:sz="4" w:space="0"/>
              <w:right w:val="nil"/>
            </w:tcBorders>
            <w:shd w:val="clear"/>
            <w:vAlign w:val="center"/>
          </w:tcPr>
          <w:p w14:paraId="66E84CEC">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其中：</w:t>
            </w:r>
          </w:p>
          <w:p w14:paraId="03FA2B5D">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县级支出</w:t>
            </w:r>
          </w:p>
        </w:tc>
        <w:tc>
          <w:tcPr>
            <w:tcW w:w="1022" w:type="dxa"/>
            <w:gridSpan w:val="4"/>
            <w:tcBorders>
              <w:top w:val="single" w:color="auto" w:sz="4" w:space="0"/>
              <w:left w:val="single" w:color="auto" w:sz="4" w:space="0"/>
              <w:bottom w:val="single" w:color="auto" w:sz="4" w:space="0"/>
              <w:right w:val="single" w:color="000000" w:sz="4" w:space="0"/>
            </w:tcBorders>
            <w:shd w:val="clear"/>
            <w:vAlign w:val="center"/>
          </w:tcPr>
          <w:p w14:paraId="45CCE543">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0</w:t>
            </w:r>
          </w:p>
        </w:tc>
        <w:tc>
          <w:tcPr>
            <w:tcW w:w="2419" w:type="dxa"/>
            <w:gridSpan w:val="3"/>
            <w:tcBorders>
              <w:top w:val="single" w:color="auto" w:sz="4" w:space="0"/>
              <w:left w:val="nil"/>
              <w:bottom w:val="single" w:color="auto" w:sz="4" w:space="0"/>
              <w:right w:val="single" w:color="auto" w:sz="4" w:space="0"/>
            </w:tcBorders>
            <w:shd w:val="clear"/>
            <w:vAlign w:val="center"/>
          </w:tcPr>
          <w:p w14:paraId="398E15ED">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447.41</w:t>
            </w:r>
          </w:p>
        </w:tc>
        <w:tc>
          <w:tcPr>
            <w:tcW w:w="2393" w:type="dxa"/>
            <w:gridSpan w:val="2"/>
            <w:tcBorders>
              <w:top w:val="single" w:color="auto" w:sz="4" w:space="0"/>
              <w:left w:val="nil"/>
              <w:bottom w:val="single" w:color="auto" w:sz="4" w:space="0"/>
              <w:right w:val="single" w:color="auto" w:sz="4" w:space="0"/>
            </w:tcBorders>
            <w:shd w:val="clear"/>
            <w:vAlign w:val="center"/>
          </w:tcPr>
          <w:p w14:paraId="0A41C56B">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447.41</w:t>
            </w:r>
          </w:p>
        </w:tc>
        <w:tc>
          <w:tcPr>
            <w:tcW w:w="1028" w:type="dxa"/>
            <w:tcBorders>
              <w:top w:val="nil"/>
              <w:left w:val="nil"/>
              <w:bottom w:val="single" w:color="auto" w:sz="4" w:space="0"/>
              <w:right w:val="single" w:color="auto" w:sz="4" w:space="0"/>
            </w:tcBorders>
            <w:shd w:val="clear"/>
            <w:vAlign w:val="center"/>
          </w:tcPr>
          <w:p w14:paraId="7BF9198D">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324" w:type="dxa"/>
            <w:gridSpan w:val="2"/>
            <w:tcBorders>
              <w:top w:val="nil"/>
              <w:left w:val="nil"/>
              <w:bottom w:val="single" w:color="auto" w:sz="4" w:space="0"/>
              <w:right w:val="single" w:color="auto" w:sz="4" w:space="0"/>
            </w:tcBorders>
            <w:shd w:val="clear"/>
            <w:vAlign w:val="center"/>
          </w:tcPr>
          <w:p w14:paraId="1A6FC497">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1176" w:type="dxa"/>
            <w:tcBorders>
              <w:top w:val="nil"/>
              <w:left w:val="nil"/>
              <w:bottom w:val="single" w:color="auto" w:sz="4" w:space="0"/>
              <w:right w:val="single" w:color="auto" w:sz="4" w:space="0"/>
            </w:tcBorders>
            <w:shd w:val="clear"/>
            <w:vAlign w:val="center"/>
          </w:tcPr>
          <w:p w14:paraId="1129BB9F">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r>
      <w:tr w14:paraId="074BB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97" w:hRule="atLeast"/>
          <w:jc w:val="center"/>
        </w:trPr>
        <w:tc>
          <w:tcPr>
            <w:tcW w:w="1082" w:type="dxa"/>
            <w:vMerge w:val="continue"/>
            <w:tcBorders>
              <w:top w:val="nil"/>
              <w:left w:val="single" w:color="auto" w:sz="4" w:space="0"/>
              <w:bottom w:val="single" w:color="auto" w:sz="4" w:space="0"/>
              <w:right w:val="single" w:color="auto" w:sz="4" w:space="0"/>
            </w:tcBorders>
            <w:shd w:val="clear"/>
            <w:vAlign w:val="center"/>
          </w:tcPr>
          <w:p w14:paraId="516F25D2">
            <w:pPr>
              <w:rPr>
                <w:rFonts w:hint="default" w:ascii="Times New Roman" w:hAnsi="Times New Roman" w:cs="Times New Roman"/>
                <w:sz w:val="20"/>
                <w:szCs w:val="20"/>
              </w:rPr>
            </w:pPr>
          </w:p>
        </w:tc>
        <w:tc>
          <w:tcPr>
            <w:tcW w:w="1151" w:type="dxa"/>
            <w:gridSpan w:val="2"/>
            <w:tcBorders>
              <w:top w:val="nil"/>
              <w:left w:val="nil"/>
              <w:bottom w:val="single" w:color="auto" w:sz="4" w:space="0"/>
              <w:right w:val="nil"/>
            </w:tcBorders>
            <w:shd w:val="clear"/>
            <w:vAlign w:val="center"/>
          </w:tcPr>
          <w:p w14:paraId="18BD9314">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补助区县</w:t>
            </w:r>
          </w:p>
        </w:tc>
        <w:tc>
          <w:tcPr>
            <w:tcW w:w="1022" w:type="dxa"/>
            <w:gridSpan w:val="4"/>
            <w:tcBorders>
              <w:top w:val="single" w:color="auto" w:sz="4" w:space="0"/>
              <w:left w:val="single" w:color="auto" w:sz="4" w:space="0"/>
              <w:bottom w:val="single" w:color="auto" w:sz="4" w:space="0"/>
              <w:right w:val="single" w:color="000000" w:sz="4" w:space="0"/>
            </w:tcBorders>
            <w:shd w:val="clear"/>
            <w:vAlign w:val="center"/>
          </w:tcPr>
          <w:p w14:paraId="75C97470">
            <w:pPr>
              <w:spacing w:line="300" w:lineRule="exact"/>
              <w:jc w:val="center"/>
              <w:rPr>
                <w:rFonts w:hint="eastAsia" w:ascii="方正仿宋_GBK" w:hAnsi="方正仿宋_GBK" w:eastAsia="方正仿宋_GBK" w:cs="方正仿宋_GBK"/>
                <w:color w:val="000000"/>
                <w:sz w:val="28"/>
                <w:szCs w:val="28"/>
                <w:bdr w:val="none" w:color="auto" w:sz="0" w:space="0"/>
                <w:lang w:val="en-US"/>
              </w:rPr>
            </w:pPr>
          </w:p>
        </w:tc>
        <w:tc>
          <w:tcPr>
            <w:tcW w:w="2419" w:type="dxa"/>
            <w:gridSpan w:val="3"/>
            <w:tcBorders>
              <w:top w:val="single" w:color="auto" w:sz="4" w:space="0"/>
              <w:left w:val="nil"/>
              <w:bottom w:val="single" w:color="auto" w:sz="4" w:space="0"/>
              <w:right w:val="single" w:color="auto" w:sz="4" w:space="0"/>
            </w:tcBorders>
            <w:shd w:val="clear"/>
            <w:vAlign w:val="center"/>
          </w:tcPr>
          <w:p w14:paraId="7B77B2C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p>
        </w:tc>
        <w:tc>
          <w:tcPr>
            <w:tcW w:w="2393" w:type="dxa"/>
            <w:gridSpan w:val="2"/>
            <w:tcBorders>
              <w:top w:val="single" w:color="auto" w:sz="4" w:space="0"/>
              <w:left w:val="nil"/>
              <w:bottom w:val="single" w:color="auto" w:sz="4" w:space="0"/>
              <w:right w:val="single" w:color="auto" w:sz="4" w:space="0"/>
            </w:tcBorders>
            <w:shd w:val="clear"/>
            <w:vAlign w:val="center"/>
          </w:tcPr>
          <w:p w14:paraId="1097480D">
            <w:pPr>
              <w:spacing w:line="300" w:lineRule="exact"/>
              <w:jc w:val="center"/>
              <w:rPr>
                <w:rFonts w:hint="eastAsia" w:ascii="方正仿宋_GBK" w:hAnsi="方正仿宋_GBK" w:eastAsia="方正仿宋_GBK" w:cs="方正仿宋_GBK"/>
                <w:color w:val="000000"/>
                <w:sz w:val="28"/>
                <w:szCs w:val="28"/>
                <w:bdr w:val="none" w:color="auto" w:sz="0" w:space="0"/>
                <w:lang w:val="en-US"/>
              </w:rPr>
            </w:pPr>
          </w:p>
        </w:tc>
        <w:tc>
          <w:tcPr>
            <w:tcW w:w="1028" w:type="dxa"/>
            <w:tcBorders>
              <w:top w:val="nil"/>
              <w:left w:val="nil"/>
              <w:bottom w:val="single" w:color="auto" w:sz="4" w:space="0"/>
              <w:right w:val="single" w:color="auto" w:sz="4" w:space="0"/>
            </w:tcBorders>
            <w:shd w:val="clear"/>
            <w:vAlign w:val="center"/>
          </w:tcPr>
          <w:p w14:paraId="48BD4468">
            <w:pPr>
              <w:spacing w:line="300" w:lineRule="exact"/>
              <w:jc w:val="center"/>
              <w:rPr>
                <w:rFonts w:hint="eastAsia" w:ascii="方正仿宋_GBK" w:hAnsi="方正仿宋_GBK" w:eastAsia="方正仿宋_GBK" w:cs="方正仿宋_GBK"/>
                <w:color w:val="000000"/>
                <w:sz w:val="28"/>
                <w:szCs w:val="28"/>
                <w:bdr w:val="none" w:color="auto" w:sz="0" w:space="0"/>
                <w:lang w:val="en-US"/>
              </w:rPr>
            </w:pPr>
          </w:p>
        </w:tc>
        <w:tc>
          <w:tcPr>
            <w:tcW w:w="1324" w:type="dxa"/>
            <w:gridSpan w:val="2"/>
            <w:tcBorders>
              <w:top w:val="nil"/>
              <w:left w:val="nil"/>
              <w:bottom w:val="single" w:color="auto" w:sz="4" w:space="0"/>
              <w:right w:val="single" w:color="auto" w:sz="4" w:space="0"/>
            </w:tcBorders>
            <w:shd w:val="clear"/>
            <w:vAlign w:val="center"/>
          </w:tcPr>
          <w:p w14:paraId="44AB6415">
            <w:pPr>
              <w:spacing w:line="300" w:lineRule="exact"/>
              <w:jc w:val="center"/>
              <w:rPr>
                <w:rFonts w:hint="eastAsia" w:ascii="方正仿宋_GBK" w:hAnsi="方正仿宋_GBK" w:eastAsia="方正仿宋_GBK" w:cs="方正仿宋_GBK"/>
                <w:color w:val="000000"/>
                <w:sz w:val="28"/>
                <w:szCs w:val="28"/>
                <w:bdr w:val="none" w:color="auto" w:sz="0" w:space="0"/>
                <w:lang w:val="en-US"/>
              </w:rPr>
            </w:pPr>
          </w:p>
        </w:tc>
        <w:tc>
          <w:tcPr>
            <w:tcW w:w="1176" w:type="dxa"/>
            <w:tcBorders>
              <w:top w:val="nil"/>
              <w:left w:val="nil"/>
              <w:bottom w:val="single" w:color="auto" w:sz="4" w:space="0"/>
              <w:right w:val="single" w:color="auto" w:sz="4" w:space="0"/>
            </w:tcBorders>
            <w:shd w:val="clear"/>
            <w:vAlign w:val="center"/>
          </w:tcPr>
          <w:p w14:paraId="14B5ACB6">
            <w:pPr>
              <w:spacing w:line="300" w:lineRule="exact"/>
              <w:jc w:val="center"/>
              <w:rPr>
                <w:rFonts w:hint="eastAsia" w:ascii="方正仿宋_GBK" w:hAnsi="方正仿宋_GBK" w:eastAsia="方正仿宋_GBK" w:cs="方正仿宋_GBK"/>
                <w:color w:val="000000"/>
                <w:sz w:val="28"/>
                <w:szCs w:val="28"/>
                <w:bdr w:val="none" w:color="auto" w:sz="0" w:space="0"/>
                <w:lang w:val="en-US"/>
              </w:rPr>
            </w:pPr>
          </w:p>
        </w:tc>
      </w:tr>
      <w:tr w14:paraId="1683E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17" w:hRule="atLeast"/>
          <w:jc w:val="center"/>
        </w:trPr>
        <w:tc>
          <w:tcPr>
            <w:tcW w:w="1082" w:type="dxa"/>
            <w:vMerge w:val="restart"/>
            <w:tcBorders>
              <w:top w:val="nil"/>
              <w:left w:val="single" w:color="auto" w:sz="4" w:space="0"/>
              <w:bottom w:val="single" w:color="auto" w:sz="4" w:space="0"/>
              <w:right w:val="single" w:color="auto" w:sz="4" w:space="0"/>
            </w:tcBorders>
            <w:shd w:val="clear"/>
            <w:vAlign w:val="center"/>
          </w:tcPr>
          <w:p w14:paraId="7C707C3C">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当年绩效目标</w:t>
            </w:r>
          </w:p>
        </w:tc>
        <w:tc>
          <w:tcPr>
            <w:tcW w:w="2954" w:type="dxa"/>
            <w:gridSpan w:val="7"/>
            <w:tcBorders>
              <w:top w:val="single" w:color="auto" w:sz="4" w:space="0"/>
              <w:left w:val="nil"/>
              <w:bottom w:val="single" w:color="auto" w:sz="4" w:space="0"/>
              <w:right w:val="single" w:color="000000" w:sz="4" w:space="0"/>
            </w:tcBorders>
            <w:shd w:val="clear"/>
            <w:vAlign w:val="center"/>
          </w:tcPr>
          <w:p w14:paraId="0F9F168C">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年初绩效目标</w:t>
            </w:r>
          </w:p>
        </w:tc>
        <w:tc>
          <w:tcPr>
            <w:tcW w:w="4031" w:type="dxa"/>
            <w:gridSpan w:val="4"/>
            <w:tcBorders>
              <w:top w:val="single" w:color="auto" w:sz="4" w:space="0"/>
              <w:left w:val="nil"/>
              <w:bottom w:val="single" w:color="auto" w:sz="4" w:space="0"/>
              <w:right w:val="single" w:color="000000" w:sz="4" w:space="0"/>
            </w:tcBorders>
            <w:shd w:val="clear"/>
            <w:vAlign w:val="center"/>
          </w:tcPr>
          <w:p w14:paraId="71253117">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全年（调整）绩效目标</w:t>
            </w:r>
          </w:p>
        </w:tc>
        <w:tc>
          <w:tcPr>
            <w:tcW w:w="3528" w:type="dxa"/>
            <w:gridSpan w:val="4"/>
            <w:tcBorders>
              <w:top w:val="single" w:color="auto" w:sz="4" w:space="0"/>
              <w:left w:val="nil"/>
              <w:bottom w:val="single" w:color="auto" w:sz="4" w:space="0"/>
              <w:right w:val="single" w:color="000000" w:sz="4" w:space="0"/>
            </w:tcBorders>
            <w:shd w:val="clear"/>
            <w:vAlign w:val="center"/>
          </w:tcPr>
          <w:p w14:paraId="5FD9866A">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全年目标实际完成情况</w:t>
            </w:r>
          </w:p>
        </w:tc>
      </w:tr>
      <w:tr w14:paraId="1742E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054" w:hRule="atLeast"/>
          <w:jc w:val="center"/>
        </w:trPr>
        <w:tc>
          <w:tcPr>
            <w:tcW w:w="1082" w:type="dxa"/>
            <w:vMerge w:val="continue"/>
            <w:tcBorders>
              <w:top w:val="nil"/>
              <w:left w:val="single" w:color="auto" w:sz="4" w:space="0"/>
              <w:bottom w:val="single" w:color="auto" w:sz="4" w:space="0"/>
              <w:right w:val="single" w:color="auto" w:sz="4" w:space="0"/>
            </w:tcBorders>
            <w:shd w:val="clear"/>
            <w:vAlign w:val="center"/>
          </w:tcPr>
          <w:p w14:paraId="462B1D36">
            <w:pPr>
              <w:rPr>
                <w:rFonts w:hint="default" w:ascii="Times New Roman" w:hAnsi="Times New Roman" w:cs="Times New Roman"/>
                <w:sz w:val="20"/>
                <w:szCs w:val="20"/>
              </w:rPr>
            </w:pPr>
          </w:p>
        </w:tc>
        <w:tc>
          <w:tcPr>
            <w:tcW w:w="2954" w:type="dxa"/>
            <w:gridSpan w:val="7"/>
            <w:tcBorders>
              <w:top w:val="single" w:color="auto" w:sz="4" w:space="0"/>
              <w:left w:val="nil"/>
              <w:bottom w:val="single" w:color="auto" w:sz="4" w:space="0"/>
              <w:right w:val="single" w:color="000000" w:sz="4" w:space="0"/>
            </w:tcBorders>
            <w:shd w:val="clear"/>
            <w:vAlign w:val="center"/>
          </w:tcPr>
          <w:p w14:paraId="6C29530A">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乡镇污水处理设施正常运营、达标排放。</w:t>
            </w:r>
          </w:p>
        </w:tc>
        <w:tc>
          <w:tcPr>
            <w:tcW w:w="4031" w:type="dxa"/>
            <w:gridSpan w:val="4"/>
            <w:tcBorders>
              <w:top w:val="single" w:color="auto" w:sz="4" w:space="0"/>
              <w:left w:val="nil"/>
              <w:bottom w:val="single" w:color="auto" w:sz="4" w:space="0"/>
              <w:right w:val="single" w:color="000000" w:sz="4" w:space="0"/>
            </w:tcBorders>
            <w:shd w:val="clear"/>
            <w:vAlign w:val="center"/>
          </w:tcPr>
          <w:p w14:paraId="3366AEB7">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乡镇污水处理设施正常运营、达标排放。</w:t>
            </w:r>
          </w:p>
        </w:tc>
        <w:tc>
          <w:tcPr>
            <w:tcW w:w="3528" w:type="dxa"/>
            <w:gridSpan w:val="4"/>
            <w:tcBorders>
              <w:top w:val="single" w:color="auto" w:sz="4" w:space="0"/>
              <w:left w:val="nil"/>
              <w:bottom w:val="single" w:color="auto" w:sz="4" w:space="0"/>
              <w:right w:val="single" w:color="000000" w:sz="4" w:space="0"/>
            </w:tcBorders>
            <w:shd w:val="clear"/>
            <w:vAlign w:val="center"/>
          </w:tcPr>
          <w:p w14:paraId="2DF358CB">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乡镇污水处理设施正常运营、达标排放。</w:t>
            </w:r>
          </w:p>
        </w:tc>
      </w:tr>
      <w:tr w14:paraId="028D0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79" w:hRule="atLeast"/>
          <w:jc w:val="center"/>
        </w:trPr>
        <w:tc>
          <w:tcPr>
            <w:tcW w:w="1082" w:type="dxa"/>
            <w:vMerge w:val="restart"/>
            <w:tcBorders>
              <w:top w:val="nil"/>
              <w:left w:val="single" w:color="auto" w:sz="4" w:space="0"/>
              <w:bottom w:val="nil"/>
              <w:right w:val="single" w:color="auto" w:sz="4" w:space="0"/>
            </w:tcBorders>
            <w:shd w:val="clear"/>
            <w:vAlign w:val="center"/>
          </w:tcPr>
          <w:p w14:paraId="24BA6D13">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绩效指标</w:t>
            </w:r>
          </w:p>
        </w:tc>
        <w:tc>
          <w:tcPr>
            <w:tcW w:w="790" w:type="dxa"/>
            <w:tcBorders>
              <w:top w:val="nil"/>
              <w:left w:val="nil"/>
              <w:bottom w:val="single" w:color="auto" w:sz="4" w:space="0"/>
              <w:right w:val="nil"/>
            </w:tcBorders>
            <w:shd w:val="clear"/>
            <w:vAlign w:val="center"/>
          </w:tcPr>
          <w:p w14:paraId="03B738A9">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指标</w:t>
            </w:r>
          </w:p>
          <w:p w14:paraId="6B8456AD">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名称</w:t>
            </w:r>
          </w:p>
        </w:tc>
        <w:tc>
          <w:tcPr>
            <w:tcW w:w="536" w:type="dxa"/>
            <w:gridSpan w:val="2"/>
            <w:tcBorders>
              <w:top w:val="nil"/>
              <w:left w:val="single" w:color="auto" w:sz="4" w:space="0"/>
              <w:bottom w:val="single" w:color="auto" w:sz="4" w:space="0"/>
              <w:right w:val="single" w:color="auto" w:sz="4" w:space="0"/>
            </w:tcBorders>
            <w:shd w:val="clear"/>
            <w:vAlign w:val="center"/>
          </w:tcPr>
          <w:p w14:paraId="335797F8">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计量</w:t>
            </w:r>
          </w:p>
          <w:p w14:paraId="1C572D31">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单位</w:t>
            </w:r>
          </w:p>
        </w:tc>
        <w:tc>
          <w:tcPr>
            <w:tcW w:w="536" w:type="dxa"/>
            <w:gridSpan w:val="2"/>
            <w:tcBorders>
              <w:top w:val="nil"/>
              <w:left w:val="nil"/>
              <w:bottom w:val="single" w:color="auto" w:sz="4" w:space="0"/>
              <w:right w:val="single" w:color="auto" w:sz="4" w:space="0"/>
            </w:tcBorders>
            <w:shd w:val="clear"/>
            <w:vAlign w:val="center"/>
          </w:tcPr>
          <w:p w14:paraId="0B220C86">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指标</w:t>
            </w:r>
          </w:p>
          <w:p w14:paraId="26AC9927">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性质</w:t>
            </w:r>
          </w:p>
        </w:tc>
        <w:tc>
          <w:tcPr>
            <w:tcW w:w="1365" w:type="dxa"/>
            <w:gridSpan w:val="3"/>
            <w:tcBorders>
              <w:top w:val="nil"/>
              <w:left w:val="nil"/>
              <w:bottom w:val="single" w:color="auto" w:sz="4" w:space="0"/>
              <w:right w:val="single" w:color="auto" w:sz="4" w:space="0"/>
            </w:tcBorders>
            <w:shd w:val="clear"/>
            <w:vAlign w:val="center"/>
          </w:tcPr>
          <w:p w14:paraId="1BEE59CE">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年初</w:t>
            </w:r>
          </w:p>
          <w:p w14:paraId="12366225">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指标</w:t>
            </w:r>
          </w:p>
          <w:p w14:paraId="5CB153FA">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值</w:t>
            </w:r>
          </w:p>
        </w:tc>
        <w:tc>
          <w:tcPr>
            <w:tcW w:w="1365" w:type="dxa"/>
            <w:tcBorders>
              <w:top w:val="nil"/>
              <w:left w:val="nil"/>
              <w:bottom w:val="single" w:color="auto" w:sz="4" w:space="0"/>
              <w:right w:val="single" w:color="auto" w:sz="4" w:space="0"/>
            </w:tcBorders>
            <w:shd w:val="clear"/>
            <w:vAlign w:val="center"/>
          </w:tcPr>
          <w:p w14:paraId="68CC3929">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调整</w:t>
            </w:r>
          </w:p>
          <w:p w14:paraId="3FE61A4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指标</w:t>
            </w:r>
          </w:p>
          <w:p w14:paraId="55341A3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值</w:t>
            </w:r>
          </w:p>
        </w:tc>
        <w:tc>
          <w:tcPr>
            <w:tcW w:w="1365" w:type="dxa"/>
            <w:tcBorders>
              <w:top w:val="nil"/>
              <w:left w:val="nil"/>
              <w:bottom w:val="single" w:color="auto" w:sz="4" w:space="0"/>
              <w:right w:val="single" w:color="auto" w:sz="4" w:space="0"/>
            </w:tcBorders>
            <w:shd w:val="clear"/>
            <w:vAlign w:val="center"/>
          </w:tcPr>
          <w:p w14:paraId="58907A05">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全年</w:t>
            </w:r>
          </w:p>
          <w:p w14:paraId="22F17098">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完成值</w:t>
            </w:r>
          </w:p>
        </w:tc>
        <w:tc>
          <w:tcPr>
            <w:tcW w:w="1028" w:type="dxa"/>
            <w:tcBorders>
              <w:top w:val="nil"/>
              <w:left w:val="nil"/>
              <w:bottom w:val="single" w:color="auto" w:sz="4" w:space="0"/>
              <w:right w:val="single" w:color="auto" w:sz="4" w:space="0"/>
            </w:tcBorders>
            <w:shd w:val="clear"/>
            <w:vAlign w:val="center"/>
          </w:tcPr>
          <w:p w14:paraId="43828EA2">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得分</w:t>
            </w:r>
          </w:p>
          <w:p w14:paraId="0F21BF85">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系数</w:t>
            </w:r>
          </w:p>
          <w:p w14:paraId="4FB25378">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w:t>
            </w:r>
            <w:r>
              <w:rPr>
                <w:rFonts w:hint="eastAsia" w:ascii="方正仿宋_GBK" w:hAnsi="方正仿宋_GBK" w:eastAsia="方正仿宋_GBK" w:cs="方正仿宋_GBK"/>
                <w:color w:val="000000"/>
                <w:sz w:val="28"/>
                <w:szCs w:val="28"/>
                <w:bdr w:val="none" w:color="auto" w:sz="0" w:space="0"/>
                <w:lang w:val="en-US"/>
              </w:rPr>
              <w:t>%</w:t>
            </w:r>
            <w:r>
              <w:rPr>
                <w:rFonts w:ascii="方正仿宋_GBK" w:hAnsi="方正仿宋_GBK"/>
                <w:color w:val="000000"/>
                <w:sz w:val="28"/>
                <w:szCs w:val="28"/>
                <w:bdr w:val="none" w:color="auto" w:sz="0" w:space="0"/>
              </w:rPr>
              <w:t>）</w:t>
            </w:r>
          </w:p>
        </w:tc>
        <w:tc>
          <w:tcPr>
            <w:tcW w:w="1176" w:type="dxa"/>
            <w:gridSpan w:val="2"/>
            <w:tcBorders>
              <w:top w:val="nil"/>
              <w:left w:val="nil"/>
              <w:bottom w:val="single" w:color="auto" w:sz="4" w:space="0"/>
              <w:right w:val="single" w:color="auto" w:sz="4" w:space="0"/>
            </w:tcBorders>
            <w:shd w:val="clear"/>
            <w:vAlign w:val="center"/>
          </w:tcPr>
          <w:p w14:paraId="3C06C91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指标</w:t>
            </w:r>
          </w:p>
          <w:p w14:paraId="6D76D88D">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权重</w:t>
            </w:r>
          </w:p>
          <w:p w14:paraId="78DAC573">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（分）</w:t>
            </w:r>
          </w:p>
        </w:tc>
        <w:tc>
          <w:tcPr>
            <w:tcW w:w="1176" w:type="dxa"/>
            <w:tcBorders>
              <w:top w:val="nil"/>
              <w:left w:val="nil"/>
              <w:bottom w:val="single" w:color="auto" w:sz="4" w:space="0"/>
              <w:right w:val="single" w:color="auto" w:sz="4" w:space="0"/>
            </w:tcBorders>
            <w:shd w:val="clear"/>
            <w:vAlign w:val="center"/>
          </w:tcPr>
          <w:p w14:paraId="603CAD68">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指标得分</w:t>
            </w:r>
          </w:p>
          <w:p w14:paraId="722AD4BE">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（分）</w:t>
            </w:r>
          </w:p>
        </w:tc>
        <w:tc>
          <w:tcPr>
            <w:tcW w:w="1176" w:type="dxa"/>
            <w:tcBorders>
              <w:top w:val="nil"/>
              <w:left w:val="nil"/>
              <w:bottom w:val="single" w:color="auto" w:sz="4" w:space="0"/>
              <w:right w:val="single" w:color="auto" w:sz="4" w:space="0"/>
            </w:tcBorders>
            <w:shd w:val="clear"/>
            <w:vAlign w:val="center"/>
          </w:tcPr>
          <w:p w14:paraId="40EFA180">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是否核心</w:t>
            </w:r>
          </w:p>
          <w:p w14:paraId="4F2BA400">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指标</w:t>
            </w:r>
          </w:p>
        </w:tc>
      </w:tr>
      <w:tr w14:paraId="417F5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06" w:hRule="atLeast"/>
          <w:jc w:val="center"/>
        </w:trPr>
        <w:tc>
          <w:tcPr>
            <w:tcW w:w="1082" w:type="dxa"/>
            <w:vMerge w:val="continue"/>
            <w:tcBorders>
              <w:top w:val="nil"/>
              <w:left w:val="single" w:color="auto" w:sz="4" w:space="0"/>
              <w:bottom w:val="nil"/>
              <w:right w:val="single" w:color="auto" w:sz="4" w:space="0"/>
            </w:tcBorders>
            <w:shd w:val="clear"/>
            <w:vAlign w:val="center"/>
          </w:tcPr>
          <w:p w14:paraId="2FD5E501">
            <w:pPr>
              <w:rPr>
                <w:rFonts w:hint="default" w:ascii="Times New Roman" w:hAnsi="Times New Roman" w:cs="Times New Roman"/>
                <w:sz w:val="20"/>
                <w:szCs w:val="20"/>
              </w:rPr>
            </w:pPr>
          </w:p>
        </w:tc>
        <w:tc>
          <w:tcPr>
            <w:tcW w:w="790" w:type="dxa"/>
            <w:tcBorders>
              <w:top w:val="nil"/>
              <w:left w:val="nil"/>
              <w:bottom w:val="single" w:color="auto" w:sz="4" w:space="0"/>
              <w:right w:val="nil"/>
            </w:tcBorders>
            <w:shd w:val="clear"/>
            <w:vAlign w:val="center"/>
          </w:tcPr>
          <w:p w14:paraId="7573C4D9">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处理污水量</w:t>
            </w:r>
          </w:p>
        </w:tc>
        <w:tc>
          <w:tcPr>
            <w:tcW w:w="536" w:type="dxa"/>
            <w:gridSpan w:val="2"/>
            <w:tcBorders>
              <w:top w:val="nil"/>
              <w:left w:val="single" w:color="auto" w:sz="4" w:space="0"/>
              <w:bottom w:val="single" w:color="auto" w:sz="4" w:space="0"/>
              <w:right w:val="nil"/>
            </w:tcBorders>
            <w:shd w:val="clear"/>
            <w:vAlign w:val="center"/>
          </w:tcPr>
          <w:p w14:paraId="09A2D793">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立方米</w:t>
            </w:r>
          </w:p>
        </w:tc>
        <w:tc>
          <w:tcPr>
            <w:tcW w:w="536" w:type="dxa"/>
            <w:gridSpan w:val="2"/>
            <w:tcBorders>
              <w:top w:val="nil"/>
              <w:left w:val="single" w:color="auto" w:sz="4" w:space="0"/>
              <w:bottom w:val="single" w:color="auto" w:sz="4" w:space="0"/>
              <w:right w:val="nil"/>
            </w:tcBorders>
            <w:shd w:val="clear"/>
            <w:vAlign w:val="center"/>
          </w:tcPr>
          <w:p w14:paraId="2BB03C9F">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1365" w:type="dxa"/>
            <w:gridSpan w:val="3"/>
            <w:tcBorders>
              <w:top w:val="nil"/>
              <w:left w:val="single" w:color="auto" w:sz="4" w:space="0"/>
              <w:bottom w:val="single" w:color="auto" w:sz="4" w:space="0"/>
              <w:right w:val="nil"/>
            </w:tcBorders>
            <w:shd w:val="clear"/>
            <w:vAlign w:val="center"/>
          </w:tcPr>
          <w:p w14:paraId="6EEF9502">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1702552</w:t>
            </w:r>
          </w:p>
        </w:tc>
        <w:tc>
          <w:tcPr>
            <w:tcW w:w="1365" w:type="dxa"/>
            <w:tcBorders>
              <w:top w:val="nil"/>
              <w:left w:val="single" w:color="auto" w:sz="4" w:space="0"/>
              <w:bottom w:val="single" w:color="auto" w:sz="4" w:space="0"/>
              <w:right w:val="nil"/>
            </w:tcBorders>
            <w:shd w:val="clear"/>
            <w:vAlign w:val="center"/>
          </w:tcPr>
          <w:p w14:paraId="761DC3FB">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1702552</w:t>
            </w:r>
          </w:p>
        </w:tc>
        <w:tc>
          <w:tcPr>
            <w:tcW w:w="1365" w:type="dxa"/>
            <w:tcBorders>
              <w:top w:val="nil"/>
              <w:left w:val="single" w:color="auto" w:sz="4" w:space="0"/>
              <w:bottom w:val="single" w:color="auto" w:sz="4" w:space="0"/>
              <w:right w:val="nil"/>
            </w:tcBorders>
            <w:shd w:val="clear"/>
            <w:vAlign w:val="center"/>
          </w:tcPr>
          <w:p w14:paraId="3A11559B">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1702552</w:t>
            </w:r>
          </w:p>
        </w:tc>
        <w:tc>
          <w:tcPr>
            <w:tcW w:w="1028" w:type="dxa"/>
            <w:tcBorders>
              <w:top w:val="nil"/>
              <w:left w:val="single" w:color="auto" w:sz="4" w:space="0"/>
              <w:bottom w:val="single" w:color="auto" w:sz="4" w:space="0"/>
              <w:right w:val="nil"/>
            </w:tcBorders>
            <w:shd w:val="clear"/>
            <w:vAlign w:val="center"/>
          </w:tcPr>
          <w:p w14:paraId="3A1BBB21">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176" w:type="dxa"/>
            <w:gridSpan w:val="2"/>
            <w:tcBorders>
              <w:top w:val="nil"/>
              <w:left w:val="single" w:color="auto" w:sz="4" w:space="0"/>
              <w:bottom w:val="single" w:color="auto" w:sz="4" w:space="0"/>
              <w:right w:val="nil"/>
            </w:tcBorders>
            <w:shd w:val="clear"/>
            <w:vAlign w:val="center"/>
          </w:tcPr>
          <w:p w14:paraId="4D413591">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20</w:t>
            </w:r>
          </w:p>
        </w:tc>
        <w:tc>
          <w:tcPr>
            <w:tcW w:w="1176" w:type="dxa"/>
            <w:tcBorders>
              <w:top w:val="nil"/>
              <w:left w:val="single" w:color="auto" w:sz="4" w:space="0"/>
              <w:bottom w:val="single" w:color="auto" w:sz="4" w:space="0"/>
              <w:right w:val="nil"/>
            </w:tcBorders>
            <w:shd w:val="clear"/>
            <w:vAlign w:val="center"/>
          </w:tcPr>
          <w:p w14:paraId="02AB1601">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20</w:t>
            </w:r>
          </w:p>
        </w:tc>
        <w:tc>
          <w:tcPr>
            <w:tcW w:w="1176" w:type="dxa"/>
            <w:tcBorders>
              <w:top w:val="nil"/>
              <w:left w:val="single" w:color="auto" w:sz="4" w:space="0"/>
              <w:bottom w:val="single" w:color="auto" w:sz="4" w:space="0"/>
              <w:right w:val="single" w:color="auto" w:sz="4" w:space="0"/>
            </w:tcBorders>
            <w:shd w:val="clear"/>
            <w:vAlign w:val="center"/>
          </w:tcPr>
          <w:p w14:paraId="71E0CA10">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是</w:t>
            </w:r>
          </w:p>
        </w:tc>
      </w:tr>
      <w:tr w14:paraId="768F3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1082" w:type="dxa"/>
            <w:vMerge w:val="continue"/>
            <w:tcBorders>
              <w:top w:val="nil"/>
              <w:left w:val="single" w:color="auto" w:sz="4" w:space="0"/>
              <w:bottom w:val="nil"/>
              <w:right w:val="single" w:color="auto" w:sz="4" w:space="0"/>
            </w:tcBorders>
            <w:shd w:val="clear"/>
            <w:vAlign w:val="center"/>
          </w:tcPr>
          <w:p w14:paraId="6A860670">
            <w:pPr>
              <w:rPr>
                <w:rFonts w:hint="default" w:ascii="Times New Roman" w:hAnsi="Times New Roman" w:cs="Times New Roman"/>
                <w:sz w:val="20"/>
                <w:szCs w:val="20"/>
              </w:rPr>
            </w:pPr>
          </w:p>
        </w:tc>
        <w:tc>
          <w:tcPr>
            <w:tcW w:w="790" w:type="dxa"/>
            <w:tcBorders>
              <w:top w:val="nil"/>
              <w:left w:val="nil"/>
              <w:bottom w:val="single" w:color="auto" w:sz="4" w:space="0"/>
              <w:right w:val="nil"/>
            </w:tcBorders>
            <w:shd w:val="clear"/>
            <w:vAlign w:val="center"/>
          </w:tcPr>
          <w:p w14:paraId="1E1D1154">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污水处理厂技改</w:t>
            </w:r>
          </w:p>
        </w:tc>
        <w:tc>
          <w:tcPr>
            <w:tcW w:w="536" w:type="dxa"/>
            <w:gridSpan w:val="2"/>
            <w:tcBorders>
              <w:top w:val="nil"/>
              <w:left w:val="single" w:color="auto" w:sz="4" w:space="0"/>
              <w:bottom w:val="single" w:color="auto" w:sz="4" w:space="0"/>
              <w:right w:val="nil"/>
            </w:tcBorders>
            <w:shd w:val="clear"/>
            <w:vAlign w:val="center"/>
          </w:tcPr>
          <w:p w14:paraId="4D445D83">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座</w:t>
            </w:r>
          </w:p>
        </w:tc>
        <w:tc>
          <w:tcPr>
            <w:tcW w:w="536" w:type="dxa"/>
            <w:gridSpan w:val="2"/>
            <w:tcBorders>
              <w:top w:val="nil"/>
              <w:left w:val="single" w:color="auto" w:sz="4" w:space="0"/>
              <w:bottom w:val="single" w:color="auto" w:sz="4" w:space="0"/>
              <w:right w:val="nil"/>
            </w:tcBorders>
            <w:shd w:val="clear"/>
            <w:vAlign w:val="center"/>
          </w:tcPr>
          <w:p w14:paraId="140687E3">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1365" w:type="dxa"/>
            <w:gridSpan w:val="3"/>
            <w:tcBorders>
              <w:top w:val="nil"/>
              <w:left w:val="single" w:color="auto" w:sz="4" w:space="0"/>
              <w:bottom w:val="single" w:color="auto" w:sz="4" w:space="0"/>
              <w:right w:val="nil"/>
            </w:tcBorders>
            <w:shd w:val="clear"/>
            <w:vAlign w:val="center"/>
          </w:tcPr>
          <w:p w14:paraId="25182A5B">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 xml:space="preserve"> 16</w:t>
            </w:r>
          </w:p>
        </w:tc>
        <w:tc>
          <w:tcPr>
            <w:tcW w:w="1365" w:type="dxa"/>
            <w:tcBorders>
              <w:top w:val="nil"/>
              <w:left w:val="single" w:color="auto" w:sz="4" w:space="0"/>
              <w:bottom w:val="single" w:color="auto" w:sz="4" w:space="0"/>
              <w:right w:val="nil"/>
            </w:tcBorders>
            <w:shd w:val="clear"/>
            <w:vAlign w:val="center"/>
          </w:tcPr>
          <w:p w14:paraId="5930ECCE">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16</w:t>
            </w:r>
          </w:p>
        </w:tc>
        <w:tc>
          <w:tcPr>
            <w:tcW w:w="1365" w:type="dxa"/>
            <w:tcBorders>
              <w:top w:val="nil"/>
              <w:left w:val="single" w:color="auto" w:sz="4" w:space="0"/>
              <w:bottom w:val="single" w:color="auto" w:sz="4" w:space="0"/>
              <w:right w:val="nil"/>
            </w:tcBorders>
            <w:shd w:val="clear"/>
            <w:vAlign w:val="center"/>
          </w:tcPr>
          <w:p w14:paraId="0E98A6FD">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16</w:t>
            </w:r>
          </w:p>
        </w:tc>
        <w:tc>
          <w:tcPr>
            <w:tcW w:w="1028" w:type="dxa"/>
            <w:tcBorders>
              <w:top w:val="nil"/>
              <w:left w:val="single" w:color="auto" w:sz="4" w:space="0"/>
              <w:bottom w:val="single" w:color="auto" w:sz="4" w:space="0"/>
              <w:right w:val="nil"/>
            </w:tcBorders>
            <w:shd w:val="clear"/>
            <w:vAlign w:val="center"/>
          </w:tcPr>
          <w:p w14:paraId="7DD93894">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176" w:type="dxa"/>
            <w:gridSpan w:val="2"/>
            <w:tcBorders>
              <w:top w:val="nil"/>
              <w:left w:val="single" w:color="auto" w:sz="4" w:space="0"/>
              <w:bottom w:val="single" w:color="auto" w:sz="4" w:space="0"/>
              <w:right w:val="nil"/>
            </w:tcBorders>
            <w:shd w:val="clear"/>
            <w:vAlign w:val="center"/>
          </w:tcPr>
          <w:p w14:paraId="21063D30">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20</w:t>
            </w:r>
          </w:p>
        </w:tc>
        <w:tc>
          <w:tcPr>
            <w:tcW w:w="1176" w:type="dxa"/>
            <w:tcBorders>
              <w:top w:val="nil"/>
              <w:left w:val="single" w:color="auto" w:sz="4" w:space="0"/>
              <w:bottom w:val="single" w:color="auto" w:sz="4" w:space="0"/>
              <w:right w:val="nil"/>
            </w:tcBorders>
            <w:shd w:val="clear"/>
            <w:vAlign w:val="center"/>
          </w:tcPr>
          <w:p w14:paraId="6D7C36D8">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20</w:t>
            </w:r>
          </w:p>
        </w:tc>
        <w:tc>
          <w:tcPr>
            <w:tcW w:w="1176" w:type="dxa"/>
            <w:tcBorders>
              <w:top w:val="nil"/>
              <w:left w:val="single" w:color="auto" w:sz="4" w:space="0"/>
              <w:bottom w:val="single" w:color="auto" w:sz="4" w:space="0"/>
              <w:right w:val="single" w:color="auto" w:sz="4" w:space="0"/>
            </w:tcBorders>
            <w:shd w:val="clear"/>
            <w:vAlign w:val="center"/>
          </w:tcPr>
          <w:p w14:paraId="3CD9F584">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是</w:t>
            </w:r>
          </w:p>
        </w:tc>
      </w:tr>
      <w:tr w14:paraId="22986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1082" w:type="dxa"/>
            <w:vMerge w:val="continue"/>
            <w:tcBorders>
              <w:top w:val="nil"/>
              <w:left w:val="single" w:color="auto" w:sz="4" w:space="0"/>
              <w:bottom w:val="nil"/>
              <w:right w:val="single" w:color="auto" w:sz="4" w:space="0"/>
            </w:tcBorders>
            <w:shd w:val="clear"/>
            <w:vAlign w:val="center"/>
          </w:tcPr>
          <w:p w14:paraId="7502C77C">
            <w:pPr>
              <w:rPr>
                <w:rFonts w:hint="default" w:ascii="Times New Roman" w:hAnsi="Times New Roman" w:cs="Times New Roman"/>
                <w:sz w:val="20"/>
                <w:szCs w:val="20"/>
              </w:rPr>
            </w:pPr>
          </w:p>
        </w:tc>
        <w:tc>
          <w:tcPr>
            <w:tcW w:w="790" w:type="dxa"/>
            <w:tcBorders>
              <w:top w:val="nil"/>
              <w:left w:val="nil"/>
              <w:bottom w:val="single" w:color="auto" w:sz="4" w:space="0"/>
              <w:right w:val="nil"/>
            </w:tcBorders>
            <w:shd w:val="clear"/>
            <w:vAlign w:val="center"/>
          </w:tcPr>
          <w:p w14:paraId="6B56DC7A">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设施运行率</w:t>
            </w:r>
          </w:p>
        </w:tc>
        <w:tc>
          <w:tcPr>
            <w:tcW w:w="536" w:type="dxa"/>
            <w:gridSpan w:val="2"/>
            <w:tcBorders>
              <w:top w:val="nil"/>
              <w:left w:val="single" w:color="auto" w:sz="4" w:space="0"/>
              <w:bottom w:val="single" w:color="auto" w:sz="4" w:space="0"/>
              <w:right w:val="nil"/>
            </w:tcBorders>
            <w:shd w:val="clear"/>
            <w:vAlign w:val="center"/>
          </w:tcPr>
          <w:p w14:paraId="7CF03DBF">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536" w:type="dxa"/>
            <w:gridSpan w:val="2"/>
            <w:tcBorders>
              <w:top w:val="nil"/>
              <w:left w:val="single" w:color="auto" w:sz="4" w:space="0"/>
              <w:bottom w:val="single" w:color="auto" w:sz="4" w:space="0"/>
              <w:right w:val="nil"/>
            </w:tcBorders>
            <w:shd w:val="clear"/>
            <w:vAlign w:val="center"/>
          </w:tcPr>
          <w:p w14:paraId="06EDA4E7">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1365" w:type="dxa"/>
            <w:gridSpan w:val="3"/>
            <w:tcBorders>
              <w:top w:val="nil"/>
              <w:left w:val="single" w:color="auto" w:sz="4" w:space="0"/>
              <w:bottom w:val="single" w:color="auto" w:sz="4" w:space="0"/>
              <w:right w:val="nil"/>
            </w:tcBorders>
            <w:shd w:val="clear"/>
            <w:vAlign w:val="center"/>
          </w:tcPr>
          <w:p w14:paraId="396B5880">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 xml:space="preserve"> 100</w:t>
            </w:r>
          </w:p>
        </w:tc>
        <w:tc>
          <w:tcPr>
            <w:tcW w:w="1365" w:type="dxa"/>
            <w:tcBorders>
              <w:top w:val="nil"/>
              <w:left w:val="single" w:color="auto" w:sz="4" w:space="0"/>
              <w:bottom w:val="single" w:color="auto" w:sz="4" w:space="0"/>
              <w:right w:val="nil"/>
            </w:tcBorders>
            <w:shd w:val="clear"/>
            <w:vAlign w:val="center"/>
          </w:tcPr>
          <w:p w14:paraId="00A43B01">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365" w:type="dxa"/>
            <w:tcBorders>
              <w:top w:val="nil"/>
              <w:left w:val="single" w:color="auto" w:sz="4" w:space="0"/>
              <w:bottom w:val="single" w:color="auto" w:sz="4" w:space="0"/>
              <w:right w:val="nil"/>
            </w:tcBorders>
            <w:shd w:val="clear"/>
            <w:vAlign w:val="center"/>
          </w:tcPr>
          <w:p w14:paraId="3BA9E078">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028" w:type="dxa"/>
            <w:tcBorders>
              <w:top w:val="nil"/>
              <w:left w:val="single" w:color="auto" w:sz="4" w:space="0"/>
              <w:bottom w:val="single" w:color="auto" w:sz="4" w:space="0"/>
              <w:right w:val="nil"/>
            </w:tcBorders>
            <w:shd w:val="clear"/>
            <w:vAlign w:val="center"/>
          </w:tcPr>
          <w:p w14:paraId="3B61607E">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176" w:type="dxa"/>
            <w:gridSpan w:val="2"/>
            <w:tcBorders>
              <w:top w:val="nil"/>
              <w:left w:val="single" w:color="auto" w:sz="4" w:space="0"/>
              <w:bottom w:val="single" w:color="auto" w:sz="4" w:space="0"/>
              <w:right w:val="nil"/>
            </w:tcBorders>
            <w:shd w:val="clear"/>
            <w:vAlign w:val="center"/>
          </w:tcPr>
          <w:p w14:paraId="240A9D7A">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15</w:t>
            </w:r>
          </w:p>
        </w:tc>
        <w:tc>
          <w:tcPr>
            <w:tcW w:w="1176" w:type="dxa"/>
            <w:tcBorders>
              <w:top w:val="nil"/>
              <w:left w:val="single" w:color="auto" w:sz="4" w:space="0"/>
              <w:bottom w:val="single" w:color="auto" w:sz="4" w:space="0"/>
              <w:right w:val="nil"/>
            </w:tcBorders>
            <w:shd w:val="clear"/>
            <w:vAlign w:val="center"/>
          </w:tcPr>
          <w:p w14:paraId="6644BAEF">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15</w:t>
            </w:r>
          </w:p>
        </w:tc>
        <w:tc>
          <w:tcPr>
            <w:tcW w:w="1176" w:type="dxa"/>
            <w:tcBorders>
              <w:top w:val="nil"/>
              <w:left w:val="single" w:color="auto" w:sz="4" w:space="0"/>
              <w:bottom w:val="single" w:color="auto" w:sz="4" w:space="0"/>
              <w:right w:val="single" w:color="auto" w:sz="4" w:space="0"/>
            </w:tcBorders>
            <w:shd w:val="clear"/>
            <w:vAlign w:val="center"/>
          </w:tcPr>
          <w:p w14:paraId="683BCF78">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是</w:t>
            </w:r>
          </w:p>
        </w:tc>
      </w:tr>
      <w:tr w14:paraId="48083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805" w:hRule="atLeast"/>
          <w:jc w:val="center"/>
        </w:trPr>
        <w:tc>
          <w:tcPr>
            <w:tcW w:w="1082" w:type="dxa"/>
            <w:vMerge w:val="continue"/>
            <w:tcBorders>
              <w:top w:val="nil"/>
              <w:left w:val="single" w:color="auto" w:sz="4" w:space="0"/>
              <w:bottom w:val="nil"/>
              <w:right w:val="single" w:color="auto" w:sz="4" w:space="0"/>
            </w:tcBorders>
            <w:shd w:val="clear"/>
            <w:vAlign w:val="center"/>
          </w:tcPr>
          <w:p w14:paraId="5E2741EA">
            <w:pPr>
              <w:rPr>
                <w:rFonts w:hint="default" w:ascii="Times New Roman" w:hAnsi="Times New Roman" w:cs="Times New Roman"/>
                <w:sz w:val="20"/>
                <w:szCs w:val="20"/>
              </w:rPr>
            </w:pPr>
          </w:p>
        </w:tc>
        <w:tc>
          <w:tcPr>
            <w:tcW w:w="790" w:type="dxa"/>
            <w:tcBorders>
              <w:top w:val="nil"/>
              <w:left w:val="nil"/>
              <w:bottom w:val="single" w:color="auto" w:sz="4" w:space="0"/>
              <w:right w:val="nil"/>
            </w:tcBorders>
            <w:shd w:val="clear"/>
            <w:vAlign w:val="center"/>
          </w:tcPr>
          <w:p w14:paraId="7F087B7B">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故障排除及时率</w:t>
            </w:r>
          </w:p>
        </w:tc>
        <w:tc>
          <w:tcPr>
            <w:tcW w:w="536" w:type="dxa"/>
            <w:gridSpan w:val="2"/>
            <w:tcBorders>
              <w:top w:val="nil"/>
              <w:left w:val="single" w:color="auto" w:sz="4" w:space="0"/>
              <w:bottom w:val="single" w:color="auto" w:sz="4" w:space="0"/>
              <w:right w:val="nil"/>
            </w:tcBorders>
            <w:shd w:val="clear"/>
            <w:vAlign w:val="center"/>
          </w:tcPr>
          <w:p w14:paraId="7B97B253">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536" w:type="dxa"/>
            <w:gridSpan w:val="2"/>
            <w:tcBorders>
              <w:top w:val="nil"/>
              <w:left w:val="single" w:color="auto" w:sz="4" w:space="0"/>
              <w:bottom w:val="single" w:color="auto" w:sz="4" w:space="0"/>
              <w:right w:val="nil"/>
            </w:tcBorders>
            <w:shd w:val="clear"/>
            <w:vAlign w:val="center"/>
          </w:tcPr>
          <w:p w14:paraId="4E007C36">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1365" w:type="dxa"/>
            <w:gridSpan w:val="3"/>
            <w:tcBorders>
              <w:top w:val="nil"/>
              <w:left w:val="single" w:color="auto" w:sz="4" w:space="0"/>
              <w:bottom w:val="single" w:color="auto" w:sz="4" w:space="0"/>
              <w:right w:val="nil"/>
            </w:tcBorders>
            <w:shd w:val="clear"/>
            <w:vAlign w:val="center"/>
          </w:tcPr>
          <w:p w14:paraId="5CC5B407">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 xml:space="preserve"> 99</w:t>
            </w:r>
          </w:p>
        </w:tc>
        <w:tc>
          <w:tcPr>
            <w:tcW w:w="1365" w:type="dxa"/>
            <w:tcBorders>
              <w:top w:val="nil"/>
              <w:left w:val="single" w:color="auto" w:sz="4" w:space="0"/>
              <w:bottom w:val="single" w:color="auto" w:sz="4" w:space="0"/>
              <w:right w:val="nil"/>
            </w:tcBorders>
            <w:shd w:val="clear"/>
            <w:vAlign w:val="center"/>
          </w:tcPr>
          <w:p w14:paraId="5FA1EF3F">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99</w:t>
            </w:r>
          </w:p>
        </w:tc>
        <w:tc>
          <w:tcPr>
            <w:tcW w:w="1365" w:type="dxa"/>
            <w:tcBorders>
              <w:top w:val="nil"/>
              <w:left w:val="single" w:color="auto" w:sz="4" w:space="0"/>
              <w:bottom w:val="single" w:color="auto" w:sz="4" w:space="0"/>
              <w:right w:val="nil"/>
            </w:tcBorders>
            <w:shd w:val="clear"/>
            <w:vAlign w:val="center"/>
          </w:tcPr>
          <w:p w14:paraId="639234F1">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99</w:t>
            </w:r>
          </w:p>
        </w:tc>
        <w:tc>
          <w:tcPr>
            <w:tcW w:w="1028" w:type="dxa"/>
            <w:tcBorders>
              <w:top w:val="nil"/>
              <w:left w:val="single" w:color="auto" w:sz="4" w:space="0"/>
              <w:bottom w:val="single" w:color="auto" w:sz="4" w:space="0"/>
              <w:right w:val="nil"/>
            </w:tcBorders>
            <w:shd w:val="clear"/>
            <w:vAlign w:val="center"/>
          </w:tcPr>
          <w:p w14:paraId="0E30B371">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176" w:type="dxa"/>
            <w:gridSpan w:val="2"/>
            <w:tcBorders>
              <w:top w:val="nil"/>
              <w:left w:val="single" w:color="auto" w:sz="4" w:space="0"/>
              <w:bottom w:val="single" w:color="auto" w:sz="4" w:space="0"/>
              <w:right w:val="nil"/>
            </w:tcBorders>
            <w:shd w:val="clear"/>
            <w:vAlign w:val="center"/>
          </w:tcPr>
          <w:p w14:paraId="63555433">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15</w:t>
            </w:r>
          </w:p>
        </w:tc>
        <w:tc>
          <w:tcPr>
            <w:tcW w:w="1176" w:type="dxa"/>
            <w:tcBorders>
              <w:top w:val="nil"/>
              <w:left w:val="single" w:color="auto" w:sz="4" w:space="0"/>
              <w:bottom w:val="single" w:color="auto" w:sz="4" w:space="0"/>
              <w:right w:val="nil"/>
            </w:tcBorders>
            <w:shd w:val="clear"/>
            <w:vAlign w:val="center"/>
          </w:tcPr>
          <w:p w14:paraId="1D61A190">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15</w:t>
            </w:r>
          </w:p>
        </w:tc>
        <w:tc>
          <w:tcPr>
            <w:tcW w:w="1176" w:type="dxa"/>
            <w:tcBorders>
              <w:top w:val="nil"/>
              <w:left w:val="single" w:color="auto" w:sz="4" w:space="0"/>
              <w:bottom w:val="single" w:color="auto" w:sz="4" w:space="0"/>
              <w:right w:val="single" w:color="auto" w:sz="4" w:space="0"/>
            </w:tcBorders>
            <w:shd w:val="clear"/>
            <w:vAlign w:val="center"/>
          </w:tcPr>
          <w:p w14:paraId="68FCD252">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是</w:t>
            </w:r>
          </w:p>
        </w:tc>
      </w:tr>
      <w:tr w14:paraId="605A5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17" w:hRule="atLeast"/>
          <w:jc w:val="center"/>
        </w:trPr>
        <w:tc>
          <w:tcPr>
            <w:tcW w:w="1082" w:type="dxa"/>
            <w:vMerge w:val="continue"/>
            <w:tcBorders>
              <w:top w:val="nil"/>
              <w:left w:val="single" w:color="auto" w:sz="4" w:space="0"/>
              <w:bottom w:val="nil"/>
              <w:right w:val="single" w:color="auto" w:sz="4" w:space="0"/>
            </w:tcBorders>
            <w:shd w:val="clear"/>
            <w:vAlign w:val="center"/>
          </w:tcPr>
          <w:p w14:paraId="76E20C62">
            <w:pPr>
              <w:rPr>
                <w:rFonts w:hint="default" w:ascii="Times New Roman" w:hAnsi="Times New Roman" w:cs="Times New Roman"/>
                <w:sz w:val="20"/>
                <w:szCs w:val="20"/>
              </w:rPr>
            </w:pPr>
          </w:p>
        </w:tc>
        <w:tc>
          <w:tcPr>
            <w:tcW w:w="790" w:type="dxa"/>
            <w:tcBorders>
              <w:top w:val="nil"/>
              <w:left w:val="nil"/>
              <w:bottom w:val="single" w:color="auto" w:sz="4" w:space="0"/>
              <w:right w:val="nil"/>
            </w:tcBorders>
            <w:shd w:val="clear"/>
            <w:vAlign w:val="center"/>
          </w:tcPr>
          <w:p w14:paraId="0CF2F249">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污水处理达标率</w:t>
            </w:r>
          </w:p>
        </w:tc>
        <w:tc>
          <w:tcPr>
            <w:tcW w:w="536" w:type="dxa"/>
            <w:gridSpan w:val="2"/>
            <w:tcBorders>
              <w:top w:val="nil"/>
              <w:left w:val="single" w:color="auto" w:sz="4" w:space="0"/>
              <w:bottom w:val="single" w:color="auto" w:sz="4" w:space="0"/>
              <w:right w:val="nil"/>
            </w:tcBorders>
            <w:shd w:val="clear"/>
            <w:vAlign w:val="center"/>
          </w:tcPr>
          <w:p w14:paraId="337A3C56">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536" w:type="dxa"/>
            <w:gridSpan w:val="2"/>
            <w:tcBorders>
              <w:top w:val="nil"/>
              <w:left w:val="single" w:color="auto" w:sz="4" w:space="0"/>
              <w:bottom w:val="single" w:color="auto" w:sz="4" w:space="0"/>
              <w:right w:val="nil"/>
            </w:tcBorders>
            <w:shd w:val="clear"/>
            <w:vAlign w:val="center"/>
          </w:tcPr>
          <w:p w14:paraId="55D4B9EC">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1365" w:type="dxa"/>
            <w:gridSpan w:val="3"/>
            <w:tcBorders>
              <w:top w:val="nil"/>
              <w:left w:val="single" w:color="auto" w:sz="4" w:space="0"/>
              <w:bottom w:val="single" w:color="auto" w:sz="4" w:space="0"/>
              <w:right w:val="nil"/>
            </w:tcBorders>
            <w:shd w:val="clear"/>
            <w:vAlign w:val="center"/>
          </w:tcPr>
          <w:p w14:paraId="3DC59C1A">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 xml:space="preserve"> 95</w:t>
            </w:r>
          </w:p>
        </w:tc>
        <w:tc>
          <w:tcPr>
            <w:tcW w:w="1365" w:type="dxa"/>
            <w:tcBorders>
              <w:top w:val="nil"/>
              <w:left w:val="single" w:color="auto" w:sz="4" w:space="0"/>
              <w:bottom w:val="single" w:color="auto" w:sz="4" w:space="0"/>
              <w:right w:val="nil"/>
            </w:tcBorders>
            <w:shd w:val="clear"/>
            <w:vAlign w:val="center"/>
          </w:tcPr>
          <w:p w14:paraId="77664406">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95</w:t>
            </w:r>
          </w:p>
        </w:tc>
        <w:tc>
          <w:tcPr>
            <w:tcW w:w="1365" w:type="dxa"/>
            <w:tcBorders>
              <w:top w:val="nil"/>
              <w:left w:val="single" w:color="auto" w:sz="4" w:space="0"/>
              <w:bottom w:val="single" w:color="auto" w:sz="4" w:space="0"/>
              <w:right w:val="nil"/>
            </w:tcBorders>
            <w:shd w:val="clear"/>
            <w:vAlign w:val="center"/>
          </w:tcPr>
          <w:p w14:paraId="5B59DE81">
            <w:pPr>
              <w:spacing w:line="300" w:lineRule="exact"/>
              <w:rPr>
                <w:rFonts w:hint="eastAsia" w:ascii="方正仿宋_GBK" w:hAnsi="方正仿宋_GBK" w:eastAsia="方正仿宋_GBK" w:cs="方正仿宋_GBK"/>
                <w:sz w:val="28"/>
                <w:szCs w:val="28"/>
                <w:bdr w:val="none" w:color="auto" w:sz="0" w:space="0"/>
                <w:lang w:val="en-US"/>
              </w:rPr>
            </w:pPr>
            <w:r>
              <w:rPr>
                <w:rFonts w:hint="eastAsia" w:ascii="方正仿宋_GBK" w:hAnsi="方正仿宋_GBK" w:eastAsia="方正仿宋_GBK" w:cs="方正仿宋_GBK"/>
                <w:sz w:val="28"/>
                <w:szCs w:val="28"/>
                <w:bdr w:val="none" w:color="auto" w:sz="0" w:space="0"/>
                <w:lang w:val="en-US"/>
              </w:rPr>
              <w:t>95</w:t>
            </w:r>
          </w:p>
        </w:tc>
        <w:tc>
          <w:tcPr>
            <w:tcW w:w="1028" w:type="dxa"/>
            <w:tcBorders>
              <w:top w:val="nil"/>
              <w:left w:val="single" w:color="auto" w:sz="4" w:space="0"/>
              <w:bottom w:val="single" w:color="auto" w:sz="4" w:space="0"/>
              <w:right w:val="nil"/>
            </w:tcBorders>
            <w:shd w:val="clear"/>
            <w:vAlign w:val="center"/>
          </w:tcPr>
          <w:p w14:paraId="64700DE5">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95</w:t>
            </w:r>
          </w:p>
        </w:tc>
        <w:tc>
          <w:tcPr>
            <w:tcW w:w="1176" w:type="dxa"/>
            <w:gridSpan w:val="2"/>
            <w:tcBorders>
              <w:top w:val="nil"/>
              <w:left w:val="single" w:color="auto" w:sz="4" w:space="0"/>
              <w:bottom w:val="single" w:color="auto" w:sz="4" w:space="0"/>
              <w:right w:val="nil"/>
            </w:tcBorders>
            <w:shd w:val="clear"/>
            <w:vAlign w:val="center"/>
          </w:tcPr>
          <w:p w14:paraId="2418EBE9">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1176" w:type="dxa"/>
            <w:tcBorders>
              <w:top w:val="nil"/>
              <w:left w:val="single" w:color="auto" w:sz="4" w:space="0"/>
              <w:bottom w:val="single" w:color="auto" w:sz="4" w:space="0"/>
              <w:right w:val="nil"/>
            </w:tcBorders>
            <w:shd w:val="clear"/>
            <w:vAlign w:val="center"/>
          </w:tcPr>
          <w:p w14:paraId="1AB7C615">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1176" w:type="dxa"/>
            <w:tcBorders>
              <w:top w:val="nil"/>
              <w:left w:val="single" w:color="auto" w:sz="4" w:space="0"/>
              <w:bottom w:val="single" w:color="auto" w:sz="4" w:space="0"/>
              <w:right w:val="single" w:color="auto" w:sz="4" w:space="0"/>
            </w:tcBorders>
            <w:shd w:val="clear"/>
            <w:vAlign w:val="center"/>
          </w:tcPr>
          <w:p w14:paraId="05BAD261">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是</w:t>
            </w:r>
          </w:p>
        </w:tc>
      </w:tr>
      <w:tr w14:paraId="562F7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17" w:hRule="atLeast"/>
          <w:jc w:val="center"/>
        </w:trPr>
        <w:tc>
          <w:tcPr>
            <w:tcW w:w="1082" w:type="dxa"/>
            <w:vMerge w:val="continue"/>
            <w:tcBorders>
              <w:top w:val="nil"/>
              <w:left w:val="single" w:color="auto" w:sz="4" w:space="0"/>
              <w:bottom w:val="nil"/>
              <w:right w:val="single" w:color="auto" w:sz="4" w:space="0"/>
            </w:tcBorders>
            <w:shd w:val="clear"/>
            <w:vAlign w:val="center"/>
          </w:tcPr>
          <w:p w14:paraId="132321FC">
            <w:pPr>
              <w:rPr>
                <w:rFonts w:hint="default" w:ascii="Times New Roman" w:hAnsi="Times New Roman" w:cs="Times New Roman"/>
                <w:sz w:val="20"/>
                <w:szCs w:val="20"/>
              </w:rPr>
            </w:pPr>
          </w:p>
        </w:tc>
        <w:tc>
          <w:tcPr>
            <w:tcW w:w="790" w:type="dxa"/>
            <w:tcBorders>
              <w:top w:val="nil"/>
              <w:left w:val="nil"/>
              <w:bottom w:val="single" w:color="auto" w:sz="4" w:space="0"/>
              <w:right w:val="nil"/>
            </w:tcBorders>
            <w:shd w:val="clear"/>
            <w:vAlign w:val="center"/>
          </w:tcPr>
          <w:p w14:paraId="195DCAD4">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设施完好率</w:t>
            </w:r>
          </w:p>
        </w:tc>
        <w:tc>
          <w:tcPr>
            <w:tcW w:w="536" w:type="dxa"/>
            <w:gridSpan w:val="2"/>
            <w:tcBorders>
              <w:top w:val="nil"/>
              <w:left w:val="single" w:color="auto" w:sz="4" w:space="0"/>
              <w:bottom w:val="single" w:color="auto" w:sz="4" w:space="0"/>
              <w:right w:val="nil"/>
            </w:tcBorders>
            <w:shd w:val="clear"/>
            <w:vAlign w:val="center"/>
          </w:tcPr>
          <w:p w14:paraId="5E0B4A05">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536" w:type="dxa"/>
            <w:gridSpan w:val="2"/>
            <w:tcBorders>
              <w:top w:val="nil"/>
              <w:left w:val="single" w:color="auto" w:sz="4" w:space="0"/>
              <w:bottom w:val="single" w:color="auto" w:sz="4" w:space="0"/>
              <w:right w:val="nil"/>
            </w:tcBorders>
            <w:shd w:val="clear"/>
            <w:vAlign w:val="center"/>
          </w:tcPr>
          <w:p w14:paraId="21FB059E">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1365" w:type="dxa"/>
            <w:gridSpan w:val="3"/>
            <w:tcBorders>
              <w:top w:val="nil"/>
              <w:left w:val="single" w:color="auto" w:sz="4" w:space="0"/>
              <w:bottom w:val="single" w:color="auto" w:sz="4" w:space="0"/>
              <w:right w:val="nil"/>
            </w:tcBorders>
            <w:shd w:val="clear"/>
            <w:vAlign w:val="center"/>
          </w:tcPr>
          <w:p w14:paraId="7264E18B">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 xml:space="preserve"> 98</w:t>
            </w:r>
          </w:p>
        </w:tc>
        <w:tc>
          <w:tcPr>
            <w:tcW w:w="1365" w:type="dxa"/>
            <w:tcBorders>
              <w:top w:val="nil"/>
              <w:left w:val="single" w:color="auto" w:sz="4" w:space="0"/>
              <w:bottom w:val="single" w:color="auto" w:sz="4" w:space="0"/>
              <w:right w:val="nil"/>
            </w:tcBorders>
            <w:shd w:val="clear"/>
            <w:vAlign w:val="center"/>
          </w:tcPr>
          <w:p w14:paraId="49E144F9">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98</w:t>
            </w:r>
          </w:p>
        </w:tc>
        <w:tc>
          <w:tcPr>
            <w:tcW w:w="1365" w:type="dxa"/>
            <w:tcBorders>
              <w:top w:val="nil"/>
              <w:left w:val="single" w:color="auto" w:sz="4" w:space="0"/>
              <w:bottom w:val="single" w:color="auto" w:sz="4" w:space="0"/>
              <w:right w:val="nil"/>
            </w:tcBorders>
            <w:shd w:val="clear"/>
            <w:vAlign w:val="center"/>
          </w:tcPr>
          <w:p w14:paraId="63C0969F">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98</w:t>
            </w:r>
          </w:p>
        </w:tc>
        <w:tc>
          <w:tcPr>
            <w:tcW w:w="1028" w:type="dxa"/>
            <w:tcBorders>
              <w:top w:val="nil"/>
              <w:left w:val="single" w:color="auto" w:sz="4" w:space="0"/>
              <w:bottom w:val="single" w:color="auto" w:sz="4" w:space="0"/>
              <w:right w:val="nil"/>
            </w:tcBorders>
            <w:shd w:val="clear"/>
            <w:vAlign w:val="center"/>
          </w:tcPr>
          <w:p w14:paraId="56144003">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98</w:t>
            </w:r>
          </w:p>
        </w:tc>
        <w:tc>
          <w:tcPr>
            <w:tcW w:w="1176" w:type="dxa"/>
            <w:gridSpan w:val="2"/>
            <w:tcBorders>
              <w:top w:val="nil"/>
              <w:left w:val="single" w:color="auto" w:sz="4" w:space="0"/>
              <w:bottom w:val="single" w:color="auto" w:sz="4" w:space="0"/>
              <w:right w:val="nil"/>
            </w:tcBorders>
            <w:shd w:val="clear"/>
            <w:vAlign w:val="center"/>
          </w:tcPr>
          <w:p w14:paraId="02282791">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5</w:t>
            </w:r>
          </w:p>
        </w:tc>
        <w:tc>
          <w:tcPr>
            <w:tcW w:w="1176" w:type="dxa"/>
            <w:tcBorders>
              <w:top w:val="nil"/>
              <w:left w:val="single" w:color="auto" w:sz="4" w:space="0"/>
              <w:bottom w:val="single" w:color="auto" w:sz="4" w:space="0"/>
              <w:right w:val="nil"/>
            </w:tcBorders>
            <w:shd w:val="clear"/>
            <w:vAlign w:val="center"/>
          </w:tcPr>
          <w:p w14:paraId="1A33D098">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1176" w:type="dxa"/>
            <w:tcBorders>
              <w:top w:val="nil"/>
              <w:left w:val="single" w:color="auto" w:sz="4" w:space="0"/>
              <w:bottom w:val="single" w:color="auto" w:sz="4" w:space="0"/>
              <w:right w:val="single" w:color="auto" w:sz="4" w:space="0"/>
            </w:tcBorders>
            <w:shd w:val="clear"/>
            <w:vAlign w:val="center"/>
          </w:tcPr>
          <w:p w14:paraId="0407349D">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是</w:t>
            </w:r>
          </w:p>
        </w:tc>
      </w:tr>
      <w:tr w14:paraId="657DA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2" w:hRule="atLeast"/>
          <w:jc w:val="center"/>
        </w:trPr>
        <w:tc>
          <w:tcPr>
            <w:tcW w:w="1082" w:type="dxa"/>
            <w:vMerge w:val="continue"/>
            <w:tcBorders>
              <w:top w:val="nil"/>
              <w:left w:val="single" w:color="auto" w:sz="4" w:space="0"/>
              <w:bottom w:val="nil"/>
              <w:right w:val="single" w:color="auto" w:sz="4" w:space="0"/>
            </w:tcBorders>
            <w:shd w:val="clear"/>
            <w:vAlign w:val="center"/>
          </w:tcPr>
          <w:p w14:paraId="3789C20E">
            <w:pPr>
              <w:rPr>
                <w:rFonts w:hint="default" w:ascii="Times New Roman" w:hAnsi="Times New Roman" w:cs="Times New Roman"/>
                <w:sz w:val="20"/>
                <w:szCs w:val="20"/>
              </w:rPr>
            </w:pPr>
          </w:p>
        </w:tc>
        <w:tc>
          <w:tcPr>
            <w:tcW w:w="790" w:type="dxa"/>
            <w:tcBorders>
              <w:top w:val="nil"/>
              <w:left w:val="nil"/>
              <w:bottom w:val="single" w:color="auto" w:sz="4" w:space="0"/>
              <w:right w:val="nil"/>
            </w:tcBorders>
            <w:shd w:val="clear"/>
            <w:vAlign w:val="center"/>
          </w:tcPr>
          <w:p w14:paraId="79A50AE1">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设施服务覆盖人口</w:t>
            </w:r>
          </w:p>
        </w:tc>
        <w:tc>
          <w:tcPr>
            <w:tcW w:w="536" w:type="dxa"/>
            <w:gridSpan w:val="2"/>
            <w:tcBorders>
              <w:top w:val="nil"/>
              <w:left w:val="single" w:color="auto" w:sz="4" w:space="0"/>
              <w:bottom w:val="single" w:color="auto" w:sz="4" w:space="0"/>
              <w:right w:val="nil"/>
            </w:tcBorders>
            <w:shd w:val="clear"/>
            <w:vAlign w:val="center"/>
          </w:tcPr>
          <w:p w14:paraId="34FA5FA8">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万人</w:t>
            </w:r>
          </w:p>
        </w:tc>
        <w:tc>
          <w:tcPr>
            <w:tcW w:w="536" w:type="dxa"/>
            <w:gridSpan w:val="2"/>
            <w:tcBorders>
              <w:top w:val="nil"/>
              <w:left w:val="single" w:color="auto" w:sz="4" w:space="0"/>
              <w:bottom w:val="single" w:color="auto" w:sz="4" w:space="0"/>
              <w:right w:val="nil"/>
            </w:tcBorders>
            <w:shd w:val="clear"/>
            <w:vAlign w:val="center"/>
          </w:tcPr>
          <w:p w14:paraId="18A0E90E">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1365" w:type="dxa"/>
            <w:gridSpan w:val="3"/>
            <w:tcBorders>
              <w:top w:val="nil"/>
              <w:left w:val="single" w:color="auto" w:sz="4" w:space="0"/>
              <w:bottom w:val="single" w:color="auto" w:sz="4" w:space="0"/>
              <w:right w:val="nil"/>
            </w:tcBorders>
            <w:shd w:val="clear"/>
            <w:vAlign w:val="center"/>
          </w:tcPr>
          <w:p w14:paraId="1DA5E53E">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1365" w:type="dxa"/>
            <w:tcBorders>
              <w:top w:val="nil"/>
              <w:left w:val="single" w:color="auto" w:sz="4" w:space="0"/>
              <w:bottom w:val="single" w:color="auto" w:sz="4" w:space="0"/>
              <w:right w:val="nil"/>
            </w:tcBorders>
            <w:shd w:val="clear"/>
            <w:vAlign w:val="center"/>
          </w:tcPr>
          <w:p w14:paraId="16698E1E">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1365" w:type="dxa"/>
            <w:tcBorders>
              <w:top w:val="nil"/>
              <w:left w:val="single" w:color="auto" w:sz="4" w:space="0"/>
              <w:bottom w:val="single" w:color="auto" w:sz="4" w:space="0"/>
              <w:right w:val="nil"/>
            </w:tcBorders>
            <w:shd w:val="clear"/>
            <w:vAlign w:val="center"/>
          </w:tcPr>
          <w:p w14:paraId="191D3C64">
            <w:pPr>
              <w:spacing w:line="300" w:lineRule="exact"/>
              <w:rPr>
                <w:rFonts w:hint="eastAsia" w:ascii="方正仿宋_GBK" w:hAnsi="方正仿宋_GBK" w:eastAsia="方正仿宋_GBK" w:cs="方正仿宋_GBK"/>
                <w:sz w:val="28"/>
                <w:szCs w:val="28"/>
                <w:bdr w:val="none" w:color="auto" w:sz="0" w:space="0"/>
                <w:lang w:val="en-US"/>
              </w:rPr>
            </w:pPr>
            <w:r>
              <w:rPr>
                <w:rFonts w:hint="eastAsia" w:ascii="方正仿宋_GBK" w:hAnsi="方正仿宋_GBK" w:eastAsia="方正仿宋_GBK" w:cs="方正仿宋_GBK"/>
                <w:sz w:val="28"/>
                <w:szCs w:val="28"/>
                <w:bdr w:val="none" w:color="auto" w:sz="0" w:space="0"/>
                <w:lang w:val="en-US"/>
              </w:rPr>
              <w:t>10</w:t>
            </w:r>
          </w:p>
        </w:tc>
        <w:tc>
          <w:tcPr>
            <w:tcW w:w="1028" w:type="dxa"/>
            <w:tcBorders>
              <w:top w:val="nil"/>
              <w:left w:val="single" w:color="auto" w:sz="4" w:space="0"/>
              <w:bottom w:val="single" w:color="auto" w:sz="4" w:space="0"/>
              <w:right w:val="nil"/>
            </w:tcBorders>
            <w:shd w:val="clear"/>
            <w:vAlign w:val="center"/>
          </w:tcPr>
          <w:p w14:paraId="3C26306C">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176" w:type="dxa"/>
            <w:gridSpan w:val="2"/>
            <w:tcBorders>
              <w:top w:val="nil"/>
              <w:left w:val="single" w:color="auto" w:sz="4" w:space="0"/>
              <w:bottom w:val="single" w:color="auto" w:sz="4" w:space="0"/>
              <w:right w:val="nil"/>
            </w:tcBorders>
            <w:shd w:val="clear"/>
            <w:vAlign w:val="center"/>
          </w:tcPr>
          <w:p w14:paraId="45BE73F9">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5</w:t>
            </w:r>
          </w:p>
        </w:tc>
        <w:tc>
          <w:tcPr>
            <w:tcW w:w="1176" w:type="dxa"/>
            <w:tcBorders>
              <w:top w:val="nil"/>
              <w:left w:val="single" w:color="auto" w:sz="4" w:space="0"/>
              <w:bottom w:val="single" w:color="auto" w:sz="4" w:space="0"/>
              <w:right w:val="nil"/>
            </w:tcBorders>
            <w:shd w:val="clear"/>
            <w:vAlign w:val="center"/>
          </w:tcPr>
          <w:p w14:paraId="51CB0090">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5</w:t>
            </w:r>
          </w:p>
        </w:tc>
        <w:tc>
          <w:tcPr>
            <w:tcW w:w="1176" w:type="dxa"/>
            <w:tcBorders>
              <w:top w:val="nil"/>
              <w:left w:val="single" w:color="auto" w:sz="4" w:space="0"/>
              <w:bottom w:val="single" w:color="auto" w:sz="4" w:space="0"/>
              <w:right w:val="single" w:color="auto" w:sz="4" w:space="0"/>
            </w:tcBorders>
            <w:shd w:val="clear"/>
            <w:vAlign w:val="center"/>
          </w:tcPr>
          <w:p w14:paraId="6D2A20E4">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否</w:t>
            </w:r>
          </w:p>
        </w:tc>
      </w:tr>
      <w:tr w14:paraId="24B27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12" w:hRule="atLeast"/>
          <w:jc w:val="center"/>
        </w:trPr>
        <w:tc>
          <w:tcPr>
            <w:tcW w:w="1082" w:type="dxa"/>
            <w:vMerge w:val="continue"/>
            <w:tcBorders>
              <w:top w:val="nil"/>
              <w:left w:val="single" w:color="auto" w:sz="4" w:space="0"/>
              <w:bottom w:val="nil"/>
              <w:right w:val="single" w:color="auto" w:sz="4" w:space="0"/>
            </w:tcBorders>
            <w:shd w:val="clear"/>
            <w:vAlign w:val="center"/>
          </w:tcPr>
          <w:p w14:paraId="6EBF1FE9">
            <w:pPr>
              <w:rPr>
                <w:rFonts w:hint="default" w:ascii="Times New Roman" w:hAnsi="Times New Roman" w:cs="Times New Roman"/>
                <w:sz w:val="20"/>
                <w:szCs w:val="20"/>
              </w:rPr>
            </w:pPr>
          </w:p>
        </w:tc>
        <w:tc>
          <w:tcPr>
            <w:tcW w:w="790" w:type="dxa"/>
            <w:tcBorders>
              <w:top w:val="nil"/>
              <w:left w:val="nil"/>
              <w:bottom w:val="single" w:color="auto" w:sz="4" w:space="0"/>
              <w:right w:val="nil"/>
            </w:tcBorders>
            <w:shd w:val="clear"/>
            <w:vAlign w:val="center"/>
          </w:tcPr>
          <w:p w14:paraId="51D9C5D4">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受益群体满意度</w:t>
            </w:r>
          </w:p>
        </w:tc>
        <w:tc>
          <w:tcPr>
            <w:tcW w:w="536" w:type="dxa"/>
            <w:gridSpan w:val="2"/>
            <w:tcBorders>
              <w:top w:val="nil"/>
              <w:left w:val="single" w:color="auto" w:sz="4" w:space="0"/>
              <w:bottom w:val="single" w:color="auto" w:sz="4" w:space="0"/>
              <w:right w:val="nil"/>
            </w:tcBorders>
            <w:shd w:val="clear"/>
            <w:vAlign w:val="center"/>
          </w:tcPr>
          <w:p w14:paraId="2DADFA0F">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536" w:type="dxa"/>
            <w:gridSpan w:val="2"/>
            <w:tcBorders>
              <w:top w:val="nil"/>
              <w:left w:val="single" w:color="auto" w:sz="4" w:space="0"/>
              <w:bottom w:val="single" w:color="auto" w:sz="4" w:space="0"/>
              <w:right w:val="nil"/>
            </w:tcBorders>
            <w:shd w:val="clear"/>
            <w:vAlign w:val="center"/>
          </w:tcPr>
          <w:p w14:paraId="7321B95D">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1365" w:type="dxa"/>
            <w:gridSpan w:val="3"/>
            <w:tcBorders>
              <w:top w:val="nil"/>
              <w:left w:val="single" w:color="auto" w:sz="4" w:space="0"/>
              <w:bottom w:val="single" w:color="auto" w:sz="4" w:space="0"/>
              <w:right w:val="nil"/>
            </w:tcBorders>
            <w:shd w:val="clear"/>
            <w:vAlign w:val="center"/>
          </w:tcPr>
          <w:p w14:paraId="54D97154">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95</w:t>
            </w:r>
          </w:p>
        </w:tc>
        <w:tc>
          <w:tcPr>
            <w:tcW w:w="1365" w:type="dxa"/>
            <w:tcBorders>
              <w:top w:val="nil"/>
              <w:left w:val="single" w:color="auto" w:sz="4" w:space="0"/>
              <w:bottom w:val="single" w:color="auto" w:sz="4" w:space="0"/>
              <w:right w:val="nil"/>
            </w:tcBorders>
            <w:shd w:val="clear"/>
            <w:vAlign w:val="center"/>
          </w:tcPr>
          <w:p w14:paraId="3F6BD859">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95</w:t>
            </w:r>
          </w:p>
        </w:tc>
        <w:tc>
          <w:tcPr>
            <w:tcW w:w="1365" w:type="dxa"/>
            <w:tcBorders>
              <w:top w:val="nil"/>
              <w:left w:val="single" w:color="auto" w:sz="4" w:space="0"/>
              <w:bottom w:val="single" w:color="auto" w:sz="4" w:space="0"/>
              <w:right w:val="nil"/>
            </w:tcBorders>
            <w:shd w:val="clear"/>
            <w:vAlign w:val="center"/>
          </w:tcPr>
          <w:p w14:paraId="16CF788C">
            <w:pPr>
              <w:spacing w:line="300" w:lineRule="exact"/>
              <w:rPr>
                <w:rFonts w:hint="eastAsia" w:ascii="方正仿宋_GBK" w:hAnsi="方正仿宋_GBK" w:eastAsia="方正仿宋_GBK" w:cs="方正仿宋_GBK"/>
                <w:sz w:val="28"/>
                <w:szCs w:val="28"/>
                <w:bdr w:val="none" w:color="auto" w:sz="0" w:space="0"/>
                <w:lang w:val="en-US"/>
              </w:rPr>
            </w:pPr>
            <w:r>
              <w:rPr>
                <w:rFonts w:hint="eastAsia" w:ascii="方正仿宋_GBK" w:hAnsi="方正仿宋_GBK" w:eastAsia="方正仿宋_GBK" w:cs="方正仿宋_GBK"/>
                <w:sz w:val="28"/>
                <w:szCs w:val="28"/>
                <w:bdr w:val="none" w:color="auto" w:sz="0" w:space="0"/>
                <w:lang w:val="en-US"/>
              </w:rPr>
              <w:t>95</w:t>
            </w:r>
          </w:p>
        </w:tc>
        <w:tc>
          <w:tcPr>
            <w:tcW w:w="1028" w:type="dxa"/>
            <w:tcBorders>
              <w:top w:val="nil"/>
              <w:left w:val="single" w:color="auto" w:sz="4" w:space="0"/>
              <w:bottom w:val="single" w:color="auto" w:sz="4" w:space="0"/>
              <w:right w:val="nil"/>
            </w:tcBorders>
            <w:shd w:val="clear"/>
            <w:vAlign w:val="center"/>
          </w:tcPr>
          <w:p w14:paraId="4AA88AFD">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95</w:t>
            </w:r>
          </w:p>
        </w:tc>
        <w:tc>
          <w:tcPr>
            <w:tcW w:w="1176" w:type="dxa"/>
            <w:gridSpan w:val="2"/>
            <w:tcBorders>
              <w:top w:val="nil"/>
              <w:left w:val="single" w:color="auto" w:sz="4" w:space="0"/>
              <w:bottom w:val="single" w:color="auto" w:sz="4" w:space="0"/>
              <w:right w:val="nil"/>
            </w:tcBorders>
            <w:shd w:val="clear"/>
            <w:vAlign w:val="center"/>
          </w:tcPr>
          <w:p w14:paraId="6568752D">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1176" w:type="dxa"/>
            <w:tcBorders>
              <w:top w:val="nil"/>
              <w:left w:val="single" w:color="auto" w:sz="4" w:space="0"/>
              <w:bottom w:val="single" w:color="auto" w:sz="4" w:space="0"/>
              <w:right w:val="nil"/>
            </w:tcBorders>
            <w:shd w:val="clear"/>
            <w:vAlign w:val="center"/>
          </w:tcPr>
          <w:p w14:paraId="7CF20BFF">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1176" w:type="dxa"/>
            <w:tcBorders>
              <w:top w:val="nil"/>
              <w:left w:val="single" w:color="auto" w:sz="4" w:space="0"/>
              <w:bottom w:val="single" w:color="auto" w:sz="4" w:space="0"/>
              <w:right w:val="single" w:color="auto" w:sz="4" w:space="0"/>
            </w:tcBorders>
            <w:shd w:val="clear"/>
            <w:vAlign w:val="center"/>
          </w:tcPr>
          <w:p w14:paraId="1C328083">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否</w:t>
            </w:r>
          </w:p>
        </w:tc>
      </w:tr>
      <w:tr w14:paraId="3EB24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1082" w:type="dxa"/>
            <w:tcBorders>
              <w:top w:val="nil"/>
              <w:left w:val="single" w:color="auto" w:sz="4" w:space="0"/>
              <w:bottom w:val="single" w:color="auto" w:sz="4" w:space="0"/>
              <w:right w:val="single" w:color="auto" w:sz="4" w:space="0"/>
            </w:tcBorders>
            <w:shd w:val="clear"/>
            <w:vAlign w:val="center"/>
          </w:tcPr>
          <w:p w14:paraId="13B4C4E0">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说明</w:t>
            </w:r>
          </w:p>
        </w:tc>
        <w:tc>
          <w:tcPr>
            <w:tcW w:w="10513" w:type="dxa"/>
            <w:gridSpan w:val="15"/>
            <w:tcBorders>
              <w:top w:val="single" w:color="auto" w:sz="4" w:space="0"/>
              <w:left w:val="nil"/>
              <w:bottom w:val="single" w:color="auto" w:sz="4" w:space="0"/>
              <w:right w:val="single" w:color="auto" w:sz="4" w:space="0"/>
            </w:tcBorders>
            <w:shd w:val="clear"/>
            <w:vAlign w:val="center"/>
          </w:tcPr>
          <w:p w14:paraId="5800BB8C">
            <w:pPr>
              <w:spacing w:line="300" w:lineRule="exact"/>
              <w:rPr>
                <w:rFonts w:hint="eastAsia" w:ascii="方正仿宋_GBK" w:hAnsi="方正仿宋_GBK" w:eastAsia="方正仿宋_GBK" w:cs="方正仿宋_GBK"/>
                <w:color w:val="000000"/>
                <w:sz w:val="28"/>
                <w:szCs w:val="28"/>
                <w:bdr w:val="none" w:color="auto" w:sz="0" w:space="0"/>
                <w:lang w:val="en-US"/>
              </w:rPr>
            </w:pPr>
          </w:p>
        </w:tc>
      </w:tr>
    </w:tbl>
    <w:p w14:paraId="7263AE94">
      <w:pPr>
        <w:pStyle w:val="37"/>
        <w:spacing w:line="600" w:lineRule="exact"/>
        <w:ind w:left="0" w:firstLine="0" w:firstLineChars="0"/>
        <w:jc w:val="center"/>
        <w:rPr>
          <w:rFonts w:hint="eastAsia" w:ascii="方正仿宋_GBK" w:hAnsi="方正仿宋_GBK" w:eastAsia="方正仿宋_GBK" w:cs="方正仿宋_GBK"/>
          <w:color w:val="000000"/>
          <w:sz w:val="32"/>
          <w:szCs w:val="32"/>
          <w:lang w:val="en-US"/>
        </w:rPr>
      </w:pPr>
      <w:r>
        <w:rPr>
          <w:rFonts w:hint="eastAsia" w:ascii="方正仿宋_GBK" w:hAnsi="方正仿宋_GBK" w:eastAsia="方正仿宋_GBK" w:cs="方正仿宋_GBK"/>
          <w:color w:val="000000"/>
          <w:sz w:val="32"/>
          <w:szCs w:val="32"/>
          <w:lang w:val="en-US"/>
        </w:rPr>
        <w:t xml:space="preserve"> </w:t>
      </w:r>
    </w:p>
    <w:p w14:paraId="0C5692C0">
      <w:pPr>
        <w:pStyle w:val="37"/>
        <w:spacing w:line="600" w:lineRule="exact"/>
        <w:ind w:left="0" w:firstLine="0" w:firstLineChars="0"/>
        <w:jc w:val="center"/>
        <w:rPr>
          <w:rFonts w:hint="eastAsia" w:ascii="方正仿宋_GBK" w:hAnsi="方正仿宋_GBK" w:eastAsia="方正仿宋_GBK" w:cs="方正仿宋_GBK"/>
          <w:color w:val="000000"/>
          <w:sz w:val="32"/>
          <w:szCs w:val="32"/>
          <w:lang w:val="en-US"/>
        </w:rPr>
      </w:pPr>
      <w:r>
        <w:rPr>
          <w:rFonts w:ascii="方正仿宋_GBK" w:hAnsi="方正仿宋_GBK"/>
          <w:color w:val="000000"/>
          <w:sz w:val="32"/>
          <w:szCs w:val="32"/>
          <w:lang w:eastAsia="zh-CN"/>
        </w:rPr>
        <w:t>二级项目绩效自评表</w:t>
      </w:r>
    </w:p>
    <w:tbl>
      <w:tblPr>
        <w:tblStyle w:val="11"/>
        <w:tblW w:w="100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002"/>
        <w:gridCol w:w="977"/>
        <w:gridCol w:w="89"/>
        <w:gridCol w:w="372"/>
        <w:gridCol w:w="85"/>
        <w:gridCol w:w="451"/>
        <w:gridCol w:w="135"/>
        <w:gridCol w:w="55"/>
        <w:gridCol w:w="844"/>
        <w:gridCol w:w="828"/>
        <w:gridCol w:w="1056"/>
        <w:gridCol w:w="926"/>
        <w:gridCol w:w="926"/>
        <w:gridCol w:w="202"/>
        <w:gridCol w:w="1056"/>
        <w:gridCol w:w="1057"/>
      </w:tblGrid>
      <w:tr w14:paraId="2601D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79" w:hRule="atLeast"/>
          <w:jc w:val="center"/>
        </w:trPr>
        <w:tc>
          <w:tcPr>
            <w:tcW w:w="838" w:type="dxa"/>
            <w:tcBorders>
              <w:top w:val="single" w:color="auto" w:sz="4" w:space="0"/>
              <w:left w:val="single" w:color="auto" w:sz="4" w:space="0"/>
              <w:bottom w:val="single" w:color="auto" w:sz="4" w:space="0"/>
              <w:right w:val="single" w:color="auto" w:sz="4" w:space="0"/>
            </w:tcBorders>
            <w:shd w:val="clear"/>
            <w:vAlign w:val="center"/>
          </w:tcPr>
          <w:p w14:paraId="0D5B82A7">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项目</w:t>
            </w:r>
          </w:p>
          <w:p w14:paraId="37DE8580">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名称</w:t>
            </w:r>
          </w:p>
        </w:tc>
        <w:tc>
          <w:tcPr>
            <w:tcW w:w="1702" w:type="dxa"/>
            <w:gridSpan w:val="3"/>
            <w:tcBorders>
              <w:top w:val="single" w:color="auto" w:sz="4" w:space="0"/>
              <w:left w:val="nil"/>
              <w:bottom w:val="single" w:color="auto" w:sz="4" w:space="0"/>
              <w:right w:val="single" w:color="000000" w:sz="4" w:space="0"/>
            </w:tcBorders>
            <w:shd w:val="clear"/>
            <w:vAlign w:val="center"/>
          </w:tcPr>
          <w:p w14:paraId="5F94A81B">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城口县污染源普查项目</w:t>
            </w:r>
          </w:p>
        </w:tc>
        <w:tc>
          <w:tcPr>
            <w:tcW w:w="818" w:type="dxa"/>
            <w:gridSpan w:val="4"/>
            <w:tcBorders>
              <w:top w:val="single" w:color="auto" w:sz="4" w:space="0"/>
              <w:left w:val="nil"/>
              <w:bottom w:val="single" w:color="auto" w:sz="4" w:space="0"/>
              <w:right w:val="single" w:color="auto" w:sz="4" w:space="0"/>
            </w:tcBorders>
            <w:shd w:val="clear"/>
            <w:vAlign w:val="center"/>
          </w:tcPr>
          <w:p w14:paraId="5A4EFF2D">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项目</w:t>
            </w:r>
          </w:p>
          <w:p w14:paraId="1189EA52">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编码</w:t>
            </w:r>
          </w:p>
        </w:tc>
        <w:tc>
          <w:tcPr>
            <w:tcW w:w="2072" w:type="dxa"/>
            <w:gridSpan w:val="2"/>
            <w:tcBorders>
              <w:top w:val="single" w:color="auto" w:sz="4" w:space="0"/>
              <w:left w:val="nil"/>
              <w:bottom w:val="single" w:color="auto" w:sz="4" w:space="0"/>
              <w:right w:val="single" w:color="000000" w:sz="4" w:space="0"/>
            </w:tcBorders>
            <w:shd w:val="clear"/>
            <w:vAlign w:val="center"/>
          </w:tcPr>
          <w:p w14:paraId="515E9E61">
            <w:pPr>
              <w:spacing w:line="300" w:lineRule="exact"/>
              <w:jc w:val="center"/>
              <w:rPr>
                <w:rFonts w:hint="eastAsia" w:ascii="方正仿宋_GBK" w:hAnsi="方正仿宋_GBK" w:eastAsia="方正仿宋_GBK" w:cs="方正仿宋_GBK"/>
                <w:color w:val="000000"/>
                <w:sz w:val="28"/>
                <w:szCs w:val="28"/>
                <w:bdr w:val="none" w:color="auto" w:sz="0" w:space="0"/>
                <w:lang w:val="en-US"/>
              </w:rPr>
            </w:pPr>
          </w:p>
        </w:tc>
        <w:tc>
          <w:tcPr>
            <w:tcW w:w="850" w:type="dxa"/>
            <w:tcBorders>
              <w:top w:val="single" w:color="auto" w:sz="4" w:space="0"/>
              <w:left w:val="nil"/>
              <w:bottom w:val="single" w:color="auto" w:sz="4" w:space="0"/>
              <w:right w:val="single" w:color="auto" w:sz="4" w:space="0"/>
            </w:tcBorders>
            <w:shd w:val="clear"/>
            <w:vAlign w:val="center"/>
          </w:tcPr>
          <w:p w14:paraId="4F948C1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自评</w:t>
            </w:r>
          </w:p>
          <w:p w14:paraId="65418184">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总分</w:t>
            </w:r>
          </w:p>
          <w:p w14:paraId="116AAE40">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（分）</w:t>
            </w:r>
          </w:p>
        </w:tc>
        <w:tc>
          <w:tcPr>
            <w:tcW w:w="3782" w:type="dxa"/>
            <w:gridSpan w:val="5"/>
            <w:tcBorders>
              <w:top w:val="single" w:color="auto" w:sz="4" w:space="0"/>
              <w:left w:val="nil"/>
              <w:bottom w:val="single" w:color="auto" w:sz="4" w:space="0"/>
              <w:right w:val="single" w:color="000000" w:sz="4" w:space="0"/>
            </w:tcBorders>
            <w:shd w:val="clear"/>
            <w:vAlign w:val="center"/>
          </w:tcPr>
          <w:p w14:paraId="74FEA2BF">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r>
      <w:tr w14:paraId="1D8CA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79" w:hRule="atLeast"/>
          <w:jc w:val="center"/>
        </w:trPr>
        <w:tc>
          <w:tcPr>
            <w:tcW w:w="838" w:type="dxa"/>
            <w:tcBorders>
              <w:top w:val="nil"/>
              <w:left w:val="single" w:color="auto" w:sz="4" w:space="0"/>
              <w:bottom w:val="single" w:color="auto" w:sz="4" w:space="0"/>
              <w:right w:val="single" w:color="auto" w:sz="4" w:space="0"/>
            </w:tcBorders>
            <w:shd w:val="clear"/>
            <w:vAlign w:val="center"/>
          </w:tcPr>
          <w:p w14:paraId="22A12BE1">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主管</w:t>
            </w:r>
          </w:p>
          <w:p w14:paraId="4B0E5691">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部门</w:t>
            </w:r>
          </w:p>
        </w:tc>
        <w:tc>
          <w:tcPr>
            <w:tcW w:w="1702" w:type="dxa"/>
            <w:gridSpan w:val="3"/>
            <w:tcBorders>
              <w:top w:val="single" w:color="auto" w:sz="4" w:space="0"/>
              <w:left w:val="nil"/>
              <w:bottom w:val="single" w:color="auto" w:sz="4" w:space="0"/>
              <w:right w:val="single" w:color="000000" w:sz="4" w:space="0"/>
            </w:tcBorders>
            <w:shd w:val="clear"/>
            <w:vAlign w:val="center"/>
          </w:tcPr>
          <w:p w14:paraId="79065EAE">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城口县生态环境局</w:t>
            </w:r>
          </w:p>
        </w:tc>
        <w:tc>
          <w:tcPr>
            <w:tcW w:w="818" w:type="dxa"/>
            <w:gridSpan w:val="4"/>
            <w:tcBorders>
              <w:top w:val="nil"/>
              <w:left w:val="nil"/>
              <w:bottom w:val="single" w:color="auto" w:sz="4" w:space="0"/>
              <w:right w:val="single" w:color="auto" w:sz="4" w:space="0"/>
            </w:tcBorders>
            <w:shd w:val="clear"/>
            <w:vAlign w:val="center"/>
          </w:tcPr>
          <w:p w14:paraId="5E0B87F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财政</w:t>
            </w:r>
          </w:p>
          <w:p w14:paraId="1167D38B">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处室</w:t>
            </w:r>
          </w:p>
        </w:tc>
        <w:tc>
          <w:tcPr>
            <w:tcW w:w="2072" w:type="dxa"/>
            <w:gridSpan w:val="2"/>
            <w:tcBorders>
              <w:top w:val="single" w:color="auto" w:sz="4" w:space="0"/>
              <w:left w:val="nil"/>
              <w:bottom w:val="single" w:color="auto" w:sz="4" w:space="0"/>
              <w:right w:val="single" w:color="000000" w:sz="4" w:space="0"/>
            </w:tcBorders>
            <w:shd w:val="clear"/>
            <w:vAlign w:val="center"/>
          </w:tcPr>
          <w:p w14:paraId="2291918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经建科</w:t>
            </w:r>
          </w:p>
        </w:tc>
        <w:tc>
          <w:tcPr>
            <w:tcW w:w="850" w:type="dxa"/>
            <w:tcBorders>
              <w:top w:val="nil"/>
              <w:left w:val="nil"/>
              <w:bottom w:val="single" w:color="auto" w:sz="4" w:space="0"/>
              <w:right w:val="single" w:color="auto" w:sz="4" w:space="0"/>
            </w:tcBorders>
            <w:shd w:val="clear"/>
            <w:vAlign w:val="center"/>
          </w:tcPr>
          <w:p w14:paraId="5873BD64">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项目</w:t>
            </w:r>
          </w:p>
          <w:p w14:paraId="76A758CF">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联系人</w:t>
            </w:r>
          </w:p>
        </w:tc>
        <w:tc>
          <w:tcPr>
            <w:tcW w:w="846" w:type="dxa"/>
            <w:tcBorders>
              <w:top w:val="nil"/>
              <w:left w:val="nil"/>
              <w:bottom w:val="single" w:color="auto" w:sz="4" w:space="0"/>
              <w:right w:val="single" w:color="auto" w:sz="4" w:space="0"/>
            </w:tcBorders>
            <w:shd w:val="clear"/>
            <w:vAlign w:val="center"/>
          </w:tcPr>
          <w:p w14:paraId="2BB8153A">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张静</w:t>
            </w:r>
          </w:p>
        </w:tc>
        <w:tc>
          <w:tcPr>
            <w:tcW w:w="726" w:type="dxa"/>
            <w:tcBorders>
              <w:top w:val="nil"/>
              <w:left w:val="nil"/>
              <w:bottom w:val="single" w:color="auto" w:sz="4" w:space="0"/>
              <w:right w:val="single" w:color="auto" w:sz="4" w:space="0"/>
            </w:tcBorders>
            <w:shd w:val="clear"/>
            <w:vAlign w:val="center"/>
          </w:tcPr>
          <w:p w14:paraId="2CA523E6">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联系电话</w:t>
            </w:r>
          </w:p>
        </w:tc>
        <w:tc>
          <w:tcPr>
            <w:tcW w:w="2210" w:type="dxa"/>
            <w:gridSpan w:val="3"/>
            <w:tcBorders>
              <w:top w:val="single" w:color="auto" w:sz="4" w:space="0"/>
              <w:left w:val="nil"/>
              <w:bottom w:val="single" w:color="auto" w:sz="4" w:space="0"/>
              <w:right w:val="single" w:color="000000" w:sz="4" w:space="0"/>
            </w:tcBorders>
            <w:shd w:val="clear"/>
            <w:vAlign w:val="center"/>
          </w:tcPr>
          <w:p w14:paraId="79D4B414">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18996618781</w:t>
            </w:r>
          </w:p>
        </w:tc>
      </w:tr>
      <w:tr w14:paraId="6098B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79" w:hRule="atLeast"/>
          <w:jc w:val="center"/>
        </w:trPr>
        <w:tc>
          <w:tcPr>
            <w:tcW w:w="838" w:type="dxa"/>
            <w:vMerge w:val="restart"/>
            <w:tcBorders>
              <w:top w:val="nil"/>
              <w:left w:val="single" w:color="auto" w:sz="4" w:space="0"/>
              <w:bottom w:val="single" w:color="auto" w:sz="4" w:space="0"/>
              <w:right w:val="single" w:color="auto" w:sz="4" w:space="0"/>
            </w:tcBorders>
            <w:shd w:val="clear"/>
            <w:vAlign w:val="center"/>
          </w:tcPr>
          <w:p w14:paraId="605BFFBF">
            <w:pPr>
              <w:spacing w:before="0" w:beforeAutospacing="0" w:after="0" w:afterAutospacing="0" w:line="300" w:lineRule="exact"/>
              <w:ind w:left="113" w:right="113"/>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项目资金（万元）</w:t>
            </w:r>
          </w:p>
        </w:tc>
        <w:tc>
          <w:tcPr>
            <w:tcW w:w="1286" w:type="dxa"/>
            <w:gridSpan w:val="2"/>
            <w:vMerge w:val="restart"/>
            <w:shd w:val="clear"/>
            <w:vAlign w:val="center"/>
          </w:tcPr>
          <w:p w14:paraId="099DC05E">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年度</w:t>
            </w:r>
          </w:p>
          <w:p w14:paraId="59711926">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总金额</w:t>
            </w:r>
          </w:p>
        </w:tc>
        <w:tc>
          <w:tcPr>
            <w:tcW w:w="1011" w:type="dxa"/>
            <w:gridSpan w:val="3"/>
            <w:tcBorders>
              <w:top w:val="single" w:color="auto" w:sz="4" w:space="0"/>
              <w:left w:val="single" w:color="auto" w:sz="4" w:space="0"/>
              <w:bottom w:val="single" w:color="auto" w:sz="4" w:space="0"/>
              <w:right w:val="single" w:color="000000" w:sz="4" w:space="0"/>
            </w:tcBorders>
            <w:shd w:val="clear"/>
            <w:vAlign w:val="center"/>
          </w:tcPr>
          <w:p w14:paraId="27420646">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年初</w:t>
            </w:r>
          </w:p>
          <w:p w14:paraId="26F9ED44">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预算数</w:t>
            </w:r>
          </w:p>
        </w:tc>
        <w:tc>
          <w:tcPr>
            <w:tcW w:w="2294" w:type="dxa"/>
            <w:gridSpan w:val="4"/>
            <w:tcBorders>
              <w:top w:val="single" w:color="auto" w:sz="4" w:space="0"/>
              <w:left w:val="nil"/>
              <w:bottom w:val="single" w:color="auto" w:sz="4" w:space="0"/>
              <w:right w:val="single" w:color="auto" w:sz="4" w:space="0"/>
            </w:tcBorders>
            <w:shd w:val="clear"/>
            <w:vAlign w:val="center"/>
          </w:tcPr>
          <w:p w14:paraId="63B1DEA3">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全年</w:t>
            </w:r>
          </w:p>
          <w:p w14:paraId="05A19339">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（调整）预算数</w:t>
            </w:r>
          </w:p>
        </w:tc>
        <w:tc>
          <w:tcPr>
            <w:tcW w:w="1696" w:type="dxa"/>
            <w:gridSpan w:val="2"/>
            <w:tcBorders>
              <w:top w:val="single" w:color="auto" w:sz="4" w:space="0"/>
              <w:left w:val="nil"/>
              <w:bottom w:val="single" w:color="auto" w:sz="4" w:space="0"/>
              <w:right w:val="single" w:color="auto" w:sz="4" w:space="0"/>
            </w:tcBorders>
            <w:shd w:val="clear"/>
            <w:vAlign w:val="center"/>
          </w:tcPr>
          <w:p w14:paraId="7B7EED70">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全年执行数</w:t>
            </w:r>
          </w:p>
        </w:tc>
        <w:tc>
          <w:tcPr>
            <w:tcW w:w="726" w:type="dxa"/>
            <w:tcBorders>
              <w:top w:val="nil"/>
              <w:left w:val="nil"/>
              <w:bottom w:val="single" w:color="auto" w:sz="4" w:space="0"/>
              <w:right w:val="single" w:color="auto" w:sz="4" w:space="0"/>
            </w:tcBorders>
            <w:shd w:val="clear"/>
            <w:vAlign w:val="center"/>
          </w:tcPr>
          <w:p w14:paraId="38B50D02">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执行率</w:t>
            </w:r>
          </w:p>
          <w:p w14:paraId="2BD79563">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w:t>
            </w:r>
            <w:r>
              <w:rPr>
                <w:rFonts w:hint="eastAsia" w:ascii="方正仿宋_GBK" w:hAnsi="方正仿宋_GBK" w:eastAsia="方正仿宋_GBK" w:cs="方正仿宋_GBK"/>
                <w:color w:val="000000"/>
                <w:sz w:val="28"/>
                <w:szCs w:val="28"/>
                <w:bdr w:val="none" w:color="auto" w:sz="0" w:space="0"/>
                <w:lang w:val="en-US"/>
              </w:rPr>
              <w:t>%</w:t>
            </w:r>
            <w:r>
              <w:rPr>
                <w:rFonts w:ascii="方正仿宋_GBK" w:hAnsi="方正仿宋_GBK"/>
                <w:color w:val="000000"/>
                <w:sz w:val="28"/>
                <w:szCs w:val="28"/>
                <w:bdr w:val="none" w:color="auto" w:sz="0" w:space="0"/>
              </w:rPr>
              <w:t>）</w:t>
            </w:r>
          </w:p>
        </w:tc>
        <w:tc>
          <w:tcPr>
            <w:tcW w:w="1264" w:type="dxa"/>
            <w:gridSpan w:val="2"/>
            <w:tcBorders>
              <w:top w:val="nil"/>
              <w:left w:val="nil"/>
              <w:bottom w:val="single" w:color="auto" w:sz="4" w:space="0"/>
              <w:right w:val="single" w:color="auto" w:sz="4" w:space="0"/>
            </w:tcBorders>
            <w:shd w:val="clear"/>
            <w:vAlign w:val="center"/>
          </w:tcPr>
          <w:p w14:paraId="16B90B95">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执行率</w:t>
            </w:r>
          </w:p>
          <w:p w14:paraId="6C974E25">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权重</w:t>
            </w:r>
          </w:p>
        </w:tc>
        <w:tc>
          <w:tcPr>
            <w:tcW w:w="946" w:type="dxa"/>
            <w:tcBorders>
              <w:top w:val="nil"/>
              <w:left w:val="nil"/>
              <w:bottom w:val="single" w:color="auto" w:sz="4" w:space="0"/>
              <w:right w:val="single" w:color="auto" w:sz="4" w:space="0"/>
            </w:tcBorders>
            <w:shd w:val="clear"/>
            <w:vAlign w:val="center"/>
          </w:tcPr>
          <w:p w14:paraId="70B3E3A7">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执行率</w:t>
            </w:r>
          </w:p>
          <w:p w14:paraId="3F0A30C9">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得分</w:t>
            </w:r>
          </w:p>
          <w:p w14:paraId="037F4DA6">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（分）</w:t>
            </w:r>
          </w:p>
        </w:tc>
      </w:tr>
      <w:tr w14:paraId="67BB8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79" w:hRule="atLeast"/>
          <w:jc w:val="center"/>
        </w:trPr>
        <w:tc>
          <w:tcPr>
            <w:tcW w:w="838" w:type="dxa"/>
            <w:vMerge w:val="continue"/>
            <w:tcBorders>
              <w:top w:val="nil"/>
              <w:left w:val="single" w:color="auto" w:sz="4" w:space="0"/>
              <w:bottom w:val="single" w:color="auto" w:sz="4" w:space="0"/>
              <w:right w:val="single" w:color="auto" w:sz="4" w:space="0"/>
            </w:tcBorders>
            <w:shd w:val="clear"/>
            <w:vAlign w:val="center"/>
          </w:tcPr>
          <w:p w14:paraId="3B3B3CC5">
            <w:pPr>
              <w:rPr>
                <w:rFonts w:hint="default" w:ascii="Times New Roman" w:hAnsi="Times New Roman" w:cs="Times New Roman"/>
                <w:sz w:val="20"/>
                <w:szCs w:val="20"/>
              </w:rPr>
            </w:pPr>
          </w:p>
        </w:tc>
        <w:tc>
          <w:tcPr>
            <w:tcW w:w="1286" w:type="dxa"/>
            <w:gridSpan w:val="2"/>
            <w:vMerge w:val="continue"/>
            <w:shd w:val="clear"/>
            <w:vAlign w:val="center"/>
          </w:tcPr>
          <w:p w14:paraId="59C9ECA9">
            <w:pPr>
              <w:rPr>
                <w:rFonts w:hint="default" w:ascii="Times New Roman" w:hAnsi="Times New Roman" w:cs="Times New Roman"/>
                <w:sz w:val="20"/>
                <w:szCs w:val="20"/>
              </w:rPr>
            </w:pPr>
          </w:p>
        </w:tc>
        <w:tc>
          <w:tcPr>
            <w:tcW w:w="1011" w:type="dxa"/>
            <w:gridSpan w:val="3"/>
            <w:tcBorders>
              <w:top w:val="single" w:color="auto" w:sz="4" w:space="0"/>
              <w:left w:val="single" w:color="auto" w:sz="4" w:space="0"/>
              <w:bottom w:val="single" w:color="auto" w:sz="4" w:space="0"/>
              <w:right w:val="single" w:color="000000" w:sz="4" w:space="0"/>
            </w:tcBorders>
            <w:shd w:val="clear"/>
            <w:vAlign w:val="center"/>
          </w:tcPr>
          <w:p w14:paraId="1FC9238F">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0</w:t>
            </w:r>
          </w:p>
        </w:tc>
        <w:tc>
          <w:tcPr>
            <w:tcW w:w="2294" w:type="dxa"/>
            <w:gridSpan w:val="4"/>
            <w:tcBorders>
              <w:top w:val="single" w:color="auto" w:sz="4" w:space="0"/>
              <w:left w:val="nil"/>
              <w:bottom w:val="single" w:color="auto" w:sz="4" w:space="0"/>
              <w:right w:val="single" w:color="auto" w:sz="4" w:space="0"/>
            </w:tcBorders>
            <w:shd w:val="clear"/>
            <w:vAlign w:val="center"/>
          </w:tcPr>
          <w:p w14:paraId="528E9447">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190</w:t>
            </w:r>
          </w:p>
        </w:tc>
        <w:tc>
          <w:tcPr>
            <w:tcW w:w="1696" w:type="dxa"/>
            <w:gridSpan w:val="2"/>
            <w:tcBorders>
              <w:top w:val="single" w:color="auto" w:sz="4" w:space="0"/>
              <w:left w:val="nil"/>
              <w:bottom w:val="single" w:color="auto" w:sz="4" w:space="0"/>
              <w:right w:val="single" w:color="auto" w:sz="4" w:space="0"/>
            </w:tcBorders>
            <w:shd w:val="clear"/>
            <w:vAlign w:val="center"/>
          </w:tcPr>
          <w:p w14:paraId="0484FBC0">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190</w:t>
            </w:r>
          </w:p>
        </w:tc>
        <w:tc>
          <w:tcPr>
            <w:tcW w:w="726" w:type="dxa"/>
            <w:tcBorders>
              <w:top w:val="nil"/>
              <w:left w:val="nil"/>
              <w:bottom w:val="single" w:color="auto" w:sz="4" w:space="0"/>
              <w:right w:val="single" w:color="auto" w:sz="4" w:space="0"/>
            </w:tcBorders>
            <w:shd w:val="clear"/>
            <w:vAlign w:val="center"/>
          </w:tcPr>
          <w:p w14:paraId="104CEF6D">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264" w:type="dxa"/>
            <w:gridSpan w:val="2"/>
            <w:tcBorders>
              <w:top w:val="nil"/>
              <w:left w:val="nil"/>
              <w:bottom w:val="single" w:color="auto" w:sz="4" w:space="0"/>
              <w:right w:val="single" w:color="auto" w:sz="4" w:space="0"/>
            </w:tcBorders>
            <w:shd w:val="clear"/>
            <w:vAlign w:val="center"/>
          </w:tcPr>
          <w:p w14:paraId="6AE63EF6">
            <w:pPr>
              <w:spacing w:line="300" w:lineRule="exact"/>
              <w:jc w:val="center"/>
              <w:rPr>
                <w:rFonts w:hint="eastAsia" w:ascii="方正仿宋_GBK" w:hAnsi="方正仿宋_GBK" w:eastAsia="方正仿宋_GBK" w:cs="方正仿宋_GBK"/>
                <w:sz w:val="28"/>
                <w:szCs w:val="28"/>
                <w:bdr w:val="none" w:color="auto" w:sz="0" w:space="0"/>
                <w:lang w:val="en-US"/>
              </w:rPr>
            </w:pPr>
            <w:r>
              <w:rPr>
                <w:rFonts w:hint="eastAsia" w:ascii="方正仿宋_GBK" w:hAnsi="方正仿宋_GBK" w:eastAsia="方正仿宋_GBK" w:cs="方正仿宋_GBK"/>
                <w:sz w:val="28"/>
                <w:szCs w:val="28"/>
                <w:bdr w:val="none" w:color="auto" w:sz="0" w:space="0"/>
                <w:lang w:val="en-US"/>
              </w:rPr>
              <w:t>10</w:t>
            </w:r>
          </w:p>
        </w:tc>
        <w:tc>
          <w:tcPr>
            <w:tcW w:w="946" w:type="dxa"/>
            <w:tcBorders>
              <w:top w:val="nil"/>
              <w:left w:val="nil"/>
              <w:bottom w:val="single" w:color="auto" w:sz="4" w:space="0"/>
              <w:right w:val="single" w:color="auto" w:sz="4" w:space="0"/>
            </w:tcBorders>
            <w:shd w:val="clear"/>
            <w:vAlign w:val="center"/>
          </w:tcPr>
          <w:p w14:paraId="5D53E973">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r>
      <w:tr w14:paraId="21257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79" w:hRule="atLeast"/>
          <w:jc w:val="center"/>
        </w:trPr>
        <w:tc>
          <w:tcPr>
            <w:tcW w:w="838" w:type="dxa"/>
            <w:vMerge w:val="continue"/>
            <w:tcBorders>
              <w:top w:val="nil"/>
              <w:left w:val="single" w:color="auto" w:sz="4" w:space="0"/>
              <w:bottom w:val="single" w:color="auto" w:sz="4" w:space="0"/>
              <w:right w:val="single" w:color="auto" w:sz="4" w:space="0"/>
            </w:tcBorders>
            <w:shd w:val="clear"/>
            <w:vAlign w:val="center"/>
          </w:tcPr>
          <w:p w14:paraId="39A60928">
            <w:pPr>
              <w:rPr>
                <w:rFonts w:hint="default" w:ascii="Times New Roman" w:hAnsi="Times New Roman" w:cs="Times New Roman"/>
                <w:sz w:val="20"/>
                <w:szCs w:val="20"/>
              </w:rPr>
            </w:pPr>
          </w:p>
        </w:tc>
        <w:tc>
          <w:tcPr>
            <w:tcW w:w="1286" w:type="dxa"/>
            <w:gridSpan w:val="2"/>
            <w:tcBorders>
              <w:top w:val="nil"/>
              <w:left w:val="nil"/>
              <w:bottom w:val="single" w:color="auto" w:sz="4" w:space="0"/>
              <w:right w:val="nil"/>
            </w:tcBorders>
            <w:shd w:val="clear"/>
            <w:vAlign w:val="center"/>
          </w:tcPr>
          <w:p w14:paraId="05F690FF">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其中：</w:t>
            </w:r>
          </w:p>
          <w:p w14:paraId="7C9787EC">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县级支出</w:t>
            </w:r>
          </w:p>
        </w:tc>
        <w:tc>
          <w:tcPr>
            <w:tcW w:w="1011" w:type="dxa"/>
            <w:gridSpan w:val="3"/>
            <w:tcBorders>
              <w:top w:val="single" w:color="auto" w:sz="4" w:space="0"/>
              <w:left w:val="single" w:color="auto" w:sz="4" w:space="0"/>
              <w:bottom w:val="single" w:color="auto" w:sz="4" w:space="0"/>
              <w:right w:val="single" w:color="000000" w:sz="4" w:space="0"/>
            </w:tcBorders>
            <w:shd w:val="clear"/>
            <w:vAlign w:val="center"/>
          </w:tcPr>
          <w:p w14:paraId="78762E1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0</w:t>
            </w:r>
          </w:p>
        </w:tc>
        <w:tc>
          <w:tcPr>
            <w:tcW w:w="2294" w:type="dxa"/>
            <w:gridSpan w:val="4"/>
            <w:tcBorders>
              <w:top w:val="single" w:color="auto" w:sz="4" w:space="0"/>
              <w:left w:val="nil"/>
              <w:bottom w:val="single" w:color="auto" w:sz="4" w:space="0"/>
              <w:right w:val="single" w:color="auto" w:sz="4" w:space="0"/>
            </w:tcBorders>
            <w:shd w:val="clear"/>
            <w:vAlign w:val="center"/>
          </w:tcPr>
          <w:p w14:paraId="4D9F89E9">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190</w:t>
            </w:r>
          </w:p>
        </w:tc>
        <w:tc>
          <w:tcPr>
            <w:tcW w:w="1696" w:type="dxa"/>
            <w:gridSpan w:val="2"/>
            <w:tcBorders>
              <w:top w:val="single" w:color="auto" w:sz="4" w:space="0"/>
              <w:left w:val="nil"/>
              <w:bottom w:val="single" w:color="auto" w:sz="4" w:space="0"/>
              <w:right w:val="single" w:color="auto" w:sz="4" w:space="0"/>
            </w:tcBorders>
            <w:shd w:val="clear"/>
            <w:vAlign w:val="center"/>
          </w:tcPr>
          <w:p w14:paraId="6CCE9727">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190</w:t>
            </w:r>
          </w:p>
        </w:tc>
        <w:tc>
          <w:tcPr>
            <w:tcW w:w="726" w:type="dxa"/>
            <w:tcBorders>
              <w:top w:val="nil"/>
              <w:left w:val="nil"/>
              <w:bottom w:val="single" w:color="auto" w:sz="4" w:space="0"/>
              <w:right w:val="single" w:color="auto" w:sz="4" w:space="0"/>
            </w:tcBorders>
            <w:shd w:val="clear"/>
            <w:vAlign w:val="center"/>
          </w:tcPr>
          <w:p w14:paraId="7DFD10C3">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264" w:type="dxa"/>
            <w:gridSpan w:val="2"/>
            <w:tcBorders>
              <w:top w:val="nil"/>
              <w:left w:val="nil"/>
              <w:bottom w:val="single" w:color="auto" w:sz="4" w:space="0"/>
              <w:right w:val="single" w:color="auto" w:sz="4" w:space="0"/>
            </w:tcBorders>
            <w:shd w:val="clear"/>
            <w:vAlign w:val="center"/>
          </w:tcPr>
          <w:p w14:paraId="7D1380B5">
            <w:pPr>
              <w:spacing w:line="300" w:lineRule="exact"/>
              <w:jc w:val="center"/>
              <w:rPr>
                <w:rFonts w:hint="eastAsia" w:ascii="方正仿宋_GBK" w:hAnsi="方正仿宋_GBK" w:eastAsia="方正仿宋_GBK" w:cs="方正仿宋_GBK"/>
                <w:sz w:val="28"/>
                <w:szCs w:val="28"/>
                <w:bdr w:val="none" w:color="auto" w:sz="0" w:space="0"/>
                <w:lang w:val="en-US"/>
              </w:rPr>
            </w:pPr>
            <w:r>
              <w:rPr>
                <w:rFonts w:hint="eastAsia" w:ascii="方正仿宋_GBK" w:hAnsi="方正仿宋_GBK" w:eastAsia="方正仿宋_GBK" w:cs="方正仿宋_GBK"/>
                <w:sz w:val="28"/>
                <w:szCs w:val="28"/>
                <w:bdr w:val="none" w:color="auto" w:sz="0" w:space="0"/>
                <w:lang w:val="en-US"/>
              </w:rPr>
              <w:t>10</w:t>
            </w:r>
          </w:p>
        </w:tc>
        <w:tc>
          <w:tcPr>
            <w:tcW w:w="946" w:type="dxa"/>
            <w:tcBorders>
              <w:top w:val="nil"/>
              <w:left w:val="nil"/>
              <w:bottom w:val="single" w:color="auto" w:sz="4" w:space="0"/>
              <w:right w:val="single" w:color="auto" w:sz="4" w:space="0"/>
            </w:tcBorders>
            <w:shd w:val="clear"/>
            <w:vAlign w:val="center"/>
          </w:tcPr>
          <w:p w14:paraId="7812FBC0">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r>
      <w:tr w14:paraId="45667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79" w:hRule="atLeast"/>
          <w:jc w:val="center"/>
        </w:trPr>
        <w:tc>
          <w:tcPr>
            <w:tcW w:w="838" w:type="dxa"/>
            <w:vMerge w:val="continue"/>
            <w:tcBorders>
              <w:top w:val="nil"/>
              <w:left w:val="single" w:color="auto" w:sz="4" w:space="0"/>
              <w:bottom w:val="single" w:color="auto" w:sz="4" w:space="0"/>
              <w:right w:val="single" w:color="auto" w:sz="4" w:space="0"/>
            </w:tcBorders>
            <w:shd w:val="clear"/>
            <w:vAlign w:val="center"/>
          </w:tcPr>
          <w:p w14:paraId="034B9FEB">
            <w:pPr>
              <w:rPr>
                <w:rFonts w:hint="default" w:ascii="Times New Roman" w:hAnsi="Times New Roman" w:cs="Times New Roman"/>
                <w:sz w:val="20"/>
                <w:szCs w:val="20"/>
              </w:rPr>
            </w:pPr>
          </w:p>
        </w:tc>
        <w:tc>
          <w:tcPr>
            <w:tcW w:w="1286" w:type="dxa"/>
            <w:gridSpan w:val="2"/>
            <w:tcBorders>
              <w:top w:val="nil"/>
              <w:left w:val="nil"/>
              <w:bottom w:val="single" w:color="auto" w:sz="4" w:space="0"/>
              <w:right w:val="nil"/>
            </w:tcBorders>
            <w:shd w:val="clear"/>
            <w:vAlign w:val="center"/>
          </w:tcPr>
          <w:p w14:paraId="09C7934D">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补助区县</w:t>
            </w:r>
          </w:p>
        </w:tc>
        <w:tc>
          <w:tcPr>
            <w:tcW w:w="1011" w:type="dxa"/>
            <w:gridSpan w:val="3"/>
            <w:tcBorders>
              <w:top w:val="single" w:color="auto" w:sz="4" w:space="0"/>
              <w:left w:val="single" w:color="auto" w:sz="4" w:space="0"/>
              <w:bottom w:val="single" w:color="auto" w:sz="4" w:space="0"/>
              <w:right w:val="single" w:color="000000" w:sz="4" w:space="0"/>
            </w:tcBorders>
            <w:shd w:val="clear"/>
            <w:vAlign w:val="center"/>
          </w:tcPr>
          <w:p w14:paraId="020E1794">
            <w:pPr>
              <w:spacing w:line="300" w:lineRule="exact"/>
              <w:jc w:val="center"/>
              <w:rPr>
                <w:rFonts w:hint="eastAsia" w:ascii="方正仿宋_GBK" w:hAnsi="方正仿宋_GBK" w:eastAsia="方正仿宋_GBK" w:cs="方正仿宋_GBK"/>
                <w:color w:val="000000"/>
                <w:sz w:val="28"/>
                <w:szCs w:val="28"/>
                <w:bdr w:val="none" w:color="auto" w:sz="0" w:space="0"/>
                <w:lang w:val="en-US"/>
              </w:rPr>
            </w:pPr>
          </w:p>
        </w:tc>
        <w:tc>
          <w:tcPr>
            <w:tcW w:w="2294" w:type="dxa"/>
            <w:gridSpan w:val="4"/>
            <w:tcBorders>
              <w:top w:val="single" w:color="auto" w:sz="4" w:space="0"/>
              <w:left w:val="nil"/>
              <w:bottom w:val="single" w:color="auto" w:sz="4" w:space="0"/>
              <w:right w:val="single" w:color="auto" w:sz="4" w:space="0"/>
            </w:tcBorders>
            <w:shd w:val="clear"/>
            <w:vAlign w:val="center"/>
          </w:tcPr>
          <w:p w14:paraId="79DBD770">
            <w:pPr>
              <w:spacing w:line="300" w:lineRule="exact"/>
              <w:jc w:val="center"/>
              <w:rPr>
                <w:rFonts w:hint="eastAsia" w:ascii="方正仿宋_GBK" w:hAnsi="方正仿宋_GBK" w:eastAsia="方正仿宋_GBK" w:cs="方正仿宋_GBK"/>
                <w:color w:val="000000"/>
                <w:sz w:val="28"/>
                <w:szCs w:val="28"/>
                <w:bdr w:val="none" w:color="auto" w:sz="0" w:space="0"/>
                <w:lang w:val="en-US"/>
              </w:rPr>
            </w:pPr>
          </w:p>
        </w:tc>
        <w:tc>
          <w:tcPr>
            <w:tcW w:w="1696" w:type="dxa"/>
            <w:gridSpan w:val="2"/>
            <w:tcBorders>
              <w:top w:val="single" w:color="auto" w:sz="4" w:space="0"/>
              <w:left w:val="nil"/>
              <w:bottom w:val="single" w:color="auto" w:sz="4" w:space="0"/>
              <w:right w:val="single" w:color="auto" w:sz="4" w:space="0"/>
            </w:tcBorders>
            <w:shd w:val="clear"/>
            <w:vAlign w:val="center"/>
          </w:tcPr>
          <w:p w14:paraId="73F58C5B">
            <w:pPr>
              <w:spacing w:line="300" w:lineRule="exact"/>
              <w:jc w:val="center"/>
              <w:rPr>
                <w:rFonts w:hint="eastAsia" w:ascii="方正仿宋_GBK" w:hAnsi="方正仿宋_GBK" w:eastAsia="方正仿宋_GBK" w:cs="方正仿宋_GBK"/>
                <w:color w:val="000000"/>
                <w:sz w:val="28"/>
                <w:szCs w:val="28"/>
                <w:bdr w:val="none" w:color="auto" w:sz="0" w:space="0"/>
                <w:lang w:val="en-US"/>
              </w:rPr>
            </w:pPr>
          </w:p>
        </w:tc>
        <w:tc>
          <w:tcPr>
            <w:tcW w:w="726" w:type="dxa"/>
            <w:tcBorders>
              <w:top w:val="nil"/>
              <w:left w:val="nil"/>
              <w:bottom w:val="single" w:color="auto" w:sz="4" w:space="0"/>
              <w:right w:val="single" w:color="auto" w:sz="4" w:space="0"/>
            </w:tcBorders>
            <w:shd w:val="clear"/>
            <w:vAlign w:val="center"/>
          </w:tcPr>
          <w:p w14:paraId="17B0C646">
            <w:pPr>
              <w:spacing w:line="300" w:lineRule="exact"/>
              <w:jc w:val="center"/>
              <w:rPr>
                <w:rFonts w:hint="eastAsia" w:ascii="方正仿宋_GBK" w:hAnsi="方正仿宋_GBK" w:eastAsia="方正仿宋_GBK" w:cs="方正仿宋_GBK"/>
                <w:color w:val="000000"/>
                <w:sz w:val="28"/>
                <w:szCs w:val="28"/>
                <w:bdr w:val="none" w:color="auto" w:sz="0" w:space="0"/>
                <w:lang w:val="en-US"/>
              </w:rPr>
            </w:pPr>
          </w:p>
        </w:tc>
        <w:tc>
          <w:tcPr>
            <w:tcW w:w="1264" w:type="dxa"/>
            <w:gridSpan w:val="2"/>
            <w:tcBorders>
              <w:top w:val="nil"/>
              <w:left w:val="nil"/>
              <w:bottom w:val="single" w:color="auto" w:sz="4" w:space="0"/>
              <w:right w:val="single" w:color="auto" w:sz="4" w:space="0"/>
            </w:tcBorders>
            <w:shd w:val="clear"/>
            <w:vAlign w:val="center"/>
          </w:tcPr>
          <w:p w14:paraId="52ADC28A">
            <w:pPr>
              <w:spacing w:line="300" w:lineRule="exact"/>
              <w:jc w:val="center"/>
              <w:rPr>
                <w:rFonts w:hint="eastAsia" w:ascii="方正仿宋_GBK" w:hAnsi="方正仿宋_GBK" w:eastAsia="方正仿宋_GBK" w:cs="方正仿宋_GBK"/>
                <w:color w:val="000000"/>
                <w:sz w:val="28"/>
                <w:szCs w:val="28"/>
                <w:bdr w:val="none" w:color="auto" w:sz="0" w:space="0"/>
                <w:lang w:val="en-US"/>
              </w:rPr>
            </w:pPr>
          </w:p>
        </w:tc>
        <w:tc>
          <w:tcPr>
            <w:tcW w:w="946" w:type="dxa"/>
            <w:tcBorders>
              <w:top w:val="nil"/>
              <w:left w:val="nil"/>
              <w:bottom w:val="single" w:color="auto" w:sz="4" w:space="0"/>
              <w:right w:val="single" w:color="auto" w:sz="4" w:space="0"/>
            </w:tcBorders>
            <w:shd w:val="clear"/>
            <w:vAlign w:val="center"/>
          </w:tcPr>
          <w:p w14:paraId="230AE6C4">
            <w:pPr>
              <w:spacing w:line="300" w:lineRule="exact"/>
              <w:jc w:val="center"/>
              <w:rPr>
                <w:rFonts w:hint="eastAsia" w:ascii="方正仿宋_GBK" w:hAnsi="方正仿宋_GBK" w:eastAsia="方正仿宋_GBK" w:cs="方正仿宋_GBK"/>
                <w:color w:val="000000"/>
                <w:sz w:val="28"/>
                <w:szCs w:val="28"/>
                <w:bdr w:val="none" w:color="auto" w:sz="0" w:space="0"/>
                <w:lang w:val="en-US"/>
              </w:rPr>
            </w:pPr>
          </w:p>
        </w:tc>
      </w:tr>
      <w:tr w14:paraId="7D798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79" w:hRule="atLeast"/>
          <w:jc w:val="center"/>
        </w:trPr>
        <w:tc>
          <w:tcPr>
            <w:tcW w:w="838" w:type="dxa"/>
            <w:vMerge w:val="restart"/>
            <w:tcBorders>
              <w:top w:val="nil"/>
              <w:left w:val="single" w:color="auto" w:sz="4" w:space="0"/>
              <w:bottom w:val="single" w:color="auto" w:sz="4" w:space="0"/>
              <w:right w:val="single" w:color="auto" w:sz="4" w:space="0"/>
            </w:tcBorders>
            <w:shd w:val="clear"/>
            <w:vAlign w:val="center"/>
          </w:tcPr>
          <w:p w14:paraId="1822C44E">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当年绩效目标</w:t>
            </w:r>
          </w:p>
        </w:tc>
        <w:tc>
          <w:tcPr>
            <w:tcW w:w="2519" w:type="dxa"/>
            <w:gridSpan w:val="7"/>
            <w:tcBorders>
              <w:top w:val="single" w:color="auto" w:sz="4" w:space="0"/>
              <w:left w:val="nil"/>
              <w:bottom w:val="single" w:color="auto" w:sz="4" w:space="0"/>
              <w:right w:val="single" w:color="000000" w:sz="4" w:space="0"/>
            </w:tcBorders>
            <w:shd w:val="clear"/>
            <w:vAlign w:val="center"/>
          </w:tcPr>
          <w:p w14:paraId="28AF9E23">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年初绩效目标</w:t>
            </w:r>
          </w:p>
        </w:tc>
        <w:tc>
          <w:tcPr>
            <w:tcW w:w="3768" w:type="dxa"/>
            <w:gridSpan w:val="4"/>
            <w:tcBorders>
              <w:top w:val="single" w:color="auto" w:sz="4" w:space="0"/>
              <w:left w:val="nil"/>
              <w:bottom w:val="single" w:color="auto" w:sz="4" w:space="0"/>
              <w:right w:val="single" w:color="000000" w:sz="4" w:space="0"/>
            </w:tcBorders>
            <w:shd w:val="clear"/>
            <w:vAlign w:val="center"/>
          </w:tcPr>
          <w:p w14:paraId="56232A44">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全年（调整）绩效目标</w:t>
            </w:r>
          </w:p>
        </w:tc>
        <w:tc>
          <w:tcPr>
            <w:tcW w:w="2936" w:type="dxa"/>
            <w:gridSpan w:val="4"/>
            <w:tcBorders>
              <w:top w:val="single" w:color="auto" w:sz="4" w:space="0"/>
              <w:left w:val="nil"/>
              <w:bottom w:val="single" w:color="auto" w:sz="4" w:space="0"/>
              <w:right w:val="single" w:color="000000" w:sz="4" w:space="0"/>
            </w:tcBorders>
            <w:shd w:val="clear"/>
            <w:vAlign w:val="center"/>
          </w:tcPr>
          <w:p w14:paraId="21A7BE3D">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全年目标实际完成情况</w:t>
            </w:r>
          </w:p>
        </w:tc>
      </w:tr>
      <w:tr w14:paraId="17053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07" w:hRule="atLeast"/>
          <w:jc w:val="center"/>
        </w:trPr>
        <w:tc>
          <w:tcPr>
            <w:tcW w:w="838" w:type="dxa"/>
            <w:vMerge w:val="continue"/>
            <w:tcBorders>
              <w:top w:val="nil"/>
              <w:left w:val="single" w:color="auto" w:sz="4" w:space="0"/>
              <w:bottom w:val="single" w:color="auto" w:sz="4" w:space="0"/>
              <w:right w:val="single" w:color="auto" w:sz="4" w:space="0"/>
            </w:tcBorders>
            <w:shd w:val="clear"/>
            <w:vAlign w:val="center"/>
          </w:tcPr>
          <w:p w14:paraId="51A850D7">
            <w:pPr>
              <w:rPr>
                <w:rFonts w:hint="default" w:ascii="Times New Roman" w:hAnsi="Times New Roman" w:cs="Times New Roman"/>
                <w:sz w:val="20"/>
                <w:szCs w:val="20"/>
              </w:rPr>
            </w:pPr>
          </w:p>
        </w:tc>
        <w:tc>
          <w:tcPr>
            <w:tcW w:w="2519" w:type="dxa"/>
            <w:gridSpan w:val="7"/>
            <w:tcBorders>
              <w:top w:val="single" w:color="auto" w:sz="4" w:space="0"/>
              <w:left w:val="nil"/>
              <w:bottom w:val="single" w:color="auto" w:sz="4" w:space="0"/>
              <w:right w:val="single" w:color="auto" w:sz="4" w:space="0"/>
            </w:tcBorders>
            <w:shd w:val="clear"/>
            <w:vAlign w:val="center"/>
          </w:tcPr>
          <w:p w14:paraId="23B0EA2B">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完成污染源普查工作，发布污染源普查公报</w:t>
            </w:r>
          </w:p>
        </w:tc>
        <w:tc>
          <w:tcPr>
            <w:tcW w:w="3768" w:type="dxa"/>
            <w:gridSpan w:val="4"/>
            <w:tcBorders>
              <w:top w:val="single" w:color="auto" w:sz="4" w:space="0"/>
              <w:left w:val="nil"/>
              <w:bottom w:val="single" w:color="auto" w:sz="4" w:space="0"/>
              <w:right w:val="single" w:color="000000" w:sz="4" w:space="0"/>
            </w:tcBorders>
            <w:shd w:val="clear"/>
            <w:vAlign w:val="center"/>
          </w:tcPr>
          <w:p w14:paraId="408C3403">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完成污染源普查工作，发布污染源普查公报</w:t>
            </w:r>
          </w:p>
        </w:tc>
        <w:tc>
          <w:tcPr>
            <w:tcW w:w="2936" w:type="dxa"/>
            <w:gridSpan w:val="4"/>
            <w:tcBorders>
              <w:top w:val="single" w:color="auto" w:sz="4" w:space="0"/>
              <w:left w:val="nil"/>
              <w:bottom w:val="single" w:color="auto" w:sz="4" w:space="0"/>
              <w:right w:val="single" w:color="000000" w:sz="4" w:space="0"/>
            </w:tcBorders>
            <w:shd w:val="clear"/>
            <w:vAlign w:val="center"/>
          </w:tcPr>
          <w:p w14:paraId="5BE1E593">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完成污染源普查工作，发布污染源普查公报</w:t>
            </w:r>
          </w:p>
        </w:tc>
      </w:tr>
      <w:tr w14:paraId="17493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79" w:hRule="atLeast"/>
          <w:jc w:val="center"/>
        </w:trPr>
        <w:tc>
          <w:tcPr>
            <w:tcW w:w="838" w:type="dxa"/>
            <w:vMerge w:val="restart"/>
            <w:tcBorders>
              <w:top w:val="nil"/>
              <w:left w:val="single" w:color="auto" w:sz="4" w:space="0"/>
              <w:bottom w:val="nil"/>
              <w:right w:val="single" w:color="auto" w:sz="4" w:space="0"/>
            </w:tcBorders>
            <w:shd w:val="clear"/>
            <w:vAlign w:val="center"/>
          </w:tcPr>
          <w:p w14:paraId="0F8BDF66">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绩效指标</w:t>
            </w:r>
          </w:p>
        </w:tc>
        <w:tc>
          <w:tcPr>
            <w:tcW w:w="1189" w:type="dxa"/>
            <w:tcBorders>
              <w:top w:val="nil"/>
              <w:left w:val="nil"/>
              <w:bottom w:val="single" w:color="auto" w:sz="4" w:space="0"/>
              <w:right w:val="nil"/>
            </w:tcBorders>
            <w:shd w:val="clear"/>
            <w:vAlign w:val="center"/>
          </w:tcPr>
          <w:p w14:paraId="4A62762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指标</w:t>
            </w:r>
          </w:p>
          <w:p w14:paraId="6CCF550E">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名称</w:t>
            </w:r>
          </w:p>
        </w:tc>
        <w:tc>
          <w:tcPr>
            <w:tcW w:w="598" w:type="dxa"/>
            <w:gridSpan w:val="3"/>
            <w:tcBorders>
              <w:top w:val="nil"/>
              <w:left w:val="single" w:color="auto" w:sz="4" w:space="0"/>
              <w:bottom w:val="single" w:color="auto" w:sz="4" w:space="0"/>
              <w:right w:val="single" w:color="auto" w:sz="4" w:space="0"/>
            </w:tcBorders>
            <w:shd w:val="clear"/>
            <w:vAlign w:val="center"/>
          </w:tcPr>
          <w:p w14:paraId="0C952554">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计量</w:t>
            </w:r>
          </w:p>
          <w:p w14:paraId="0894670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单位</w:t>
            </w:r>
          </w:p>
        </w:tc>
        <w:tc>
          <w:tcPr>
            <w:tcW w:w="678" w:type="dxa"/>
            <w:gridSpan w:val="2"/>
            <w:tcBorders>
              <w:top w:val="nil"/>
              <w:left w:val="nil"/>
              <w:bottom w:val="single" w:color="auto" w:sz="4" w:space="0"/>
              <w:right w:val="single" w:color="auto" w:sz="4" w:space="0"/>
            </w:tcBorders>
            <w:shd w:val="clear"/>
            <w:vAlign w:val="center"/>
          </w:tcPr>
          <w:p w14:paraId="4B32B264">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指标</w:t>
            </w:r>
          </w:p>
          <w:p w14:paraId="43FFCF01">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性质</w:t>
            </w:r>
          </w:p>
        </w:tc>
        <w:tc>
          <w:tcPr>
            <w:tcW w:w="1135" w:type="dxa"/>
            <w:gridSpan w:val="2"/>
            <w:tcBorders>
              <w:top w:val="nil"/>
              <w:left w:val="nil"/>
              <w:bottom w:val="single" w:color="auto" w:sz="4" w:space="0"/>
              <w:right w:val="single" w:color="auto" w:sz="4" w:space="0"/>
            </w:tcBorders>
            <w:shd w:val="clear"/>
            <w:vAlign w:val="center"/>
          </w:tcPr>
          <w:p w14:paraId="7584CC95">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年初</w:t>
            </w:r>
          </w:p>
          <w:p w14:paraId="5A7FD764">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指标</w:t>
            </w:r>
          </w:p>
          <w:p w14:paraId="1D1D1A5F">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值</w:t>
            </w:r>
          </w:p>
        </w:tc>
        <w:tc>
          <w:tcPr>
            <w:tcW w:w="992" w:type="dxa"/>
            <w:tcBorders>
              <w:top w:val="nil"/>
              <w:left w:val="nil"/>
              <w:bottom w:val="single" w:color="auto" w:sz="4" w:space="0"/>
              <w:right w:val="single" w:color="auto" w:sz="4" w:space="0"/>
            </w:tcBorders>
            <w:shd w:val="clear"/>
            <w:vAlign w:val="center"/>
          </w:tcPr>
          <w:p w14:paraId="57FF524E">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调整</w:t>
            </w:r>
          </w:p>
          <w:p w14:paraId="29BB0102">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指标</w:t>
            </w:r>
          </w:p>
          <w:p w14:paraId="57845906">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值</w:t>
            </w:r>
          </w:p>
        </w:tc>
        <w:tc>
          <w:tcPr>
            <w:tcW w:w="850" w:type="dxa"/>
            <w:tcBorders>
              <w:top w:val="nil"/>
              <w:left w:val="nil"/>
              <w:bottom w:val="single" w:color="auto" w:sz="4" w:space="0"/>
              <w:right w:val="single" w:color="auto" w:sz="4" w:space="0"/>
            </w:tcBorders>
            <w:shd w:val="clear"/>
            <w:vAlign w:val="center"/>
          </w:tcPr>
          <w:p w14:paraId="14F94C6D">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全年</w:t>
            </w:r>
          </w:p>
          <w:p w14:paraId="1188C8DB">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完成值</w:t>
            </w:r>
          </w:p>
        </w:tc>
        <w:tc>
          <w:tcPr>
            <w:tcW w:w="846" w:type="dxa"/>
            <w:tcBorders>
              <w:top w:val="nil"/>
              <w:left w:val="nil"/>
              <w:bottom w:val="single" w:color="auto" w:sz="4" w:space="0"/>
              <w:right w:val="single" w:color="auto" w:sz="4" w:space="0"/>
            </w:tcBorders>
            <w:shd w:val="clear"/>
            <w:vAlign w:val="center"/>
          </w:tcPr>
          <w:p w14:paraId="08599E2E">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得分</w:t>
            </w:r>
          </w:p>
          <w:p w14:paraId="3800B710">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系数</w:t>
            </w:r>
          </w:p>
          <w:p w14:paraId="55A32B3A">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w:t>
            </w:r>
            <w:r>
              <w:rPr>
                <w:rFonts w:hint="eastAsia" w:ascii="方正仿宋_GBK" w:hAnsi="方正仿宋_GBK" w:eastAsia="方正仿宋_GBK" w:cs="方正仿宋_GBK"/>
                <w:color w:val="000000"/>
                <w:sz w:val="28"/>
                <w:szCs w:val="28"/>
                <w:bdr w:val="none" w:color="auto" w:sz="0" w:space="0"/>
                <w:lang w:val="en-US"/>
              </w:rPr>
              <w:t>%</w:t>
            </w:r>
            <w:r>
              <w:rPr>
                <w:rFonts w:ascii="方正仿宋_GBK" w:hAnsi="方正仿宋_GBK"/>
                <w:color w:val="000000"/>
                <w:sz w:val="28"/>
                <w:szCs w:val="28"/>
                <w:bdr w:val="none" w:color="auto" w:sz="0" w:space="0"/>
              </w:rPr>
              <w:t>）</w:t>
            </w:r>
          </w:p>
        </w:tc>
        <w:tc>
          <w:tcPr>
            <w:tcW w:w="1000" w:type="dxa"/>
            <w:gridSpan w:val="2"/>
            <w:tcBorders>
              <w:top w:val="nil"/>
              <w:left w:val="nil"/>
              <w:bottom w:val="single" w:color="auto" w:sz="4" w:space="0"/>
              <w:right w:val="single" w:color="auto" w:sz="4" w:space="0"/>
            </w:tcBorders>
            <w:shd w:val="clear"/>
            <w:vAlign w:val="center"/>
          </w:tcPr>
          <w:p w14:paraId="6E315B18">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指标</w:t>
            </w:r>
          </w:p>
          <w:p w14:paraId="24ACE6A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权重</w:t>
            </w:r>
          </w:p>
          <w:p w14:paraId="2B9C4E01">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（分）</w:t>
            </w:r>
          </w:p>
        </w:tc>
        <w:tc>
          <w:tcPr>
            <w:tcW w:w="990" w:type="dxa"/>
            <w:tcBorders>
              <w:top w:val="nil"/>
              <w:left w:val="nil"/>
              <w:bottom w:val="single" w:color="auto" w:sz="4" w:space="0"/>
              <w:right w:val="single" w:color="auto" w:sz="4" w:space="0"/>
            </w:tcBorders>
            <w:shd w:val="clear"/>
            <w:vAlign w:val="center"/>
          </w:tcPr>
          <w:p w14:paraId="66E24E4F">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指标得分</w:t>
            </w:r>
          </w:p>
          <w:p w14:paraId="31D29AA6">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（分）</w:t>
            </w:r>
          </w:p>
        </w:tc>
        <w:tc>
          <w:tcPr>
            <w:tcW w:w="946" w:type="dxa"/>
            <w:tcBorders>
              <w:top w:val="nil"/>
              <w:left w:val="nil"/>
              <w:bottom w:val="single" w:color="auto" w:sz="4" w:space="0"/>
              <w:right w:val="single" w:color="auto" w:sz="4" w:space="0"/>
            </w:tcBorders>
            <w:shd w:val="clear"/>
            <w:vAlign w:val="center"/>
          </w:tcPr>
          <w:p w14:paraId="35CC4A91">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是否核心</w:t>
            </w:r>
          </w:p>
          <w:p w14:paraId="4A4F800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指标</w:t>
            </w:r>
          </w:p>
        </w:tc>
      </w:tr>
      <w:tr w14:paraId="2CA2D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17" w:hRule="atLeast"/>
          <w:jc w:val="center"/>
        </w:trPr>
        <w:tc>
          <w:tcPr>
            <w:tcW w:w="838" w:type="dxa"/>
            <w:vMerge w:val="continue"/>
            <w:tcBorders>
              <w:top w:val="nil"/>
              <w:left w:val="single" w:color="auto" w:sz="4" w:space="0"/>
              <w:bottom w:val="nil"/>
              <w:right w:val="single" w:color="auto" w:sz="4" w:space="0"/>
            </w:tcBorders>
            <w:shd w:val="clear"/>
            <w:vAlign w:val="center"/>
          </w:tcPr>
          <w:p w14:paraId="15B41DAE">
            <w:pPr>
              <w:rPr>
                <w:rFonts w:hint="default" w:ascii="Times New Roman" w:hAnsi="Times New Roman" w:cs="Times New Roman"/>
                <w:sz w:val="20"/>
                <w:szCs w:val="20"/>
              </w:rPr>
            </w:pPr>
          </w:p>
        </w:tc>
        <w:tc>
          <w:tcPr>
            <w:tcW w:w="1189" w:type="dxa"/>
            <w:tcBorders>
              <w:top w:val="nil"/>
              <w:left w:val="nil"/>
              <w:bottom w:val="single" w:color="auto" w:sz="4" w:space="0"/>
              <w:right w:val="nil"/>
            </w:tcBorders>
            <w:shd w:val="clear"/>
            <w:vAlign w:val="center"/>
          </w:tcPr>
          <w:p w14:paraId="55C713FE">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购买服务数量</w:t>
            </w:r>
          </w:p>
        </w:tc>
        <w:tc>
          <w:tcPr>
            <w:tcW w:w="598" w:type="dxa"/>
            <w:gridSpan w:val="3"/>
            <w:tcBorders>
              <w:top w:val="nil"/>
              <w:left w:val="single" w:color="auto" w:sz="4" w:space="0"/>
              <w:bottom w:val="single" w:color="auto" w:sz="4" w:space="0"/>
              <w:right w:val="nil"/>
            </w:tcBorders>
            <w:shd w:val="clear"/>
            <w:vAlign w:val="center"/>
          </w:tcPr>
          <w:p w14:paraId="3B302369">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项</w:t>
            </w:r>
          </w:p>
        </w:tc>
        <w:tc>
          <w:tcPr>
            <w:tcW w:w="678" w:type="dxa"/>
            <w:gridSpan w:val="2"/>
            <w:tcBorders>
              <w:top w:val="nil"/>
              <w:left w:val="single" w:color="auto" w:sz="4" w:space="0"/>
              <w:bottom w:val="single" w:color="auto" w:sz="4" w:space="0"/>
              <w:right w:val="nil"/>
            </w:tcBorders>
            <w:shd w:val="clear"/>
            <w:vAlign w:val="center"/>
          </w:tcPr>
          <w:p w14:paraId="73D6A71C">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1135" w:type="dxa"/>
            <w:gridSpan w:val="2"/>
            <w:tcBorders>
              <w:top w:val="nil"/>
              <w:left w:val="single" w:color="auto" w:sz="4" w:space="0"/>
              <w:bottom w:val="single" w:color="auto" w:sz="4" w:space="0"/>
              <w:right w:val="nil"/>
            </w:tcBorders>
            <w:shd w:val="clear"/>
            <w:vAlign w:val="center"/>
          </w:tcPr>
          <w:p w14:paraId="24566D1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3</w:t>
            </w:r>
          </w:p>
        </w:tc>
        <w:tc>
          <w:tcPr>
            <w:tcW w:w="992" w:type="dxa"/>
            <w:tcBorders>
              <w:top w:val="nil"/>
              <w:left w:val="single" w:color="auto" w:sz="4" w:space="0"/>
              <w:bottom w:val="single" w:color="auto" w:sz="4" w:space="0"/>
              <w:right w:val="nil"/>
            </w:tcBorders>
            <w:shd w:val="clear"/>
            <w:vAlign w:val="center"/>
          </w:tcPr>
          <w:p w14:paraId="49BB9A0F">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3</w:t>
            </w:r>
          </w:p>
        </w:tc>
        <w:tc>
          <w:tcPr>
            <w:tcW w:w="850" w:type="dxa"/>
            <w:tcBorders>
              <w:top w:val="nil"/>
              <w:left w:val="single" w:color="auto" w:sz="4" w:space="0"/>
              <w:bottom w:val="single" w:color="auto" w:sz="4" w:space="0"/>
              <w:right w:val="nil"/>
            </w:tcBorders>
            <w:shd w:val="clear"/>
            <w:vAlign w:val="center"/>
          </w:tcPr>
          <w:p w14:paraId="62C63124">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3</w:t>
            </w:r>
          </w:p>
        </w:tc>
        <w:tc>
          <w:tcPr>
            <w:tcW w:w="846" w:type="dxa"/>
            <w:tcBorders>
              <w:top w:val="nil"/>
              <w:left w:val="single" w:color="auto" w:sz="4" w:space="0"/>
              <w:bottom w:val="single" w:color="auto" w:sz="4" w:space="0"/>
              <w:right w:val="nil"/>
            </w:tcBorders>
            <w:shd w:val="clear"/>
            <w:vAlign w:val="center"/>
          </w:tcPr>
          <w:p w14:paraId="63261760">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000" w:type="dxa"/>
            <w:gridSpan w:val="2"/>
            <w:tcBorders>
              <w:top w:val="nil"/>
              <w:left w:val="single" w:color="auto" w:sz="4" w:space="0"/>
              <w:bottom w:val="single" w:color="auto" w:sz="4" w:space="0"/>
              <w:right w:val="nil"/>
            </w:tcBorders>
            <w:shd w:val="clear"/>
            <w:vAlign w:val="center"/>
          </w:tcPr>
          <w:p w14:paraId="0AC20AD2">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20</w:t>
            </w:r>
          </w:p>
        </w:tc>
        <w:tc>
          <w:tcPr>
            <w:tcW w:w="990" w:type="dxa"/>
            <w:tcBorders>
              <w:top w:val="nil"/>
              <w:left w:val="single" w:color="auto" w:sz="4" w:space="0"/>
              <w:bottom w:val="single" w:color="auto" w:sz="4" w:space="0"/>
              <w:right w:val="nil"/>
            </w:tcBorders>
            <w:shd w:val="clear"/>
            <w:vAlign w:val="center"/>
          </w:tcPr>
          <w:p w14:paraId="6866C259">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20</w:t>
            </w:r>
          </w:p>
        </w:tc>
        <w:tc>
          <w:tcPr>
            <w:tcW w:w="946" w:type="dxa"/>
            <w:tcBorders>
              <w:top w:val="nil"/>
              <w:left w:val="single" w:color="auto" w:sz="4" w:space="0"/>
              <w:bottom w:val="single" w:color="auto" w:sz="4" w:space="0"/>
              <w:right w:val="single" w:color="auto" w:sz="4" w:space="0"/>
            </w:tcBorders>
            <w:shd w:val="clear"/>
            <w:vAlign w:val="center"/>
          </w:tcPr>
          <w:p w14:paraId="5BE2F20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是</w:t>
            </w:r>
          </w:p>
        </w:tc>
      </w:tr>
      <w:tr w14:paraId="19230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17" w:hRule="atLeast"/>
          <w:jc w:val="center"/>
        </w:trPr>
        <w:tc>
          <w:tcPr>
            <w:tcW w:w="838" w:type="dxa"/>
            <w:vMerge w:val="continue"/>
            <w:tcBorders>
              <w:top w:val="nil"/>
              <w:left w:val="single" w:color="auto" w:sz="4" w:space="0"/>
              <w:bottom w:val="nil"/>
              <w:right w:val="single" w:color="auto" w:sz="4" w:space="0"/>
            </w:tcBorders>
            <w:shd w:val="clear"/>
            <w:vAlign w:val="center"/>
          </w:tcPr>
          <w:p w14:paraId="16D891DA">
            <w:pPr>
              <w:rPr>
                <w:rFonts w:hint="default" w:ascii="Times New Roman" w:hAnsi="Times New Roman" w:cs="Times New Roman"/>
                <w:sz w:val="20"/>
                <w:szCs w:val="20"/>
              </w:rPr>
            </w:pPr>
          </w:p>
        </w:tc>
        <w:tc>
          <w:tcPr>
            <w:tcW w:w="1189" w:type="dxa"/>
            <w:tcBorders>
              <w:top w:val="nil"/>
              <w:left w:val="nil"/>
              <w:bottom w:val="single" w:color="auto" w:sz="4" w:space="0"/>
              <w:right w:val="nil"/>
            </w:tcBorders>
            <w:shd w:val="clear"/>
            <w:vAlign w:val="center"/>
          </w:tcPr>
          <w:p w14:paraId="5F63868B">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服务承接主体数量</w:t>
            </w:r>
          </w:p>
        </w:tc>
        <w:tc>
          <w:tcPr>
            <w:tcW w:w="598" w:type="dxa"/>
            <w:gridSpan w:val="3"/>
            <w:tcBorders>
              <w:top w:val="nil"/>
              <w:left w:val="single" w:color="auto" w:sz="4" w:space="0"/>
              <w:bottom w:val="single" w:color="auto" w:sz="4" w:space="0"/>
              <w:right w:val="nil"/>
            </w:tcBorders>
            <w:shd w:val="clear"/>
            <w:vAlign w:val="center"/>
          </w:tcPr>
          <w:p w14:paraId="3514F39E">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个</w:t>
            </w:r>
          </w:p>
        </w:tc>
        <w:tc>
          <w:tcPr>
            <w:tcW w:w="678" w:type="dxa"/>
            <w:gridSpan w:val="2"/>
            <w:tcBorders>
              <w:top w:val="nil"/>
              <w:left w:val="single" w:color="auto" w:sz="4" w:space="0"/>
              <w:bottom w:val="single" w:color="auto" w:sz="4" w:space="0"/>
              <w:right w:val="nil"/>
            </w:tcBorders>
            <w:shd w:val="clear"/>
            <w:vAlign w:val="center"/>
          </w:tcPr>
          <w:p w14:paraId="3266EC12">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1135" w:type="dxa"/>
            <w:gridSpan w:val="2"/>
            <w:tcBorders>
              <w:top w:val="nil"/>
              <w:left w:val="single" w:color="auto" w:sz="4" w:space="0"/>
              <w:bottom w:val="single" w:color="auto" w:sz="4" w:space="0"/>
              <w:right w:val="nil"/>
            </w:tcBorders>
            <w:shd w:val="clear"/>
            <w:vAlign w:val="center"/>
          </w:tcPr>
          <w:p w14:paraId="1943B0A9">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w:t>
            </w:r>
          </w:p>
        </w:tc>
        <w:tc>
          <w:tcPr>
            <w:tcW w:w="992" w:type="dxa"/>
            <w:tcBorders>
              <w:top w:val="nil"/>
              <w:left w:val="single" w:color="auto" w:sz="4" w:space="0"/>
              <w:bottom w:val="single" w:color="auto" w:sz="4" w:space="0"/>
              <w:right w:val="nil"/>
            </w:tcBorders>
            <w:shd w:val="clear"/>
            <w:vAlign w:val="center"/>
          </w:tcPr>
          <w:p w14:paraId="6E9965DE">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w:t>
            </w:r>
          </w:p>
        </w:tc>
        <w:tc>
          <w:tcPr>
            <w:tcW w:w="850" w:type="dxa"/>
            <w:tcBorders>
              <w:top w:val="nil"/>
              <w:left w:val="single" w:color="auto" w:sz="4" w:space="0"/>
              <w:bottom w:val="single" w:color="auto" w:sz="4" w:space="0"/>
              <w:right w:val="nil"/>
            </w:tcBorders>
            <w:shd w:val="clear"/>
            <w:vAlign w:val="center"/>
          </w:tcPr>
          <w:p w14:paraId="5D4263B5">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w:t>
            </w:r>
          </w:p>
        </w:tc>
        <w:tc>
          <w:tcPr>
            <w:tcW w:w="846" w:type="dxa"/>
            <w:tcBorders>
              <w:top w:val="nil"/>
              <w:left w:val="single" w:color="auto" w:sz="4" w:space="0"/>
              <w:bottom w:val="single" w:color="auto" w:sz="4" w:space="0"/>
              <w:right w:val="nil"/>
            </w:tcBorders>
            <w:shd w:val="clear"/>
            <w:vAlign w:val="center"/>
          </w:tcPr>
          <w:p w14:paraId="45E66CB7">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000" w:type="dxa"/>
            <w:gridSpan w:val="2"/>
            <w:tcBorders>
              <w:top w:val="nil"/>
              <w:left w:val="single" w:color="auto" w:sz="4" w:space="0"/>
              <w:bottom w:val="single" w:color="auto" w:sz="4" w:space="0"/>
              <w:right w:val="nil"/>
            </w:tcBorders>
            <w:shd w:val="clear"/>
            <w:vAlign w:val="center"/>
          </w:tcPr>
          <w:p w14:paraId="646C99F1">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20</w:t>
            </w:r>
          </w:p>
        </w:tc>
        <w:tc>
          <w:tcPr>
            <w:tcW w:w="990" w:type="dxa"/>
            <w:tcBorders>
              <w:top w:val="nil"/>
              <w:left w:val="single" w:color="auto" w:sz="4" w:space="0"/>
              <w:bottom w:val="single" w:color="auto" w:sz="4" w:space="0"/>
              <w:right w:val="nil"/>
            </w:tcBorders>
            <w:shd w:val="clear"/>
            <w:vAlign w:val="center"/>
          </w:tcPr>
          <w:p w14:paraId="223530F2">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20</w:t>
            </w:r>
          </w:p>
        </w:tc>
        <w:tc>
          <w:tcPr>
            <w:tcW w:w="946" w:type="dxa"/>
            <w:tcBorders>
              <w:top w:val="nil"/>
              <w:left w:val="single" w:color="auto" w:sz="4" w:space="0"/>
              <w:bottom w:val="single" w:color="auto" w:sz="4" w:space="0"/>
              <w:right w:val="single" w:color="auto" w:sz="4" w:space="0"/>
            </w:tcBorders>
            <w:shd w:val="clear"/>
            <w:vAlign w:val="center"/>
          </w:tcPr>
          <w:p w14:paraId="0673B9CB">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是</w:t>
            </w:r>
          </w:p>
        </w:tc>
      </w:tr>
      <w:tr w14:paraId="4BE8E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17" w:hRule="atLeast"/>
          <w:jc w:val="center"/>
        </w:trPr>
        <w:tc>
          <w:tcPr>
            <w:tcW w:w="838" w:type="dxa"/>
            <w:vMerge w:val="continue"/>
            <w:tcBorders>
              <w:top w:val="nil"/>
              <w:left w:val="single" w:color="auto" w:sz="4" w:space="0"/>
              <w:bottom w:val="nil"/>
              <w:right w:val="single" w:color="auto" w:sz="4" w:space="0"/>
            </w:tcBorders>
            <w:shd w:val="clear"/>
            <w:vAlign w:val="center"/>
          </w:tcPr>
          <w:p w14:paraId="5A245DCE">
            <w:pPr>
              <w:rPr>
                <w:rFonts w:hint="default" w:ascii="Times New Roman" w:hAnsi="Times New Roman" w:cs="Times New Roman"/>
                <w:sz w:val="20"/>
                <w:szCs w:val="20"/>
              </w:rPr>
            </w:pPr>
          </w:p>
        </w:tc>
        <w:tc>
          <w:tcPr>
            <w:tcW w:w="1189" w:type="dxa"/>
            <w:tcBorders>
              <w:top w:val="nil"/>
              <w:left w:val="nil"/>
              <w:bottom w:val="single" w:color="auto" w:sz="4" w:space="0"/>
              <w:right w:val="nil"/>
            </w:tcBorders>
            <w:shd w:val="clear"/>
            <w:vAlign w:val="center"/>
          </w:tcPr>
          <w:p w14:paraId="5C7B1282">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服务质量达标率</w:t>
            </w:r>
          </w:p>
        </w:tc>
        <w:tc>
          <w:tcPr>
            <w:tcW w:w="598" w:type="dxa"/>
            <w:gridSpan w:val="3"/>
            <w:tcBorders>
              <w:top w:val="nil"/>
              <w:left w:val="single" w:color="auto" w:sz="4" w:space="0"/>
              <w:bottom w:val="single" w:color="auto" w:sz="4" w:space="0"/>
              <w:right w:val="nil"/>
            </w:tcBorders>
            <w:shd w:val="clear"/>
            <w:vAlign w:val="center"/>
          </w:tcPr>
          <w:p w14:paraId="7477A75E">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678" w:type="dxa"/>
            <w:gridSpan w:val="2"/>
            <w:tcBorders>
              <w:top w:val="nil"/>
              <w:left w:val="single" w:color="auto" w:sz="4" w:space="0"/>
              <w:bottom w:val="single" w:color="auto" w:sz="4" w:space="0"/>
              <w:right w:val="nil"/>
            </w:tcBorders>
            <w:shd w:val="clear"/>
            <w:vAlign w:val="center"/>
          </w:tcPr>
          <w:p w14:paraId="67F74EAA">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1135" w:type="dxa"/>
            <w:gridSpan w:val="2"/>
            <w:tcBorders>
              <w:top w:val="nil"/>
              <w:left w:val="single" w:color="auto" w:sz="4" w:space="0"/>
              <w:bottom w:val="single" w:color="auto" w:sz="4" w:space="0"/>
              <w:right w:val="nil"/>
            </w:tcBorders>
            <w:shd w:val="clear"/>
            <w:vAlign w:val="center"/>
          </w:tcPr>
          <w:p w14:paraId="1990F056">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98</w:t>
            </w:r>
          </w:p>
        </w:tc>
        <w:tc>
          <w:tcPr>
            <w:tcW w:w="992" w:type="dxa"/>
            <w:tcBorders>
              <w:top w:val="nil"/>
              <w:left w:val="single" w:color="auto" w:sz="4" w:space="0"/>
              <w:bottom w:val="single" w:color="auto" w:sz="4" w:space="0"/>
              <w:right w:val="nil"/>
            </w:tcBorders>
            <w:shd w:val="clear"/>
            <w:vAlign w:val="center"/>
          </w:tcPr>
          <w:p w14:paraId="00B533C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98</w:t>
            </w:r>
          </w:p>
        </w:tc>
        <w:tc>
          <w:tcPr>
            <w:tcW w:w="850" w:type="dxa"/>
            <w:tcBorders>
              <w:top w:val="nil"/>
              <w:left w:val="single" w:color="auto" w:sz="4" w:space="0"/>
              <w:bottom w:val="single" w:color="auto" w:sz="4" w:space="0"/>
              <w:right w:val="nil"/>
            </w:tcBorders>
            <w:shd w:val="clear"/>
            <w:vAlign w:val="center"/>
          </w:tcPr>
          <w:p w14:paraId="5308CF70">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98</w:t>
            </w:r>
          </w:p>
        </w:tc>
        <w:tc>
          <w:tcPr>
            <w:tcW w:w="846" w:type="dxa"/>
            <w:tcBorders>
              <w:top w:val="nil"/>
              <w:left w:val="single" w:color="auto" w:sz="4" w:space="0"/>
              <w:bottom w:val="single" w:color="auto" w:sz="4" w:space="0"/>
              <w:right w:val="nil"/>
            </w:tcBorders>
            <w:shd w:val="clear"/>
            <w:vAlign w:val="center"/>
          </w:tcPr>
          <w:p w14:paraId="07F0704F">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000" w:type="dxa"/>
            <w:gridSpan w:val="2"/>
            <w:tcBorders>
              <w:top w:val="nil"/>
              <w:left w:val="single" w:color="auto" w:sz="4" w:space="0"/>
              <w:bottom w:val="single" w:color="auto" w:sz="4" w:space="0"/>
              <w:right w:val="nil"/>
            </w:tcBorders>
            <w:shd w:val="clear"/>
            <w:vAlign w:val="center"/>
          </w:tcPr>
          <w:p w14:paraId="71FC5DAE">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20</w:t>
            </w:r>
          </w:p>
        </w:tc>
        <w:tc>
          <w:tcPr>
            <w:tcW w:w="990" w:type="dxa"/>
            <w:tcBorders>
              <w:top w:val="nil"/>
              <w:left w:val="single" w:color="auto" w:sz="4" w:space="0"/>
              <w:bottom w:val="single" w:color="auto" w:sz="4" w:space="0"/>
              <w:right w:val="nil"/>
            </w:tcBorders>
            <w:shd w:val="clear"/>
            <w:vAlign w:val="center"/>
          </w:tcPr>
          <w:p w14:paraId="24771898">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20</w:t>
            </w:r>
          </w:p>
        </w:tc>
        <w:tc>
          <w:tcPr>
            <w:tcW w:w="946" w:type="dxa"/>
            <w:tcBorders>
              <w:top w:val="nil"/>
              <w:left w:val="single" w:color="auto" w:sz="4" w:space="0"/>
              <w:bottom w:val="single" w:color="auto" w:sz="4" w:space="0"/>
              <w:right w:val="single" w:color="auto" w:sz="4" w:space="0"/>
            </w:tcBorders>
            <w:shd w:val="clear"/>
            <w:vAlign w:val="center"/>
          </w:tcPr>
          <w:p w14:paraId="37449162">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是</w:t>
            </w:r>
          </w:p>
        </w:tc>
      </w:tr>
      <w:tr w14:paraId="004EF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17" w:hRule="atLeast"/>
          <w:jc w:val="center"/>
        </w:trPr>
        <w:tc>
          <w:tcPr>
            <w:tcW w:w="838" w:type="dxa"/>
            <w:vMerge w:val="continue"/>
            <w:tcBorders>
              <w:top w:val="nil"/>
              <w:left w:val="single" w:color="auto" w:sz="4" w:space="0"/>
              <w:bottom w:val="nil"/>
              <w:right w:val="single" w:color="auto" w:sz="4" w:space="0"/>
            </w:tcBorders>
            <w:shd w:val="clear"/>
            <w:vAlign w:val="center"/>
          </w:tcPr>
          <w:p w14:paraId="305D5FA2">
            <w:pPr>
              <w:rPr>
                <w:rFonts w:hint="default" w:ascii="Times New Roman" w:hAnsi="Times New Roman" w:cs="Times New Roman"/>
                <w:sz w:val="20"/>
                <w:szCs w:val="20"/>
              </w:rPr>
            </w:pPr>
          </w:p>
        </w:tc>
        <w:tc>
          <w:tcPr>
            <w:tcW w:w="1189" w:type="dxa"/>
            <w:tcBorders>
              <w:top w:val="nil"/>
              <w:left w:val="nil"/>
              <w:bottom w:val="single" w:color="auto" w:sz="4" w:space="0"/>
              <w:right w:val="nil"/>
            </w:tcBorders>
            <w:shd w:val="clear"/>
            <w:vAlign w:val="center"/>
          </w:tcPr>
          <w:p w14:paraId="330F4C8E">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购买服务完成率</w:t>
            </w:r>
          </w:p>
        </w:tc>
        <w:tc>
          <w:tcPr>
            <w:tcW w:w="598" w:type="dxa"/>
            <w:gridSpan w:val="3"/>
            <w:tcBorders>
              <w:top w:val="nil"/>
              <w:left w:val="single" w:color="auto" w:sz="4" w:space="0"/>
              <w:bottom w:val="single" w:color="auto" w:sz="4" w:space="0"/>
              <w:right w:val="nil"/>
            </w:tcBorders>
            <w:shd w:val="clear"/>
            <w:vAlign w:val="center"/>
          </w:tcPr>
          <w:p w14:paraId="18E0034C">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678" w:type="dxa"/>
            <w:gridSpan w:val="2"/>
            <w:tcBorders>
              <w:top w:val="nil"/>
              <w:left w:val="single" w:color="auto" w:sz="4" w:space="0"/>
              <w:bottom w:val="single" w:color="auto" w:sz="4" w:space="0"/>
              <w:right w:val="nil"/>
            </w:tcBorders>
            <w:shd w:val="clear"/>
            <w:vAlign w:val="center"/>
          </w:tcPr>
          <w:p w14:paraId="12E08D2D">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1135" w:type="dxa"/>
            <w:gridSpan w:val="2"/>
            <w:tcBorders>
              <w:top w:val="nil"/>
              <w:left w:val="single" w:color="auto" w:sz="4" w:space="0"/>
              <w:bottom w:val="single" w:color="auto" w:sz="4" w:space="0"/>
              <w:right w:val="nil"/>
            </w:tcBorders>
            <w:shd w:val="clear"/>
            <w:vAlign w:val="center"/>
          </w:tcPr>
          <w:p w14:paraId="44C4EDDE">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98</w:t>
            </w:r>
          </w:p>
        </w:tc>
        <w:tc>
          <w:tcPr>
            <w:tcW w:w="992" w:type="dxa"/>
            <w:tcBorders>
              <w:top w:val="nil"/>
              <w:left w:val="single" w:color="auto" w:sz="4" w:space="0"/>
              <w:bottom w:val="single" w:color="auto" w:sz="4" w:space="0"/>
              <w:right w:val="nil"/>
            </w:tcBorders>
            <w:shd w:val="clear"/>
            <w:vAlign w:val="center"/>
          </w:tcPr>
          <w:p w14:paraId="7E20D337">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98</w:t>
            </w:r>
          </w:p>
        </w:tc>
        <w:tc>
          <w:tcPr>
            <w:tcW w:w="850" w:type="dxa"/>
            <w:tcBorders>
              <w:top w:val="nil"/>
              <w:left w:val="single" w:color="auto" w:sz="4" w:space="0"/>
              <w:bottom w:val="single" w:color="auto" w:sz="4" w:space="0"/>
              <w:right w:val="nil"/>
            </w:tcBorders>
            <w:shd w:val="clear"/>
            <w:vAlign w:val="center"/>
          </w:tcPr>
          <w:p w14:paraId="05C35314">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98</w:t>
            </w:r>
          </w:p>
        </w:tc>
        <w:tc>
          <w:tcPr>
            <w:tcW w:w="846" w:type="dxa"/>
            <w:tcBorders>
              <w:top w:val="nil"/>
              <w:left w:val="single" w:color="auto" w:sz="4" w:space="0"/>
              <w:bottom w:val="single" w:color="auto" w:sz="4" w:space="0"/>
              <w:right w:val="nil"/>
            </w:tcBorders>
            <w:shd w:val="clear"/>
            <w:vAlign w:val="center"/>
          </w:tcPr>
          <w:p w14:paraId="4CEE3F17">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000" w:type="dxa"/>
            <w:gridSpan w:val="2"/>
            <w:tcBorders>
              <w:top w:val="nil"/>
              <w:left w:val="single" w:color="auto" w:sz="4" w:space="0"/>
              <w:bottom w:val="single" w:color="auto" w:sz="4" w:space="0"/>
              <w:right w:val="nil"/>
            </w:tcBorders>
            <w:shd w:val="clear"/>
            <w:vAlign w:val="center"/>
          </w:tcPr>
          <w:p w14:paraId="1BEEA95F">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20</w:t>
            </w:r>
          </w:p>
        </w:tc>
        <w:tc>
          <w:tcPr>
            <w:tcW w:w="990" w:type="dxa"/>
            <w:tcBorders>
              <w:top w:val="nil"/>
              <w:left w:val="single" w:color="auto" w:sz="4" w:space="0"/>
              <w:bottom w:val="single" w:color="auto" w:sz="4" w:space="0"/>
              <w:right w:val="nil"/>
            </w:tcBorders>
            <w:shd w:val="clear"/>
            <w:vAlign w:val="center"/>
          </w:tcPr>
          <w:p w14:paraId="4BF7E2A3">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20</w:t>
            </w:r>
          </w:p>
        </w:tc>
        <w:tc>
          <w:tcPr>
            <w:tcW w:w="946" w:type="dxa"/>
            <w:tcBorders>
              <w:top w:val="nil"/>
              <w:left w:val="single" w:color="auto" w:sz="4" w:space="0"/>
              <w:bottom w:val="single" w:color="auto" w:sz="4" w:space="0"/>
              <w:right w:val="single" w:color="auto" w:sz="4" w:space="0"/>
            </w:tcBorders>
            <w:shd w:val="clear"/>
            <w:vAlign w:val="center"/>
          </w:tcPr>
          <w:p w14:paraId="65F72F46">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否</w:t>
            </w:r>
          </w:p>
        </w:tc>
      </w:tr>
      <w:tr w14:paraId="773D2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17" w:hRule="atLeast"/>
          <w:jc w:val="center"/>
        </w:trPr>
        <w:tc>
          <w:tcPr>
            <w:tcW w:w="838" w:type="dxa"/>
            <w:vMerge w:val="continue"/>
            <w:tcBorders>
              <w:top w:val="nil"/>
              <w:left w:val="single" w:color="auto" w:sz="4" w:space="0"/>
              <w:bottom w:val="nil"/>
              <w:right w:val="single" w:color="auto" w:sz="4" w:space="0"/>
            </w:tcBorders>
            <w:shd w:val="clear"/>
            <w:vAlign w:val="center"/>
          </w:tcPr>
          <w:p w14:paraId="7F0CDDD4">
            <w:pPr>
              <w:rPr>
                <w:rFonts w:hint="default" w:ascii="Times New Roman" w:hAnsi="Times New Roman" w:cs="Times New Roman"/>
                <w:sz w:val="20"/>
                <w:szCs w:val="20"/>
              </w:rPr>
            </w:pPr>
          </w:p>
        </w:tc>
        <w:tc>
          <w:tcPr>
            <w:tcW w:w="1189" w:type="dxa"/>
            <w:tcBorders>
              <w:top w:val="nil"/>
              <w:left w:val="nil"/>
              <w:bottom w:val="single" w:color="auto" w:sz="4" w:space="0"/>
              <w:right w:val="nil"/>
            </w:tcBorders>
            <w:shd w:val="clear"/>
            <w:vAlign w:val="center"/>
          </w:tcPr>
          <w:p w14:paraId="2B43607E">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购买服务单价</w:t>
            </w:r>
          </w:p>
        </w:tc>
        <w:tc>
          <w:tcPr>
            <w:tcW w:w="598" w:type="dxa"/>
            <w:gridSpan w:val="3"/>
            <w:tcBorders>
              <w:top w:val="nil"/>
              <w:left w:val="single" w:color="auto" w:sz="4" w:space="0"/>
              <w:bottom w:val="single" w:color="auto" w:sz="4" w:space="0"/>
              <w:right w:val="nil"/>
            </w:tcBorders>
            <w:shd w:val="clear"/>
            <w:vAlign w:val="center"/>
          </w:tcPr>
          <w:p w14:paraId="362FC570">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万元</w:t>
            </w:r>
          </w:p>
        </w:tc>
        <w:tc>
          <w:tcPr>
            <w:tcW w:w="678" w:type="dxa"/>
            <w:gridSpan w:val="2"/>
            <w:tcBorders>
              <w:top w:val="nil"/>
              <w:left w:val="single" w:color="auto" w:sz="4" w:space="0"/>
              <w:bottom w:val="single" w:color="auto" w:sz="4" w:space="0"/>
              <w:right w:val="nil"/>
            </w:tcBorders>
            <w:shd w:val="clear"/>
            <w:vAlign w:val="center"/>
          </w:tcPr>
          <w:p w14:paraId="78B8C397">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1135" w:type="dxa"/>
            <w:gridSpan w:val="2"/>
            <w:tcBorders>
              <w:top w:val="nil"/>
              <w:left w:val="single" w:color="auto" w:sz="4" w:space="0"/>
              <w:bottom w:val="single" w:color="auto" w:sz="4" w:space="0"/>
              <w:right w:val="nil"/>
            </w:tcBorders>
            <w:shd w:val="clear"/>
            <w:vAlign w:val="center"/>
          </w:tcPr>
          <w:p w14:paraId="4B8D283C">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190</w:t>
            </w:r>
          </w:p>
        </w:tc>
        <w:tc>
          <w:tcPr>
            <w:tcW w:w="992" w:type="dxa"/>
            <w:tcBorders>
              <w:top w:val="nil"/>
              <w:left w:val="single" w:color="auto" w:sz="4" w:space="0"/>
              <w:bottom w:val="single" w:color="auto" w:sz="4" w:space="0"/>
              <w:right w:val="nil"/>
            </w:tcBorders>
            <w:shd w:val="clear"/>
            <w:vAlign w:val="center"/>
          </w:tcPr>
          <w:p w14:paraId="2553F248">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190</w:t>
            </w:r>
          </w:p>
        </w:tc>
        <w:tc>
          <w:tcPr>
            <w:tcW w:w="850" w:type="dxa"/>
            <w:tcBorders>
              <w:top w:val="nil"/>
              <w:left w:val="single" w:color="auto" w:sz="4" w:space="0"/>
              <w:bottom w:val="single" w:color="auto" w:sz="4" w:space="0"/>
              <w:right w:val="nil"/>
            </w:tcBorders>
            <w:shd w:val="clear"/>
            <w:vAlign w:val="center"/>
          </w:tcPr>
          <w:p w14:paraId="5EA10D9D">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190</w:t>
            </w:r>
          </w:p>
        </w:tc>
        <w:tc>
          <w:tcPr>
            <w:tcW w:w="846" w:type="dxa"/>
            <w:tcBorders>
              <w:top w:val="nil"/>
              <w:left w:val="single" w:color="auto" w:sz="4" w:space="0"/>
              <w:bottom w:val="single" w:color="auto" w:sz="4" w:space="0"/>
              <w:right w:val="nil"/>
            </w:tcBorders>
            <w:shd w:val="clear"/>
            <w:vAlign w:val="center"/>
          </w:tcPr>
          <w:p w14:paraId="54E4B397">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000" w:type="dxa"/>
            <w:gridSpan w:val="2"/>
            <w:tcBorders>
              <w:top w:val="nil"/>
              <w:left w:val="single" w:color="auto" w:sz="4" w:space="0"/>
              <w:bottom w:val="single" w:color="auto" w:sz="4" w:space="0"/>
              <w:right w:val="nil"/>
            </w:tcBorders>
            <w:shd w:val="clear"/>
            <w:vAlign w:val="center"/>
          </w:tcPr>
          <w:p w14:paraId="13215499">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990" w:type="dxa"/>
            <w:tcBorders>
              <w:top w:val="nil"/>
              <w:left w:val="single" w:color="auto" w:sz="4" w:space="0"/>
              <w:bottom w:val="single" w:color="auto" w:sz="4" w:space="0"/>
              <w:right w:val="nil"/>
            </w:tcBorders>
            <w:shd w:val="clear"/>
            <w:vAlign w:val="center"/>
          </w:tcPr>
          <w:p w14:paraId="04ADAE94">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946" w:type="dxa"/>
            <w:tcBorders>
              <w:top w:val="nil"/>
              <w:left w:val="single" w:color="auto" w:sz="4" w:space="0"/>
              <w:bottom w:val="single" w:color="auto" w:sz="4" w:space="0"/>
              <w:right w:val="single" w:color="auto" w:sz="4" w:space="0"/>
            </w:tcBorders>
            <w:shd w:val="clear"/>
            <w:vAlign w:val="center"/>
          </w:tcPr>
          <w:p w14:paraId="4EB6422B">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是</w:t>
            </w:r>
          </w:p>
        </w:tc>
      </w:tr>
      <w:tr w14:paraId="50F83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09" w:hRule="atLeast"/>
          <w:jc w:val="center"/>
        </w:trPr>
        <w:tc>
          <w:tcPr>
            <w:tcW w:w="838" w:type="dxa"/>
            <w:vMerge w:val="continue"/>
            <w:tcBorders>
              <w:top w:val="nil"/>
              <w:left w:val="single" w:color="auto" w:sz="4" w:space="0"/>
              <w:bottom w:val="nil"/>
              <w:right w:val="single" w:color="auto" w:sz="4" w:space="0"/>
            </w:tcBorders>
            <w:shd w:val="clear"/>
            <w:vAlign w:val="center"/>
          </w:tcPr>
          <w:p w14:paraId="75E4A22B">
            <w:pPr>
              <w:rPr>
                <w:rFonts w:hint="default" w:ascii="Times New Roman" w:hAnsi="Times New Roman" w:cs="Times New Roman"/>
                <w:sz w:val="20"/>
                <w:szCs w:val="20"/>
              </w:rPr>
            </w:pPr>
          </w:p>
        </w:tc>
        <w:tc>
          <w:tcPr>
            <w:tcW w:w="1189" w:type="dxa"/>
            <w:tcBorders>
              <w:top w:val="nil"/>
              <w:left w:val="nil"/>
              <w:bottom w:val="single" w:color="auto" w:sz="4" w:space="0"/>
              <w:right w:val="nil"/>
            </w:tcBorders>
            <w:shd w:val="clear"/>
            <w:vAlign w:val="center"/>
          </w:tcPr>
          <w:p w14:paraId="237EF050">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服务对象满意度</w:t>
            </w:r>
          </w:p>
        </w:tc>
        <w:tc>
          <w:tcPr>
            <w:tcW w:w="598" w:type="dxa"/>
            <w:gridSpan w:val="3"/>
            <w:tcBorders>
              <w:top w:val="nil"/>
              <w:left w:val="single" w:color="auto" w:sz="4" w:space="0"/>
              <w:bottom w:val="single" w:color="auto" w:sz="4" w:space="0"/>
              <w:right w:val="nil"/>
            </w:tcBorders>
            <w:shd w:val="clear"/>
            <w:vAlign w:val="center"/>
          </w:tcPr>
          <w:p w14:paraId="66F7DA2B">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678" w:type="dxa"/>
            <w:gridSpan w:val="2"/>
            <w:tcBorders>
              <w:top w:val="nil"/>
              <w:left w:val="single" w:color="auto" w:sz="4" w:space="0"/>
              <w:bottom w:val="single" w:color="auto" w:sz="4" w:space="0"/>
              <w:right w:val="nil"/>
            </w:tcBorders>
            <w:shd w:val="clear"/>
            <w:vAlign w:val="center"/>
          </w:tcPr>
          <w:p w14:paraId="012BB714">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w:t>
            </w:r>
          </w:p>
        </w:tc>
        <w:tc>
          <w:tcPr>
            <w:tcW w:w="1135" w:type="dxa"/>
            <w:gridSpan w:val="2"/>
            <w:tcBorders>
              <w:top w:val="nil"/>
              <w:left w:val="single" w:color="auto" w:sz="4" w:space="0"/>
              <w:bottom w:val="single" w:color="auto" w:sz="4" w:space="0"/>
              <w:right w:val="nil"/>
            </w:tcBorders>
            <w:shd w:val="clear"/>
            <w:vAlign w:val="center"/>
          </w:tcPr>
          <w:p w14:paraId="6BD6777F">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98</w:t>
            </w:r>
          </w:p>
        </w:tc>
        <w:tc>
          <w:tcPr>
            <w:tcW w:w="992" w:type="dxa"/>
            <w:tcBorders>
              <w:top w:val="nil"/>
              <w:left w:val="single" w:color="auto" w:sz="4" w:space="0"/>
              <w:bottom w:val="single" w:color="auto" w:sz="4" w:space="0"/>
              <w:right w:val="nil"/>
            </w:tcBorders>
            <w:shd w:val="clear"/>
            <w:vAlign w:val="center"/>
          </w:tcPr>
          <w:p w14:paraId="71079751">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98</w:t>
            </w:r>
          </w:p>
        </w:tc>
        <w:tc>
          <w:tcPr>
            <w:tcW w:w="850" w:type="dxa"/>
            <w:tcBorders>
              <w:top w:val="nil"/>
              <w:left w:val="single" w:color="auto" w:sz="4" w:space="0"/>
              <w:bottom w:val="single" w:color="auto" w:sz="4" w:space="0"/>
              <w:right w:val="nil"/>
            </w:tcBorders>
            <w:shd w:val="clear"/>
            <w:vAlign w:val="center"/>
          </w:tcPr>
          <w:p w14:paraId="2AAB1DBD">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98</w:t>
            </w:r>
          </w:p>
        </w:tc>
        <w:tc>
          <w:tcPr>
            <w:tcW w:w="846" w:type="dxa"/>
            <w:tcBorders>
              <w:top w:val="nil"/>
              <w:left w:val="single" w:color="auto" w:sz="4" w:space="0"/>
              <w:bottom w:val="single" w:color="auto" w:sz="4" w:space="0"/>
              <w:right w:val="nil"/>
            </w:tcBorders>
            <w:shd w:val="clear"/>
            <w:vAlign w:val="center"/>
          </w:tcPr>
          <w:p w14:paraId="01A17EB8">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100</w:t>
            </w:r>
          </w:p>
        </w:tc>
        <w:tc>
          <w:tcPr>
            <w:tcW w:w="1000" w:type="dxa"/>
            <w:gridSpan w:val="2"/>
            <w:tcBorders>
              <w:top w:val="nil"/>
              <w:left w:val="single" w:color="auto" w:sz="4" w:space="0"/>
              <w:bottom w:val="single" w:color="auto" w:sz="4" w:space="0"/>
              <w:right w:val="nil"/>
            </w:tcBorders>
            <w:shd w:val="clear"/>
            <w:vAlign w:val="center"/>
          </w:tcPr>
          <w:p w14:paraId="557ADED6">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990" w:type="dxa"/>
            <w:tcBorders>
              <w:top w:val="nil"/>
              <w:left w:val="single" w:color="auto" w:sz="4" w:space="0"/>
              <w:bottom w:val="single" w:color="auto" w:sz="4" w:space="0"/>
              <w:right w:val="nil"/>
            </w:tcBorders>
            <w:shd w:val="clear"/>
            <w:vAlign w:val="center"/>
          </w:tcPr>
          <w:p w14:paraId="25470DDC">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hint="eastAsia" w:ascii="方正仿宋_GBK" w:hAnsi="方正仿宋_GBK" w:eastAsia="方正仿宋_GBK" w:cs="方正仿宋_GBK"/>
                <w:color w:val="000000"/>
                <w:sz w:val="28"/>
                <w:szCs w:val="28"/>
                <w:bdr w:val="none" w:color="auto" w:sz="0" w:space="0"/>
                <w:lang w:val="en-US"/>
              </w:rPr>
              <w:t>10</w:t>
            </w:r>
          </w:p>
        </w:tc>
        <w:tc>
          <w:tcPr>
            <w:tcW w:w="946" w:type="dxa"/>
            <w:tcBorders>
              <w:top w:val="nil"/>
              <w:left w:val="single" w:color="auto" w:sz="4" w:space="0"/>
              <w:bottom w:val="single" w:color="auto" w:sz="4" w:space="0"/>
              <w:right w:val="single" w:color="auto" w:sz="4" w:space="0"/>
            </w:tcBorders>
            <w:shd w:val="clear"/>
            <w:vAlign w:val="center"/>
          </w:tcPr>
          <w:p w14:paraId="11B0C0C6">
            <w:pPr>
              <w:spacing w:line="300" w:lineRule="exact"/>
              <w:jc w:val="center"/>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否</w:t>
            </w:r>
          </w:p>
        </w:tc>
      </w:tr>
      <w:tr w14:paraId="37447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2" w:hRule="atLeast"/>
          <w:jc w:val="center"/>
        </w:trPr>
        <w:tc>
          <w:tcPr>
            <w:tcW w:w="838" w:type="dxa"/>
            <w:tcBorders>
              <w:top w:val="nil"/>
              <w:left w:val="single" w:color="auto" w:sz="4" w:space="0"/>
              <w:bottom w:val="single" w:color="auto" w:sz="4" w:space="0"/>
              <w:right w:val="single" w:color="auto" w:sz="4" w:space="0"/>
            </w:tcBorders>
            <w:shd w:val="clear"/>
            <w:vAlign w:val="center"/>
          </w:tcPr>
          <w:p w14:paraId="1E7CEED1">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说明</w:t>
            </w:r>
          </w:p>
        </w:tc>
        <w:tc>
          <w:tcPr>
            <w:tcW w:w="9223" w:type="dxa"/>
            <w:gridSpan w:val="15"/>
            <w:tcBorders>
              <w:top w:val="single" w:color="auto" w:sz="4" w:space="0"/>
              <w:left w:val="nil"/>
              <w:bottom w:val="single" w:color="auto" w:sz="4" w:space="0"/>
              <w:right w:val="single" w:color="auto" w:sz="4" w:space="0"/>
            </w:tcBorders>
            <w:shd w:val="clear"/>
            <w:vAlign w:val="center"/>
          </w:tcPr>
          <w:p w14:paraId="1C97FA85">
            <w:pPr>
              <w:spacing w:line="300" w:lineRule="exact"/>
              <w:rPr>
                <w:rFonts w:hint="eastAsia" w:ascii="方正仿宋_GBK" w:hAnsi="方正仿宋_GBK" w:eastAsia="方正仿宋_GBK" w:cs="方正仿宋_GBK"/>
                <w:color w:val="000000"/>
                <w:sz w:val="28"/>
                <w:szCs w:val="28"/>
                <w:bdr w:val="none" w:color="auto" w:sz="0" w:space="0"/>
                <w:lang w:val="en-US"/>
              </w:rPr>
            </w:pPr>
            <w:r>
              <w:rPr>
                <w:rFonts w:ascii="方正仿宋_GBK" w:hAnsi="方正仿宋_GBK"/>
                <w:color w:val="000000"/>
                <w:sz w:val="28"/>
                <w:szCs w:val="28"/>
                <w:bdr w:val="none" w:color="auto" w:sz="0" w:space="0"/>
              </w:rPr>
              <w:t>有效指导全县污染源普查工作，提升全县生态环境质量。</w:t>
            </w:r>
          </w:p>
        </w:tc>
      </w:tr>
    </w:tbl>
    <w:p w14:paraId="7E77A9C5">
      <w:pPr>
        <w:pStyle w:val="42"/>
        <w:spacing w:line="560" w:lineRule="exact"/>
        <w:ind w:left="0" w:firstLine="0" w:firstLineChars="0"/>
        <w:rPr>
          <w:rFonts w:hint="eastAsia" w:ascii="方正仿宋_GBK" w:hAnsi="方正仿宋_GBK" w:eastAsia="方正仿宋_GBK" w:cs="方正仿宋_GBK"/>
          <w:b/>
          <w:bCs w:val="0"/>
          <w:kern w:val="0"/>
          <w:sz w:val="32"/>
          <w:szCs w:val="32"/>
          <w:lang w:val="en-US"/>
        </w:rPr>
      </w:pPr>
      <w:r>
        <w:rPr>
          <w:rFonts w:hint="eastAsia" w:ascii="方正仿宋_GBK" w:hAnsi="方正仿宋_GBK" w:eastAsia="方正仿宋_GBK" w:cs="方正仿宋_GBK"/>
          <w:b/>
          <w:bCs w:val="0"/>
          <w:kern w:val="0"/>
          <w:sz w:val="32"/>
          <w:szCs w:val="32"/>
          <w:lang w:val="en-US"/>
        </w:rPr>
        <w:t xml:space="preserve"> </w:t>
      </w:r>
    </w:p>
    <w:p w14:paraId="55574197">
      <w:pPr>
        <w:pStyle w:val="42"/>
        <w:spacing w:line="560" w:lineRule="exact"/>
        <w:ind w:left="0" w:firstLine="643"/>
        <w:rPr>
          <w:rFonts w:hint="eastAsia" w:ascii="方正仿宋_GBK" w:hAnsi="方正仿宋_GBK" w:eastAsia="方正仿宋_GBK" w:cs="方正仿宋_GBK"/>
          <w:kern w:val="0"/>
          <w:sz w:val="32"/>
          <w:szCs w:val="32"/>
          <w:lang w:val="en-US"/>
        </w:rPr>
      </w:pPr>
      <w:r>
        <w:rPr>
          <w:rFonts w:hint="eastAsia" w:ascii="方正仿宋_GBK" w:hAnsi="方正仿宋_GBK" w:eastAsia="方正仿宋_GBK" w:cs="方正仿宋_GBK"/>
          <w:b/>
          <w:bCs w:val="0"/>
          <w:kern w:val="0"/>
          <w:sz w:val="32"/>
          <w:szCs w:val="32"/>
          <w:lang w:val="en-US"/>
        </w:rPr>
        <w:t>2.</w:t>
      </w:r>
      <w:r>
        <w:rPr>
          <w:rFonts w:hint="eastAsia" w:ascii="方正仿宋_GBK" w:hAnsi="方正仿宋_GBK" w:eastAsia="宋体" w:cs="宋体"/>
          <w:b/>
          <w:bCs w:val="0"/>
          <w:kern w:val="0"/>
          <w:sz w:val="32"/>
          <w:szCs w:val="32"/>
          <w:lang w:eastAsia="zh-CN"/>
        </w:rPr>
        <w:t>绩效自评报告或案例</w:t>
      </w:r>
    </w:p>
    <w:p w14:paraId="7A5C2E58">
      <w:pPr>
        <w:pStyle w:val="42"/>
        <w:spacing w:line="560" w:lineRule="exact"/>
        <w:ind w:left="0" w:firstLine="640"/>
        <w:rPr>
          <w:rFonts w:hint="eastAsia" w:ascii="方正仿宋_GBK" w:hAnsi="方正仿宋_GBK" w:eastAsia="方正仿宋_GBK" w:cs="方正仿宋_GBK"/>
          <w:kern w:val="0"/>
          <w:sz w:val="32"/>
          <w:szCs w:val="32"/>
          <w:lang w:val="en-US"/>
        </w:rPr>
      </w:pPr>
      <w:r>
        <w:rPr>
          <w:rFonts w:hint="eastAsia" w:ascii="方正仿宋_GBK" w:hAnsi="方正仿宋_GBK" w:eastAsia="宋体" w:cs="宋体"/>
          <w:kern w:val="0"/>
          <w:sz w:val="32"/>
          <w:szCs w:val="32"/>
          <w:lang w:eastAsia="zh-CN"/>
        </w:rPr>
        <w:t>无</w:t>
      </w:r>
    </w:p>
    <w:p w14:paraId="72E24FCC">
      <w:pPr>
        <w:pStyle w:val="42"/>
        <w:numPr>
          <w:ilvl w:val="0"/>
          <w:numId w:val="3"/>
        </w:numPr>
        <w:spacing w:line="560" w:lineRule="exact"/>
        <w:ind w:left="0" w:firstLine="640"/>
        <w:rPr>
          <w:rFonts w:hint="default" w:ascii="方正楷体_GBK" w:hAnsi="方正楷体_GBK" w:eastAsia="方正楷体_GBK" w:cs="方正楷体_GBK"/>
          <w:color w:val="333333"/>
          <w:sz w:val="32"/>
          <w:szCs w:val="32"/>
          <w:lang w:val="en-US"/>
        </w:rPr>
      </w:pPr>
      <w:r>
        <w:rPr>
          <w:rFonts w:hint="eastAsia" w:ascii="方正楷体_GBK" w:hAnsi="方正楷体_GBK" w:eastAsia="宋体" w:cs="宋体"/>
          <w:color w:val="333333"/>
          <w:sz w:val="32"/>
          <w:szCs w:val="32"/>
          <w:lang w:eastAsia="zh-CN"/>
        </w:rPr>
        <w:t>重点绩效评价结果</w:t>
      </w:r>
    </w:p>
    <w:p w14:paraId="1D90EDD7">
      <w:pPr>
        <w:pStyle w:val="42"/>
        <w:spacing w:line="560" w:lineRule="exact"/>
        <w:ind w:left="0" w:firstLine="640"/>
        <w:rPr>
          <w:rFonts w:hint="eastAsia" w:ascii="方正仿宋_GBK" w:hAnsi="方正仿宋_GBK" w:eastAsia="方正仿宋_GBK" w:cs="方正仿宋_GBK"/>
          <w:kern w:val="0"/>
          <w:sz w:val="32"/>
          <w:szCs w:val="32"/>
          <w:lang w:val="en-US"/>
        </w:rPr>
      </w:pPr>
      <w:r>
        <w:rPr>
          <w:rFonts w:hint="eastAsia" w:ascii="方正仿宋_GBK" w:hAnsi="方正仿宋_GBK" w:eastAsia="宋体" w:cs="宋体"/>
          <w:kern w:val="0"/>
          <w:sz w:val="32"/>
          <w:szCs w:val="32"/>
          <w:lang w:eastAsia="zh-CN"/>
        </w:rPr>
        <w:t>无</w:t>
      </w:r>
    </w:p>
    <w:p w14:paraId="346947CB">
      <w:pPr>
        <w:autoSpaceDE w:val="0"/>
        <w:autoSpaceDN/>
        <w:spacing w:line="500" w:lineRule="exact"/>
        <w:ind w:left="0" w:firstLine="640" w:firstLineChars="200"/>
        <w:rPr>
          <w:rFonts w:hint="default" w:ascii="方正黑体_GBK" w:hAnsi="方正黑体_GBK" w:eastAsia="方正黑体_GBK" w:cs="方正黑体_GBK"/>
          <w:bCs/>
          <w:sz w:val="32"/>
          <w:szCs w:val="32"/>
          <w:lang w:val="en-US"/>
        </w:rPr>
      </w:pPr>
      <w:r>
        <w:rPr>
          <w:rFonts w:ascii="方正黑体_GBK" w:hAnsi="方正黑体_GBK"/>
          <w:bCs/>
          <w:sz w:val="32"/>
          <w:szCs w:val="32"/>
          <w:lang w:eastAsia="zh-CN"/>
        </w:rPr>
        <w:t>六、专业名词解释</w:t>
      </w:r>
    </w:p>
    <w:p w14:paraId="0319F743">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仿宋_GBK" w:hAnsi="方正仿宋_GBK"/>
          <w:sz w:val="32"/>
          <w:szCs w:val="32"/>
          <w:lang w:eastAsia="zh-CN"/>
        </w:rPr>
        <w:t>以下为常见专业名词解释目录，仅供参考，部门应根据实际情况进行解释和增减。比如可将类级功能科目和经济科目细化解释到项级。若有删减注意调整段落序号。</w:t>
      </w:r>
    </w:p>
    <w:p w14:paraId="49ED85E9">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楷体_GBK" w:hAnsi="方正楷体_GBK"/>
          <w:sz w:val="32"/>
          <w:szCs w:val="32"/>
          <w:lang w:eastAsia="zh-CN"/>
        </w:rPr>
        <w:t>（一）财政拨款收入：</w:t>
      </w:r>
      <w:r>
        <w:rPr>
          <w:rFonts w:ascii="方正仿宋_GBK" w:hAnsi="方正仿宋_GBK"/>
          <w:sz w:val="32"/>
          <w:szCs w:val="32"/>
          <w:lang w:eastAsia="zh-CN"/>
        </w:rPr>
        <w:t>指本年度从本级财政部门取得的财政拨款，包括一般公共预算财政拨款和政府性基金预算财政拨款。</w:t>
      </w:r>
    </w:p>
    <w:p w14:paraId="1632D73E">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楷体_GBK" w:hAnsi="方正楷体_GBK"/>
          <w:sz w:val="32"/>
          <w:szCs w:val="32"/>
          <w:lang w:eastAsia="zh-CN"/>
        </w:rPr>
        <w:t>（二）事业收入：</w:t>
      </w:r>
      <w:r>
        <w:rPr>
          <w:rFonts w:ascii="方正仿宋_GBK" w:hAnsi="方正仿宋_GBK"/>
          <w:sz w:val="32"/>
          <w:szCs w:val="32"/>
          <w:lang w:eastAsia="zh-CN"/>
        </w:rPr>
        <w:t>指事业单位开展专业业务活动及其辅助活动取得的现金流入；事业单位收到的财政专户实际核拨的教育收费等资金在此反映。</w:t>
      </w:r>
    </w:p>
    <w:p w14:paraId="0A9EC114">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楷体_GBK" w:hAnsi="方正楷体_GBK"/>
          <w:sz w:val="32"/>
          <w:szCs w:val="32"/>
          <w:lang w:eastAsia="zh-CN"/>
        </w:rPr>
        <w:t>（三）经营收入：</w:t>
      </w:r>
      <w:r>
        <w:rPr>
          <w:rFonts w:ascii="方正仿宋_GBK" w:hAnsi="方正仿宋_GBK"/>
          <w:sz w:val="32"/>
          <w:szCs w:val="32"/>
          <w:lang w:eastAsia="zh-CN"/>
        </w:rPr>
        <w:t>指事业单位在专业业务活动及其辅助活动之外开展非独立核算经营活动取得的现金流入。</w:t>
      </w:r>
    </w:p>
    <w:p w14:paraId="10536E55">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楷体_GBK" w:hAnsi="方正楷体_GBK"/>
          <w:sz w:val="32"/>
          <w:szCs w:val="32"/>
          <w:lang w:eastAsia="zh-CN"/>
        </w:rPr>
        <w:t>（四）其他收入：</w:t>
      </w:r>
      <w:r>
        <w:rPr>
          <w:rFonts w:ascii="方正仿宋_GBK" w:hAnsi="方正仿宋_GBK"/>
          <w:sz w:val="32"/>
          <w:szCs w:val="32"/>
          <w:lang w:eastAsia="zh-CN"/>
        </w:rPr>
        <w:t>指单位取得的除</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财政拨款收入</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事业收入</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经营收入</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51D43205">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楷体_GBK" w:hAnsi="方正楷体_GBK"/>
          <w:sz w:val="32"/>
          <w:szCs w:val="32"/>
          <w:lang w:eastAsia="zh-CN"/>
        </w:rPr>
        <w:t>（五）用事业基金弥补收支差额：</w:t>
      </w:r>
      <w:r>
        <w:rPr>
          <w:rFonts w:ascii="方正仿宋_GBK" w:hAnsi="方正仿宋_GBK"/>
          <w:sz w:val="32"/>
          <w:szCs w:val="32"/>
          <w:lang w:eastAsia="zh-CN"/>
        </w:rPr>
        <w:t>指事业单位在当年的</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财政拨款收入</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事业收入</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经营收入</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其他收入</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等不足以安排当年支出的情况下，使用以前年度积累的事业基金（事业单位当年收支相抵后按国家规定提取、用于弥补以后年度收支差额的基金）弥补本年度收支缺口的资金。</w:t>
      </w:r>
    </w:p>
    <w:p w14:paraId="7FA9F936">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楷体_GBK" w:hAnsi="方正楷体_GBK"/>
          <w:sz w:val="32"/>
          <w:szCs w:val="32"/>
          <w:lang w:eastAsia="zh-CN"/>
        </w:rPr>
        <w:t>（六）年初结转和结余</w:t>
      </w:r>
      <w:r>
        <w:rPr>
          <w:rFonts w:ascii="方正仿宋_GBK" w:hAnsi="方正仿宋_GBK"/>
          <w:sz w:val="32"/>
          <w:szCs w:val="32"/>
          <w:lang w:eastAsia="zh-CN"/>
        </w:rPr>
        <w:t>：指单位上年结转本年使用的基本支出结转、项目支出结转和结余、经营结余。</w:t>
      </w:r>
    </w:p>
    <w:p w14:paraId="7977AA48">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楷体_GBK" w:hAnsi="方正楷体_GBK"/>
          <w:sz w:val="32"/>
          <w:szCs w:val="32"/>
          <w:lang w:eastAsia="zh-CN"/>
        </w:rPr>
        <w:t>（七）结余分配：</w:t>
      </w:r>
      <w:r>
        <w:rPr>
          <w:rFonts w:ascii="方正仿宋_GBK" w:hAnsi="方正仿宋_GBK"/>
          <w:sz w:val="32"/>
          <w:szCs w:val="32"/>
          <w:lang w:eastAsia="zh-CN"/>
        </w:rPr>
        <w:t>指单位按照国家有关规定，缴纳所得税、提取专用基金、转入事业基金等当年结余的分配情况。</w:t>
      </w:r>
    </w:p>
    <w:p w14:paraId="09F50E58">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楷体_GBK" w:hAnsi="方正楷体_GBK"/>
          <w:sz w:val="32"/>
          <w:szCs w:val="32"/>
          <w:lang w:eastAsia="zh-CN"/>
        </w:rPr>
        <w:t>（八）年末结转和结余：</w:t>
      </w:r>
      <w:r>
        <w:rPr>
          <w:rFonts w:ascii="方正仿宋_GBK" w:hAnsi="方正仿宋_GBK"/>
          <w:sz w:val="32"/>
          <w:szCs w:val="32"/>
          <w:lang w:eastAsia="zh-CN"/>
        </w:rPr>
        <w:t>指单位结转下年的基本支出结转、项目支出结转和结余、经营结余。</w:t>
      </w:r>
    </w:p>
    <w:p w14:paraId="2CBF5253">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楷体_GBK" w:hAnsi="方正楷体_GBK"/>
          <w:sz w:val="32"/>
          <w:szCs w:val="32"/>
          <w:lang w:eastAsia="zh-CN"/>
        </w:rPr>
        <w:t>（九）基本支出：</w:t>
      </w:r>
      <w:r>
        <w:rPr>
          <w:rFonts w:ascii="方正仿宋_GBK" w:hAnsi="方正仿宋_GBK"/>
          <w:sz w:val="32"/>
          <w:szCs w:val="32"/>
          <w:lang w:eastAsia="zh-CN"/>
        </w:rPr>
        <w:t>指为保障机构正常运转、完成日常工作任务而发生的人员经费和公用经费。其中：人员经费指政府收支分类经济科目中的</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工资福利支出</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和</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对个人和家庭的补助</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；公用经费指政府收支分类经济科目中除</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工资福利支出</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和</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对个人和家庭的补助</w:t>
      </w:r>
      <w:r>
        <w:rPr>
          <w:rFonts w:hint="eastAsia" w:ascii="方正仿宋_GBK" w:hAnsi="方正仿宋_GBK" w:eastAsia="方正仿宋_GBK" w:cs="方正仿宋_GBK"/>
          <w:sz w:val="32"/>
          <w:szCs w:val="32"/>
          <w:lang w:val="en-US"/>
        </w:rPr>
        <w:t>”</w:t>
      </w:r>
      <w:r>
        <w:rPr>
          <w:rFonts w:ascii="方正仿宋_GBK" w:hAnsi="方正仿宋_GBK"/>
          <w:sz w:val="32"/>
          <w:szCs w:val="32"/>
          <w:lang w:eastAsia="zh-CN"/>
        </w:rPr>
        <w:t>外的其他支出。</w:t>
      </w:r>
    </w:p>
    <w:p w14:paraId="00B1CEE9">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楷体_GBK" w:hAnsi="方正楷体_GBK"/>
          <w:sz w:val="32"/>
          <w:szCs w:val="32"/>
          <w:lang w:eastAsia="zh-CN"/>
        </w:rPr>
        <w:t>（十）项目支出：</w:t>
      </w:r>
      <w:r>
        <w:rPr>
          <w:rFonts w:ascii="方正仿宋_GBK" w:hAnsi="方正仿宋_GBK"/>
          <w:sz w:val="32"/>
          <w:szCs w:val="32"/>
          <w:lang w:eastAsia="zh-CN"/>
        </w:rPr>
        <w:t>指在基本支出之外为完成特定行政任务和事业发展目标所发生的支出。</w:t>
      </w:r>
    </w:p>
    <w:p w14:paraId="790849F2">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楷体_GBK" w:hAnsi="方正楷体_GBK"/>
          <w:sz w:val="32"/>
          <w:szCs w:val="32"/>
          <w:lang w:eastAsia="zh-CN"/>
        </w:rPr>
        <w:t>（十一）经营支出：</w:t>
      </w:r>
      <w:r>
        <w:rPr>
          <w:rFonts w:ascii="方正仿宋_GBK" w:hAnsi="方正仿宋_GBK"/>
          <w:sz w:val="32"/>
          <w:szCs w:val="32"/>
          <w:lang w:eastAsia="zh-CN"/>
        </w:rPr>
        <w:t>指事业单位在专业业务活动及其辅助活动之外开展非独立核算经营活动发生的支出。</w:t>
      </w:r>
    </w:p>
    <w:p w14:paraId="7B6B23EA">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楷体_GBK" w:hAnsi="方正楷体_GBK"/>
          <w:sz w:val="32"/>
          <w:szCs w:val="32"/>
          <w:lang w:eastAsia="zh-CN"/>
        </w:rPr>
        <w:t>（十二）</w:t>
      </w:r>
      <w:r>
        <w:rPr>
          <w:rFonts w:hint="default" w:ascii="方正楷体_GBK" w:hAnsi="方正楷体_GBK" w:eastAsia="方正楷体_GBK" w:cs="方正楷体_GBK"/>
          <w:sz w:val="32"/>
          <w:szCs w:val="32"/>
          <w:lang w:val="en-US"/>
        </w:rPr>
        <w:t>“</w:t>
      </w:r>
      <w:r>
        <w:rPr>
          <w:rFonts w:ascii="方正楷体_GBK" w:hAnsi="方正楷体_GBK"/>
          <w:sz w:val="32"/>
          <w:szCs w:val="32"/>
          <w:lang w:eastAsia="zh-CN"/>
        </w:rPr>
        <w:t>三公</w:t>
      </w:r>
      <w:r>
        <w:rPr>
          <w:rFonts w:hint="default" w:ascii="方正楷体_GBK" w:hAnsi="方正楷体_GBK" w:eastAsia="方正楷体_GBK" w:cs="方正楷体_GBK"/>
          <w:sz w:val="32"/>
          <w:szCs w:val="32"/>
          <w:lang w:val="en-US"/>
        </w:rPr>
        <w:t>”</w:t>
      </w:r>
      <w:r>
        <w:rPr>
          <w:rFonts w:ascii="方正楷体_GBK" w:hAnsi="方正楷体_GBK"/>
          <w:sz w:val="32"/>
          <w:szCs w:val="32"/>
          <w:lang w:eastAsia="zh-CN"/>
        </w:rPr>
        <w:t>经费：</w:t>
      </w:r>
      <w:r>
        <w:rPr>
          <w:rFonts w:ascii="方正仿宋_GBK" w:hAnsi="方正仿宋_GBK"/>
          <w:sz w:val="32"/>
          <w:szCs w:val="32"/>
          <w:lang w:eastAsia="zh-CN"/>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06973C1A">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楷体_GBK" w:hAnsi="方正楷体_GBK"/>
          <w:sz w:val="32"/>
          <w:szCs w:val="32"/>
          <w:lang w:eastAsia="zh-CN"/>
        </w:rPr>
        <w:t>（十三）机关运行经费：</w:t>
      </w:r>
      <w:r>
        <w:rPr>
          <w:rFonts w:ascii="方正仿宋_GBK" w:hAnsi="方正仿宋_GBK"/>
          <w:sz w:val="32"/>
          <w:szCs w:val="32"/>
          <w:lang w:eastAsia="zh-CN"/>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7F910551">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hint="default" w:ascii="方正楷体_GBK" w:hAnsi="方正楷体_GBK" w:eastAsia="方正楷体_GBK" w:cs="方正楷体_GBK"/>
          <w:sz w:val="32"/>
          <w:szCs w:val="32"/>
          <w:lang w:val="en-US"/>
        </w:rPr>
        <w:t>(</w:t>
      </w:r>
      <w:r>
        <w:rPr>
          <w:rFonts w:ascii="方正楷体_GBK" w:hAnsi="方正楷体_GBK"/>
          <w:sz w:val="32"/>
          <w:szCs w:val="32"/>
          <w:lang w:eastAsia="zh-CN"/>
        </w:rPr>
        <w:t>十四）工资福利支出（支出经济分类科目类级）：</w:t>
      </w:r>
      <w:r>
        <w:rPr>
          <w:rFonts w:ascii="方正仿宋_GBK" w:hAnsi="方正仿宋_GBK"/>
          <w:sz w:val="32"/>
          <w:szCs w:val="32"/>
          <w:lang w:eastAsia="zh-CN"/>
        </w:rPr>
        <w:t>反映单位开支的在职职工和编制外长期聘用人员的各类劳动报酬，以及为上述人员缴纳的各项社会保险费等。</w:t>
      </w:r>
    </w:p>
    <w:p w14:paraId="7CDC9CBD">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楷体_GBK" w:hAnsi="方正楷体_GBK"/>
          <w:sz w:val="32"/>
          <w:szCs w:val="32"/>
          <w:lang w:eastAsia="zh-CN"/>
        </w:rPr>
        <w:t>（十五）商品和服务支出（支出经济分类科目类级）：</w:t>
      </w:r>
      <w:r>
        <w:rPr>
          <w:rFonts w:ascii="方正仿宋_GBK" w:hAnsi="方正仿宋_GBK"/>
          <w:sz w:val="32"/>
          <w:szCs w:val="32"/>
          <w:lang w:eastAsia="zh-CN"/>
        </w:rPr>
        <w:t>反映单位购买商品和服务的支出（不包括用于购置固定资产的支出、战略性和应急储备支出）。</w:t>
      </w:r>
    </w:p>
    <w:p w14:paraId="4B13DD4B">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楷体_GBK" w:hAnsi="方正楷体_GBK"/>
          <w:sz w:val="32"/>
          <w:szCs w:val="32"/>
          <w:lang w:eastAsia="zh-CN"/>
        </w:rPr>
        <w:t>（十六）对个人和家庭的补助（支出经济分类科目类级）：</w:t>
      </w:r>
      <w:r>
        <w:rPr>
          <w:rFonts w:ascii="方正仿宋_GBK" w:hAnsi="方正仿宋_GBK"/>
          <w:sz w:val="32"/>
          <w:szCs w:val="32"/>
          <w:lang w:eastAsia="zh-CN"/>
        </w:rPr>
        <w:t>反映用于对个人和家庭的补助支出。</w:t>
      </w:r>
    </w:p>
    <w:p w14:paraId="37FE0064">
      <w:pPr>
        <w:autoSpaceDE w:val="0"/>
        <w:autoSpaceDN/>
        <w:spacing w:line="500" w:lineRule="exact"/>
        <w:ind w:left="0" w:firstLine="640" w:firstLineChars="200"/>
        <w:rPr>
          <w:rFonts w:hint="eastAsia" w:ascii="方正仿宋_GBK" w:hAnsi="方正仿宋_GBK" w:eastAsia="方正仿宋_GBK" w:cs="方正仿宋_GBK"/>
          <w:sz w:val="32"/>
          <w:szCs w:val="32"/>
          <w:lang w:val="en-US"/>
        </w:rPr>
      </w:pPr>
      <w:r>
        <w:rPr>
          <w:rFonts w:ascii="方正楷体_GBK" w:hAnsi="方正楷体_GBK"/>
          <w:sz w:val="32"/>
          <w:szCs w:val="32"/>
          <w:lang w:eastAsia="zh-CN"/>
        </w:rPr>
        <w:t>（十七）其他资本性支出（支出经济分类科目类级）：</w:t>
      </w:r>
      <w:r>
        <w:rPr>
          <w:rFonts w:ascii="方正仿宋_GBK" w:hAnsi="方正仿宋_GBK"/>
          <w:sz w:val="32"/>
          <w:szCs w:val="32"/>
          <w:lang w:eastAsia="zh-CN"/>
        </w:rPr>
        <w:t>反映非各级发展与改革部门集中安排的用于购置固定资产、战略性和应急性储备、土地和无形资产，以及构建基础设施、大型修缮和财政支持企业更新改造所发生的支出。</w:t>
      </w:r>
    </w:p>
    <w:p w14:paraId="6C60751F">
      <w:pPr>
        <w:autoSpaceDE w:val="0"/>
        <w:autoSpaceDN/>
        <w:spacing w:line="500" w:lineRule="exact"/>
        <w:ind w:left="0" w:firstLine="640" w:firstLineChars="200"/>
        <w:rPr>
          <w:rFonts w:hint="default" w:ascii="方正黑体_GBK" w:hAnsi="方正黑体_GBK" w:eastAsia="方正黑体_GBK" w:cs="Times New Roman"/>
          <w:bCs/>
          <w:sz w:val="32"/>
          <w:szCs w:val="32"/>
          <w:lang w:val="en-US"/>
        </w:rPr>
      </w:pPr>
      <w:r>
        <w:rPr>
          <w:rFonts w:ascii="方正黑体_GBK" w:hAnsi="方正黑体_GBK"/>
          <w:bCs/>
          <w:sz w:val="32"/>
          <w:szCs w:val="32"/>
          <w:lang w:eastAsia="zh-CN"/>
        </w:rPr>
        <w:t>七、决算公开联系方式及信息反馈渠道</w:t>
      </w:r>
    </w:p>
    <w:p w14:paraId="5418F04C">
      <w:pPr>
        <w:autoSpaceDE w:val="0"/>
        <w:autoSpaceDN/>
        <w:spacing w:line="500" w:lineRule="exact"/>
        <w:ind w:left="0" w:firstLine="640" w:firstLineChars="200"/>
        <w:rPr>
          <w:rFonts w:hint="default" w:ascii="Times New Roman" w:hAnsi="Times New Roman" w:eastAsia="方正仿宋_GBK" w:cs="Times New Roman"/>
          <w:sz w:val="32"/>
          <w:szCs w:val="32"/>
          <w:lang w:val="en-US"/>
        </w:rPr>
      </w:pPr>
      <w:r>
        <w:rPr>
          <w:rFonts w:ascii="方正仿宋_GBK" w:hAnsi="方正仿宋_GBK"/>
          <w:sz w:val="32"/>
          <w:szCs w:val="32"/>
          <w:lang w:eastAsia="zh-CN"/>
        </w:rPr>
        <w:t>本单位决算公开信息反馈和联系方式：</w:t>
      </w:r>
      <w:r>
        <w:rPr>
          <w:rFonts w:hint="default" w:ascii="Times New Roman" w:hAnsi="Times New Roman" w:eastAsia="方正仿宋_GBK" w:cs="Times New Roman"/>
          <w:sz w:val="32"/>
          <w:szCs w:val="32"/>
          <w:lang w:val="en-US"/>
        </w:rPr>
        <w:t xml:space="preserve"> 59222621</w:t>
      </w:r>
    </w:p>
    <w:sectPr>
      <w:pgSz w:w="11915" w:h="16851"/>
      <w:pgMar w:top="1327" w:right="1800" w:bottom="1157" w:left="1800" w:header="851" w:footer="992" w:gutter="0"/>
      <w:paperSrc/>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_GBK">
    <w:altName w:val="Times New Roman"/>
    <w:panose1 w:val="00000000000000000000"/>
    <w:charset w:val="00"/>
    <w:family w:val="auto"/>
    <w:pitch w:val="default"/>
    <w:sig w:usb0="00000000" w:usb1="00000000" w:usb2="00000000" w:usb3="00000000" w:csb0="00000000" w:csb1="00000000"/>
  </w:font>
  <w:font w:name="Cambria Math">
    <w:panose1 w:val="02040503050406030204"/>
    <w:charset w:val="00"/>
    <w:family w:val="auto"/>
    <w:pitch w:val="variable"/>
    <w:sig w:usb0="E00006FF" w:usb1="420024FF" w:usb2="02000000" w:usb3="00000000" w:csb0="2000019F" w:csb1="00000000"/>
  </w:font>
  <w:font w:name="方正小标宋_GBK">
    <w:altName w:val="Times New Roman"/>
    <w:panose1 w:val="00000000000000000000"/>
    <w:charset w:val="00"/>
    <w:family w:val="auto"/>
    <w:pitch w:val="default"/>
    <w:sig w:usb0="00000000" w:usb1="00000000" w:usb2="00000000" w:usb3="00000000" w:csb0="00000000" w:csb1="00000000"/>
  </w:font>
  <w:font w:name="Cambria">
    <w:panose1 w:val="02040503050406030204"/>
    <w:charset w:val="00"/>
    <w:family w:val="auto"/>
    <w:pitch w:val="variable"/>
    <w:sig w:usb0="E00006FF" w:usb1="420024FF" w:usb2="02000000" w:usb3="00000000" w:csb0="2000019F" w:csb1="00000000"/>
  </w:font>
  <w:font w:name="方正黑体_GBK">
    <w:altName w:val="Times New Roman"/>
    <w:panose1 w:val="00000000000000000000"/>
    <w:charset w:val="00"/>
    <w:family w:val="auto"/>
    <w:pitch w:val="default"/>
    <w:sig w:usb0="00000000" w:usb1="00000000" w:usb2="00000000" w:usb3="00000000" w:csb0="00000000" w:csb1="00000000"/>
  </w:font>
  <w:font w:name="方正仿宋_GBK">
    <w:panose1 w:val="03000509000000000000"/>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Courier New">
    <w:panose1 w:val="02070309020205020404"/>
    <w:charset w:val="00"/>
    <w:family w:val="auto"/>
    <w:pitch w:val="default"/>
    <w:sig w:usb0="E0002EFF" w:usb1="C0007843" w:usb2="00000009" w:usb3="00000000" w:csb0="400001FF" w:csb1="FFFF0000"/>
  </w:font>
  <w:font w:name="KSOF53957553">
    <w:panose1 w:val="02020603050405020304"/>
    <w:charset w:val="86"/>
    <w:family w:val="auto"/>
    <w:pitch w:val="default"/>
    <w:sig w:usb0="00000001" w:usb1="00000000" w:usb2="00000000" w:usb3="00000000" w:csb0="00040001" w:csb1="00000000"/>
  </w:font>
  <w:font w:name="KSOF5C0488F0">
    <w:panose1 w:val="02020603050405020304"/>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39003B"/>
    <w:multiLevelType w:val="multilevel"/>
    <w:tmpl w:val="9F39003B"/>
    <w:lvl w:ilvl="0" w:tentative="0">
      <w:start w:val="3"/>
      <w:numFmt w:val="chineseCounting"/>
      <w:suff w:val="nothing"/>
      <w:lvlText w:val="（%1）"/>
      <w:lvlJc w:val="left"/>
      <w:pPr>
        <w:tabs>
          <w:tab w:val="left" w:pos="0"/>
        </w:tabs>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1">
    <w:nsid w:val="C3B188A8"/>
    <w:multiLevelType w:val="multilevel"/>
    <w:tmpl w:val="C3B188A8"/>
    <w:lvl w:ilvl="0" w:tentative="0">
      <w:start w:val="2"/>
      <w:numFmt w:val="chineseCounting"/>
      <w:suff w:val="nothing"/>
      <w:lvlText w:val="（%1）"/>
      <w:lvlJc w:val="left"/>
      <w:pPr>
        <w:tabs>
          <w:tab w:val="left" w:pos="0"/>
        </w:tabs>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abstractNum w:abstractNumId="2">
    <w:nsid w:val="F7AE729A"/>
    <w:multiLevelType w:val="multilevel"/>
    <w:tmpl w:val="F7AE729A"/>
    <w:lvl w:ilvl="0" w:tentative="0">
      <w:start w:val="4"/>
      <w:numFmt w:val="chineseCounting"/>
      <w:suff w:val="nothing"/>
      <w:lvlText w:val="（%1）"/>
      <w:lvlJc w:val="left"/>
      <w:pPr>
        <w:tabs>
          <w:tab w:val="left" w:pos="0"/>
        </w:tabs>
        <w:ind w:left="525"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7"/>
  <w:displayHorizontalDrawingGridEvery w:val="0"/>
  <w:displayVerticalDrawingGridEvery w:val="2"/>
  <w:noPunctuationKerning w:val="1"/>
  <w:characterSpacingControl w:val="doNotCompress"/>
  <w:footnotePr>
    <w:footnote w:id="0"/>
    <w:footnote w:id="1"/>
  </w:foot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3223E5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iPriority="99"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name="heading 7"/>
    <w:lsdException w:qFormat="1" w:unhideWhenUsed="0" w:uiPriority="0" w:name="heading 8"/>
    <w:lsdException w:qFormat="1" w:unhideWhenUsed="0"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nhideWhenUsed="0"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99"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semiHidden="0" w:name="Table Simple 1"/>
    <w:lsdException w:uiPriority="99" w:semiHidden="0" w:name="Table Simple 2"/>
    <w:lsdException w:uiPriority="99" w:semiHidden="0" w:name="Table Simple 3"/>
    <w:lsdException w:uiPriority="99" w:semiHidden="0" w:name="Table Classic 1"/>
    <w:lsdException w:uiPriority="99" w:semiHidden="0" w:name="Table Classic 2"/>
    <w:lsdException w:uiPriority="99" w:semiHidden="0" w:name="Table Classic 3"/>
    <w:lsdException w:uiPriority="99" w:semiHidden="0" w:name="Table Classic 4"/>
    <w:lsdException w:uiPriority="99" w:semiHidden="0" w:name="Table Colorful 1"/>
    <w:lsdException w:uiPriority="99" w:semiHidden="0" w:name="Table Colorful 2"/>
    <w:lsdException w:uiPriority="99" w:semiHidden="0" w:name="Table Colorful 3"/>
    <w:lsdException w:uiPriority="99" w:semiHidden="0" w:name="Table Columns 1"/>
    <w:lsdException w:uiPriority="99" w:semiHidden="0" w:name="Table Columns 2"/>
    <w:lsdException w:uiPriority="99" w:semiHidden="0" w:name="Table Columns 3"/>
    <w:lsdException w:uiPriority="99" w:semiHidden="0" w:name="Table Columns 4"/>
    <w:lsdException w:uiPriority="99" w:semiHidden="0" w:name="Table Columns 5"/>
    <w:lsdException w:uiPriority="99" w:semiHidden="0" w:name="Table Grid 1"/>
    <w:lsdException w:uiPriority="99" w:semiHidden="0" w:name="Table Grid 2"/>
    <w:lsdException w:uiPriority="99" w:semiHidden="0" w:name="Table Grid 3"/>
    <w:lsdException w:uiPriority="99" w:semiHidden="0" w:name="Table Grid 4"/>
    <w:lsdException w:uiPriority="99" w:semiHidden="0" w:name="Table Grid 5"/>
    <w:lsdException w:uiPriority="99" w:semiHidden="0" w:name="Table Grid 6"/>
    <w:lsdException w:uiPriority="99" w:semiHidden="0" w:name="Table Grid 7"/>
    <w:lsdException w:uiPriority="99" w:semiHidden="0" w:name="Table Grid 8"/>
    <w:lsdException w:uiPriority="99" w:semiHidden="0" w:name="Table List 1"/>
    <w:lsdException w:uiPriority="99" w:semiHidden="0" w:name="Table List 2"/>
    <w:lsdException w:uiPriority="99" w:semiHidden="0" w:name="Table List 3"/>
    <w:lsdException w:uiPriority="99" w:semiHidden="0" w:name="Table List 4"/>
    <w:lsdException w:uiPriority="99" w:semiHidden="0" w:name="Table List 5"/>
    <w:lsdException w:uiPriority="99" w:semiHidden="0" w:name="Table List 6"/>
    <w:lsdException w:uiPriority="99" w:semiHidden="0" w:name="Table List 7"/>
    <w:lsdException w:uiPriority="99" w:semiHidden="0" w:name="Table List 8"/>
    <w:lsdException w:uiPriority="99" w:semiHidden="0" w:name="Table 3D effects 1"/>
    <w:lsdException w:uiPriority="99" w:semiHidden="0" w:name="Table 3D effects 2"/>
    <w:lsdException w:uiPriority="99" w:semiHidden="0" w:name="Table 3D effects 3"/>
    <w:lsdException w:uiPriority="99" w:semiHidden="0" w:name="Table Contemporary"/>
    <w:lsdException w:uiPriority="99" w:semiHidden="0" w:name="Table Elegant"/>
    <w:lsdException w:uiPriority="99" w:semiHidden="0" w:name="Table Professional"/>
    <w:lsdException w:uiPriority="99" w:semiHidden="0" w:name="Table Subtle 1"/>
    <w:lsdException w:uiPriority="99" w:semiHidden="0" w:name="Table Subtle 2"/>
    <w:lsdException w:uiPriority="99" w:semiHidden="0" w:name="Table Web 1"/>
    <w:lsdException w:uiPriority="99" w:semiHidden="0" w:name="Table Web 2"/>
    <w:lsdException w:uiPriority="99" w:semiHidden="0" w:name="Table Web 3"/>
    <w:lsdException w:unhideWhenUsed="0" w:uiPriority="0" w:semiHidden="0" w:name="Balloon Text"/>
    <w:lsdException w:uiPriority="99" w:semiHidden="0" w:name="Table Grid"/>
    <w:lsdException w:uiPriority="99" w:semiHidden="0" w:name="Table Theme"/>
    <w:lsdException w:uiPriority="99" w:semiHidden="0" w:name="Light Shading"/>
    <w:lsdException w:uiPriority="99" w:semiHidden="0" w:name="Light List"/>
    <w:lsdException w:uiPriority="99" w:semiHidden="0" w:name="Light Grid"/>
    <w:lsdException w:uiPriority="99" w:semiHidden="0" w:name="Medium Shading 1"/>
    <w:lsdException w:uiPriority="99" w:semiHidden="0" w:name="Medium Shading 2"/>
    <w:lsdException w:uiPriority="99" w:semiHidden="0" w:name="Medium List 1"/>
    <w:lsdException w:uiPriority="99" w:semiHidden="0" w:name="Medium List 2"/>
    <w:lsdException w:uiPriority="99" w:semiHidden="0" w:name="Medium Grid 1"/>
    <w:lsdException w:uiPriority="99" w:semiHidden="0" w:name="Medium Grid 2"/>
    <w:lsdException w:uiPriority="99" w:semiHidden="0" w:name="Medium Grid 3"/>
    <w:lsdException w:uiPriority="99" w:semiHidden="0" w:name="Dark List"/>
    <w:lsdException w:uiPriority="99" w:semiHidden="0" w:name="Colorful Shading"/>
    <w:lsdException w:uiPriority="99" w:semiHidden="0" w:name="Colorful List"/>
    <w:lsdException w:uiPriority="99" w:semiHidden="0" w:name="Colorful Grid"/>
    <w:lsdException w:uiPriority="99" w:semiHidden="0" w:name="Light Shading Accent 1"/>
    <w:lsdException w:uiPriority="99" w:semiHidden="0" w:name="Light List Accent 1"/>
    <w:lsdException w:uiPriority="99" w:semiHidden="0" w:name="Light Grid Accent 1"/>
    <w:lsdException w:uiPriority="99" w:semiHidden="0" w:name="Medium Shading 1 Accent 1"/>
    <w:lsdException w:uiPriority="99" w:semiHidden="0" w:name="Medium Shading 2 Accent 1"/>
    <w:lsdException w:uiPriority="99" w:semiHidden="0" w:name="Medium List 1 Accent 1"/>
    <w:lsdException w:uiPriority="99" w:semiHidden="0" w:name="Medium List 2 Accent 1"/>
    <w:lsdException w:uiPriority="99" w:semiHidden="0" w:name="Medium Grid 1 Accent 1"/>
    <w:lsdException w:uiPriority="99" w:semiHidden="0" w:name="Medium Grid 2 Accent 1"/>
    <w:lsdException w:uiPriority="99" w:semiHidden="0" w:name="Medium Grid 3 Accent 1"/>
    <w:lsdException w:uiPriority="99" w:semiHidden="0" w:name="Dark List Accent 1"/>
    <w:lsdException w:uiPriority="99" w:semiHidden="0" w:name="Colorful Shading Accent 1"/>
    <w:lsdException w:uiPriority="99" w:semiHidden="0" w:name="Colorful List Accent 1"/>
    <w:lsdException w:uiPriority="99" w:semiHidden="0" w:name="Colorful Grid Accent 1"/>
    <w:lsdException w:uiPriority="99" w:semiHidden="0" w:name="Light Shading Accent 2"/>
    <w:lsdException w:uiPriority="99" w:semiHidden="0" w:name="Light List Accent 2"/>
    <w:lsdException w:uiPriority="99" w:semiHidden="0" w:name="Light Grid Accent 2"/>
    <w:lsdException w:uiPriority="99" w:semiHidden="0" w:name="Medium Shading 1 Accent 2"/>
    <w:lsdException w:uiPriority="99" w:semiHidden="0" w:name="Medium Shading 2 Accent 2"/>
    <w:lsdException w:uiPriority="99" w:semiHidden="0" w:name="Medium List 1 Accent 2"/>
    <w:lsdException w:uiPriority="99" w:semiHidden="0" w:name="Medium List 2 Accent 2"/>
    <w:lsdException w:uiPriority="99" w:semiHidden="0" w:name="Medium Grid 1 Accent 2"/>
    <w:lsdException w:uiPriority="99" w:semiHidden="0" w:name="Medium Grid 2 Accent 2"/>
    <w:lsdException w:uiPriority="99" w:semiHidden="0" w:name="Medium Grid 3 Accent 2"/>
    <w:lsdException w:uiPriority="99" w:semiHidden="0" w:name="Dark List Accent 2"/>
    <w:lsdException w:uiPriority="99" w:semiHidden="0" w:name="Colorful Shading Accent 2"/>
    <w:lsdException w:uiPriority="99" w:semiHidden="0" w:name="Colorful List Accent 2"/>
    <w:lsdException w:uiPriority="99" w:semiHidden="0" w:name="Colorful Grid Accent 2"/>
    <w:lsdException w:uiPriority="99" w:semiHidden="0" w:name="Light Shading Accent 3"/>
    <w:lsdException w:uiPriority="99" w:semiHidden="0" w:name="Light List Accent 3"/>
    <w:lsdException w:uiPriority="99" w:semiHidden="0" w:name="Light Grid Accent 3"/>
    <w:lsdException w:uiPriority="99" w:semiHidden="0" w:name="Medium Shading 1 Accent 3"/>
    <w:lsdException w:uiPriority="99" w:semiHidden="0" w:name="Medium Shading 2 Accent 3"/>
    <w:lsdException w:uiPriority="99" w:semiHidden="0" w:name="Medium List 1 Accent 3"/>
    <w:lsdException w:uiPriority="99" w:semiHidden="0" w:name="Medium List 2 Accent 3"/>
    <w:lsdException w:uiPriority="99" w:semiHidden="0" w:name="Medium Grid 1 Accent 3"/>
    <w:lsdException w:uiPriority="99" w:semiHidden="0" w:name="Medium Grid 2 Accent 3"/>
    <w:lsdException w:uiPriority="99" w:semiHidden="0" w:name="Medium Grid 3 Accent 3"/>
    <w:lsdException w:uiPriority="99" w:semiHidden="0" w:name="Dark List Accent 3"/>
    <w:lsdException w:uiPriority="99" w:semiHidden="0" w:name="Colorful Shading Accent 3"/>
    <w:lsdException w:uiPriority="99" w:semiHidden="0" w:name="Colorful List Accent 3"/>
    <w:lsdException w:uiPriority="99" w:semiHidden="0" w:name="Colorful Grid Accent 3"/>
    <w:lsdException w:uiPriority="99" w:semiHidden="0" w:name="Light Shading Accent 4"/>
    <w:lsdException w:uiPriority="99" w:semiHidden="0" w:name="Light List Accent 4"/>
    <w:lsdException w:uiPriority="99" w:semiHidden="0" w:name="Light Grid Accent 4"/>
    <w:lsdException w:uiPriority="99" w:semiHidden="0" w:name="Medium Shading 1 Accent 4"/>
    <w:lsdException w:uiPriority="99" w:semiHidden="0" w:name="Medium Shading 2 Accent 4"/>
    <w:lsdException w:uiPriority="99" w:semiHidden="0" w:name="Medium List 1 Accent 4"/>
    <w:lsdException w:uiPriority="99" w:semiHidden="0" w:name="Medium List 2 Accent 4"/>
    <w:lsdException w:uiPriority="99" w:semiHidden="0" w:name="Medium Grid 1 Accent 4"/>
    <w:lsdException w:uiPriority="99" w:semiHidden="0" w:name="Medium Grid 2 Accent 4"/>
    <w:lsdException w:uiPriority="99" w:semiHidden="0" w:name="Medium Grid 3 Accent 4"/>
    <w:lsdException w:uiPriority="99" w:semiHidden="0" w:name="Dark List Accent 4"/>
    <w:lsdException w:uiPriority="99" w:semiHidden="0" w:name="Colorful Shading Accent 4"/>
    <w:lsdException w:uiPriority="99" w:semiHidden="0" w:name="Colorful List Accent 4"/>
    <w:lsdException w:uiPriority="99" w:semiHidden="0" w:name="Colorful Grid Accent 4"/>
    <w:lsdException w:uiPriority="99" w:semiHidden="0" w:name="Light Shading Accent 5"/>
    <w:lsdException w:uiPriority="99" w:semiHidden="0" w:name="Light List Accent 5"/>
    <w:lsdException w:uiPriority="99" w:semiHidden="0" w:name="Light Grid Accent 5"/>
    <w:lsdException w:uiPriority="99" w:semiHidden="0" w:name="Medium Shading 1 Accent 5"/>
    <w:lsdException w:uiPriority="99" w:semiHidden="0" w:name="Medium Shading 2 Accent 5"/>
    <w:lsdException w:uiPriority="99" w:semiHidden="0" w:name="Medium List 1 Accent 5"/>
    <w:lsdException w:uiPriority="99" w:semiHidden="0" w:name="Medium List 2 Accent 5"/>
    <w:lsdException w:uiPriority="99" w:semiHidden="0" w:name="Medium Grid 1 Accent 5"/>
    <w:lsdException w:uiPriority="99" w:semiHidden="0" w:name="Medium Grid 2 Accent 5"/>
    <w:lsdException w:uiPriority="99" w:semiHidden="0" w:name="Medium Grid 3 Accent 5"/>
    <w:lsdException w:uiPriority="99" w:semiHidden="0" w:name="Dark List Accent 5"/>
    <w:lsdException w:uiPriority="99" w:semiHidden="0" w:name="Colorful Shading Accent 5"/>
    <w:lsdException w:uiPriority="99" w:semiHidden="0" w:name="Colorful List Accent 5"/>
    <w:lsdException w:uiPriority="99" w:semiHidden="0" w:name="Colorful Grid Accent 5"/>
    <w:lsdException w:uiPriority="99" w:semiHidden="0" w:name="Light Shading Accent 6"/>
    <w:lsdException w:uiPriority="99" w:semiHidden="0" w:name="Light List Accent 6"/>
    <w:lsdException w:uiPriority="99" w:semiHidden="0" w:name="Light Grid Accent 6"/>
    <w:lsdException w:uiPriority="99" w:semiHidden="0" w:name="Medium Shading 1 Accent 6"/>
    <w:lsdException w:uiPriority="99" w:semiHidden="0" w:name="Medium Shading 2 Accent 6"/>
    <w:lsdException w:uiPriority="99" w:semiHidden="0" w:name="Medium List 1 Accent 6"/>
    <w:lsdException w:uiPriority="99" w:semiHidden="0" w:name="Medium List 2 Accent 6"/>
    <w:lsdException w:uiPriority="99" w:semiHidden="0" w:name="Medium Grid 1 Accent 6"/>
    <w:lsdException w:uiPriority="99" w:semiHidden="0" w:name="Medium Grid 2 Accent 6"/>
    <w:lsdException w:uiPriority="99" w:semiHidden="0" w:name="Medium Grid 3 Accent 6"/>
    <w:lsdException w:uiPriority="99" w:semiHidden="0" w:name="Dark List Accent 6"/>
    <w:lsdException w:uiPriority="99" w:semiHidden="0" w:name="Colorful Shading Accent 6"/>
    <w:lsdException w:uiPriority="99" w:semiHidden="0" w:name="Colorful List Accent 6"/>
    <w:lsdException w:uiPriority="99" w:semiHidden="0" w:name="Colorful Grid Accent 6"/>
  </w:latentStyles>
  <w:style w:type="paragraph" w:default="1" w:styleId="1">
    <w:name w:val="Normal"/>
    <w:unhideWhenUsed/>
    <w:uiPriority w:val="99"/>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2">
    <w:name w:val="heading 1"/>
    <w:basedOn w:val="1"/>
    <w:next w:val="1"/>
    <w:link w:val="25"/>
    <w:qFormat/>
    <w:uiPriority w:val="0"/>
    <w:pPr>
      <w:keepNext w:val="0"/>
      <w:keepLines w:val="0"/>
      <w:widowControl/>
      <w:suppressLineNumbers w:val="0"/>
      <w:spacing w:before="0" w:beforeAutospacing="1" w:after="0" w:afterAutospacing="1"/>
      <w:ind w:left="0" w:right="0"/>
      <w:jc w:val="left"/>
      <w:outlineLvl w:val="0"/>
    </w:pPr>
    <w:rPr>
      <w:rFonts w:hint="eastAsia" w:ascii="宋体" w:hAnsi="宋体" w:eastAsia="宋体" w:cs="宋体"/>
      <w:b/>
      <w:bCs/>
      <w:kern w:val="44"/>
      <w:sz w:val="48"/>
      <w:szCs w:val="48"/>
      <w:lang w:val="en-US" w:eastAsia="zh-CN" w:bidi="ar"/>
    </w:rPr>
  </w:style>
  <w:style w:type="paragraph" w:styleId="3">
    <w:name w:val="heading 2"/>
    <w:basedOn w:val="1"/>
    <w:next w:val="1"/>
    <w:link w:val="26"/>
    <w:qFormat/>
    <w:uiPriority w:val="0"/>
    <w:pPr>
      <w:keepNext w:val="0"/>
      <w:keepLines w:val="0"/>
      <w:widowControl/>
      <w:suppressLineNumbers w:val="0"/>
      <w:spacing w:before="0" w:beforeAutospacing="1" w:after="0" w:afterAutospacing="1"/>
      <w:ind w:left="0" w:right="0"/>
      <w:jc w:val="left"/>
      <w:outlineLvl w:val="1"/>
    </w:pPr>
    <w:rPr>
      <w:rFonts w:hint="eastAsia" w:ascii="宋体" w:hAnsi="宋体" w:eastAsia="宋体" w:cs="宋体"/>
      <w:b/>
      <w:bCs/>
      <w:kern w:val="0"/>
      <w:sz w:val="36"/>
      <w:szCs w:val="36"/>
      <w:lang w:val="en-US" w:eastAsia="zh-CN" w:bidi="ar"/>
    </w:rPr>
  </w:style>
  <w:style w:type="paragraph" w:styleId="4">
    <w:name w:val="heading 3"/>
    <w:basedOn w:val="1"/>
    <w:next w:val="1"/>
    <w:link w:val="27"/>
    <w:qFormat/>
    <w:uiPriority w:val="0"/>
    <w:pPr>
      <w:keepNext w:val="0"/>
      <w:keepLines w:val="0"/>
      <w:widowControl/>
      <w:suppressLineNumbers w:val="0"/>
      <w:spacing w:before="0" w:beforeAutospacing="1" w:after="0" w:afterAutospacing="1"/>
      <w:ind w:left="0" w:right="0"/>
      <w:jc w:val="left"/>
      <w:outlineLvl w:val="2"/>
    </w:pPr>
    <w:rPr>
      <w:rFonts w:hint="eastAsia" w:ascii="宋体" w:hAnsi="宋体" w:eastAsia="宋体" w:cs="宋体"/>
      <w:b/>
      <w:bCs/>
      <w:kern w:val="0"/>
      <w:sz w:val="27"/>
      <w:szCs w:val="27"/>
      <w:lang w:val="en-US" w:eastAsia="zh-CN" w:bidi="ar"/>
    </w:rPr>
  </w:style>
  <w:style w:type="paragraph" w:styleId="5">
    <w:name w:val="heading 4"/>
    <w:basedOn w:val="1"/>
    <w:next w:val="1"/>
    <w:link w:val="16"/>
    <w:qFormat/>
    <w:uiPriority w:val="0"/>
    <w:pPr>
      <w:keepNext w:val="0"/>
      <w:keepLines w:val="0"/>
      <w:widowControl/>
      <w:suppressLineNumbers w:val="0"/>
      <w:spacing w:before="0" w:beforeAutospacing="1" w:after="0" w:afterAutospacing="1"/>
      <w:ind w:left="0" w:right="0"/>
      <w:jc w:val="left"/>
      <w:outlineLvl w:val="3"/>
    </w:pPr>
    <w:rPr>
      <w:rFonts w:hint="eastAsia" w:ascii="宋体" w:hAnsi="宋体" w:eastAsia="宋体" w:cs="宋体"/>
      <w:b/>
      <w:bCs/>
      <w:kern w:val="0"/>
      <w:sz w:val="24"/>
      <w:szCs w:val="24"/>
      <w:lang w:val="en-US" w:eastAsia="zh-CN" w:bidi="ar"/>
    </w:rPr>
  </w:style>
  <w:style w:type="paragraph" w:styleId="6">
    <w:name w:val="heading 5"/>
    <w:basedOn w:val="1"/>
    <w:next w:val="1"/>
    <w:link w:val="20"/>
    <w:qFormat/>
    <w:uiPriority w:val="0"/>
    <w:pPr>
      <w:keepNext w:val="0"/>
      <w:keepLines w:val="0"/>
      <w:widowControl/>
      <w:suppressLineNumbers w:val="0"/>
      <w:spacing w:before="0" w:beforeAutospacing="1" w:after="0" w:afterAutospacing="1"/>
      <w:ind w:left="0" w:right="0"/>
      <w:jc w:val="left"/>
      <w:outlineLvl w:val="4"/>
    </w:pPr>
    <w:rPr>
      <w:rFonts w:hint="eastAsia" w:ascii="宋体" w:hAnsi="宋体" w:eastAsia="宋体" w:cs="宋体"/>
      <w:b/>
      <w:bCs/>
      <w:kern w:val="0"/>
      <w:sz w:val="20"/>
      <w:szCs w:val="20"/>
      <w:lang w:val="en-US" w:eastAsia="zh-CN" w:bidi="ar"/>
    </w:rPr>
  </w:style>
  <w:style w:type="paragraph" w:styleId="7">
    <w:name w:val="heading 6"/>
    <w:basedOn w:val="1"/>
    <w:next w:val="1"/>
    <w:link w:val="29"/>
    <w:qFormat/>
    <w:uiPriority w:val="0"/>
    <w:pPr>
      <w:keepNext w:val="0"/>
      <w:keepLines w:val="0"/>
      <w:widowControl/>
      <w:suppressLineNumbers w:val="0"/>
      <w:spacing w:before="0" w:beforeAutospacing="1" w:after="0" w:afterAutospacing="1"/>
      <w:ind w:left="0" w:right="0"/>
      <w:jc w:val="left"/>
      <w:outlineLvl w:val="5"/>
    </w:pPr>
    <w:rPr>
      <w:rFonts w:hint="eastAsia" w:ascii="宋体" w:hAnsi="宋体" w:eastAsia="宋体" w:cs="宋体"/>
      <w:b/>
      <w:bCs/>
      <w:kern w:val="0"/>
      <w:sz w:val="15"/>
      <w:szCs w:val="15"/>
      <w:lang w:val="en-US" w:eastAsia="zh-CN" w:bidi="ar"/>
    </w:rPr>
  </w:style>
  <w:style w:type="character" w:default="1" w:styleId="12">
    <w:name w:val="Default Paragraph Font"/>
    <w:unhideWhenUsed/>
    <w:uiPriority w:val="99"/>
  </w:style>
  <w:style w:type="table" w:default="1" w:styleId="11">
    <w:name w:val="Normal Table"/>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8">
    <w:name w:val="footer"/>
    <w:basedOn w:val="1"/>
    <w:link w:val="31"/>
    <w:qFormat/>
    <w:uiPriority w:val="0"/>
    <w:pPr>
      <w:keepNext w:val="0"/>
      <w:keepLines w:val="0"/>
      <w:widowControl/>
      <w:suppressLineNumbers w:val="0"/>
      <w:snapToGrid w:val="0"/>
      <w:spacing w:before="0" w:beforeAutospacing="0" w:after="0" w:afterAutospacing="0"/>
      <w:ind w:left="0" w:right="0"/>
      <w:jc w:val="left"/>
    </w:pPr>
    <w:rPr>
      <w:rFonts w:hint="eastAsia" w:ascii="宋体" w:hAnsi="宋体" w:eastAsia="宋体" w:cs="宋体"/>
      <w:kern w:val="0"/>
      <w:sz w:val="18"/>
      <w:szCs w:val="18"/>
      <w:lang w:val="en-US" w:eastAsia="zh-CN" w:bidi="ar"/>
    </w:rPr>
  </w:style>
  <w:style w:type="paragraph" w:styleId="9">
    <w:name w:val="HTML Preformatted"/>
    <w:basedOn w:val="1"/>
    <w:link w:val="35"/>
    <w:uiPriority w:val="0"/>
    <w:pPr>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10">
    <w:name w:val="Normal (Web)"/>
    <w:basedOn w:val="1"/>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3">
    <w:name w:val="38"/>
    <w:basedOn w:val="12"/>
    <w:uiPriority w:val="0"/>
    <w:rPr>
      <w:rFonts w:hint="default" w:ascii="Cambria" w:hAnsi="Cambria" w:eastAsia="宋体" w:cs="Times New Roman"/>
      <w:b/>
      <w:bCs/>
      <w:sz w:val="28"/>
      <w:szCs w:val="28"/>
    </w:rPr>
  </w:style>
  <w:style w:type="paragraph" w:customStyle="1" w:styleId="14">
    <w:name w:val="p Char"/>
    <w:basedOn w:val="1"/>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5">
    <w:name w:val="17"/>
    <w:basedOn w:val="12"/>
    <w:uiPriority w:val="0"/>
    <w:rPr>
      <w:rFonts w:hint="default" w:ascii="Cambria" w:hAnsi="Cambria" w:eastAsia="宋体" w:cs="Times New Roman"/>
      <w:b/>
      <w:bCs/>
      <w:sz w:val="24"/>
      <w:szCs w:val="24"/>
    </w:rPr>
  </w:style>
  <w:style w:type="character" w:customStyle="1" w:styleId="16">
    <w:name w:val="标题 4 Char"/>
    <w:basedOn w:val="12"/>
    <w:link w:val="5"/>
    <w:locked/>
    <w:uiPriority w:val="0"/>
    <w:rPr>
      <w:rFonts w:hint="default" w:ascii="Cambria" w:hAnsi="Cambria" w:eastAsia="宋体" w:cs="Times New Roman"/>
      <w:b/>
      <w:bCs/>
      <w:sz w:val="28"/>
      <w:szCs w:val="28"/>
    </w:rPr>
  </w:style>
  <w:style w:type="paragraph" w:customStyle="1" w:styleId="17">
    <w:name w:val="HTML 预设格式 Char2"/>
    <w:basedOn w:val="1"/>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customStyle="1" w:styleId="18">
    <w:name w:val="15"/>
    <w:basedOn w:val="12"/>
    <w:uiPriority w:val="0"/>
    <w:rPr>
      <w:rFonts w:hint="eastAsia" w:ascii="宋体" w:hAnsi="宋体" w:eastAsia="宋体" w:cs="宋体"/>
      <w:b/>
      <w:bCs/>
      <w:kern w:val="44"/>
      <w:sz w:val="44"/>
      <w:szCs w:val="44"/>
    </w:rPr>
  </w:style>
  <w:style w:type="paragraph" w:customStyle="1" w:styleId="19">
    <w:name w:val="列出段落1"/>
    <w:basedOn w:val="1"/>
    <w:uiPriority w:val="0"/>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 w:type="character" w:customStyle="1" w:styleId="20">
    <w:name w:val="标题 5 Char"/>
    <w:basedOn w:val="12"/>
    <w:link w:val="6"/>
    <w:locked/>
    <w:uiPriority w:val="0"/>
    <w:rPr>
      <w:rFonts w:hint="eastAsia" w:ascii="宋体" w:hAnsi="宋体" w:eastAsia="宋体" w:cs="宋体"/>
      <w:b/>
      <w:bCs/>
      <w:sz w:val="28"/>
      <w:szCs w:val="28"/>
    </w:rPr>
  </w:style>
  <w:style w:type="character" w:customStyle="1" w:styleId="21">
    <w:name w:val="19"/>
    <w:basedOn w:val="12"/>
    <w:uiPriority w:val="0"/>
    <w:rPr>
      <w:rFonts w:hint="default" w:ascii="Calibri" w:hAnsi="Calibri" w:cs="Calibri"/>
    </w:rPr>
  </w:style>
  <w:style w:type="character" w:customStyle="1" w:styleId="22">
    <w:name w:val="33"/>
    <w:basedOn w:val="12"/>
    <w:uiPriority w:val="0"/>
    <w:rPr>
      <w:rFonts w:hint="eastAsia" w:ascii="宋体" w:hAnsi="宋体" w:eastAsia="宋体" w:cs="宋体"/>
      <w:sz w:val="18"/>
      <w:szCs w:val="18"/>
    </w:rPr>
  </w:style>
  <w:style w:type="character" w:customStyle="1" w:styleId="23">
    <w:name w:val="28"/>
    <w:basedOn w:val="12"/>
    <w:uiPriority w:val="0"/>
    <w:rPr>
      <w:rFonts w:hint="eastAsia" w:ascii="宋体" w:hAnsi="宋体" w:eastAsia="宋体" w:cs="宋体"/>
      <w:b/>
      <w:bCs/>
      <w:sz w:val="32"/>
      <w:szCs w:val="32"/>
    </w:rPr>
  </w:style>
  <w:style w:type="character" w:customStyle="1" w:styleId="24">
    <w:name w:val="31"/>
    <w:basedOn w:val="12"/>
    <w:uiPriority w:val="0"/>
    <w:rPr>
      <w:rFonts w:hint="default" w:ascii="Cambria" w:hAnsi="Cambria" w:eastAsia="宋体" w:cs="Times New Roman"/>
      <w:b/>
      <w:bCs/>
      <w:sz w:val="24"/>
      <w:szCs w:val="24"/>
    </w:rPr>
  </w:style>
  <w:style w:type="character" w:customStyle="1" w:styleId="25">
    <w:name w:val="标题 1 Char"/>
    <w:basedOn w:val="12"/>
    <w:link w:val="2"/>
    <w:locked/>
    <w:uiPriority w:val="0"/>
    <w:rPr>
      <w:rFonts w:hint="eastAsia" w:ascii="宋体" w:hAnsi="宋体" w:eastAsia="宋体" w:cs="宋体"/>
      <w:b/>
      <w:bCs/>
      <w:kern w:val="44"/>
      <w:sz w:val="44"/>
      <w:szCs w:val="44"/>
    </w:rPr>
  </w:style>
  <w:style w:type="character" w:customStyle="1" w:styleId="26">
    <w:name w:val="标题 2 Char"/>
    <w:basedOn w:val="12"/>
    <w:link w:val="3"/>
    <w:locked/>
    <w:uiPriority w:val="0"/>
    <w:rPr>
      <w:rFonts w:hint="default" w:ascii="Cambria" w:hAnsi="Cambria" w:eastAsia="宋体" w:cs="Times New Roman"/>
      <w:b/>
      <w:bCs/>
      <w:sz w:val="32"/>
      <w:szCs w:val="32"/>
    </w:rPr>
  </w:style>
  <w:style w:type="character" w:customStyle="1" w:styleId="27">
    <w:name w:val="标题 3 Char"/>
    <w:basedOn w:val="12"/>
    <w:link w:val="4"/>
    <w:locked/>
    <w:uiPriority w:val="0"/>
    <w:rPr>
      <w:rFonts w:hint="eastAsia" w:ascii="宋体" w:hAnsi="宋体" w:eastAsia="宋体" w:cs="宋体"/>
      <w:b/>
      <w:bCs/>
      <w:sz w:val="32"/>
      <w:szCs w:val="32"/>
    </w:rPr>
  </w:style>
  <w:style w:type="character" w:customStyle="1" w:styleId="28">
    <w:name w:val="30"/>
    <w:basedOn w:val="12"/>
    <w:uiPriority w:val="0"/>
    <w:rPr>
      <w:rFonts w:hint="default" w:ascii="Times New Roman" w:hAnsi="Times New Roman" w:cs="Times New Roman"/>
    </w:rPr>
  </w:style>
  <w:style w:type="character" w:customStyle="1" w:styleId="29">
    <w:name w:val="标题 6 Char"/>
    <w:basedOn w:val="12"/>
    <w:link w:val="7"/>
    <w:locked/>
    <w:uiPriority w:val="0"/>
    <w:rPr>
      <w:rFonts w:hint="default" w:ascii="Cambria" w:hAnsi="Cambria" w:eastAsia="宋体" w:cs="Times New Roman"/>
      <w:b/>
      <w:bCs/>
      <w:sz w:val="24"/>
      <w:szCs w:val="24"/>
    </w:rPr>
  </w:style>
  <w:style w:type="paragraph" w:customStyle="1" w:styleId="30">
    <w:name w:val="普通(网站) Char Char"/>
    <w:basedOn w:val="1"/>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31">
    <w:name w:val="页脚 Char"/>
    <w:basedOn w:val="12"/>
    <w:link w:val="8"/>
    <w:locked/>
    <w:uiPriority w:val="0"/>
    <w:rPr>
      <w:rFonts w:hint="eastAsia" w:ascii="宋体" w:hAnsi="宋体" w:eastAsia="宋体" w:cs="宋体"/>
      <w:sz w:val="18"/>
      <w:szCs w:val="18"/>
    </w:rPr>
  </w:style>
  <w:style w:type="paragraph" w:customStyle="1" w:styleId="32">
    <w:name w:val="HTML 预设格式 Char Char"/>
    <w:basedOn w:val="1"/>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customStyle="1" w:styleId="33">
    <w:name w:val="42"/>
    <w:basedOn w:val="12"/>
    <w:uiPriority w:val="0"/>
    <w:rPr>
      <w:rFonts w:ascii="Arial" w:hAnsi="Arial" w:cs="Arial"/>
    </w:rPr>
  </w:style>
  <w:style w:type="paragraph" w:customStyle="1" w:styleId="34">
    <w:name w:val="普通(网站) Char Char Char"/>
    <w:basedOn w:val="1"/>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35">
    <w:name w:val="HTML 预设格式 Char"/>
    <w:basedOn w:val="12"/>
    <w:link w:val="9"/>
    <w:locked/>
    <w:uiPriority w:val="0"/>
    <w:rPr>
      <w:rFonts w:ascii="Courier New" w:hAnsi="Courier New" w:eastAsia="宋体" w:cs="Courier New"/>
    </w:rPr>
  </w:style>
  <w:style w:type="character" w:customStyle="1" w:styleId="36">
    <w:name w:val="32"/>
    <w:basedOn w:val="12"/>
    <w:uiPriority w:val="0"/>
    <w:rPr>
      <w:rFonts w:hint="eastAsia" w:ascii="宋体" w:hAnsi="宋体" w:eastAsia="宋体" w:cs="宋体"/>
      <w:b/>
      <w:bCs/>
      <w:sz w:val="28"/>
      <w:szCs w:val="28"/>
    </w:rPr>
  </w:style>
  <w:style w:type="paragraph" w:customStyle="1" w:styleId="37">
    <w:name w:val="List Paragraph"/>
    <w:basedOn w:val="1"/>
    <w:qFormat/>
    <w:uiPriority w:val="0"/>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 w:type="character" w:customStyle="1" w:styleId="38">
    <w:name w:val="22"/>
    <w:basedOn w:val="12"/>
    <w:uiPriority w:val="0"/>
    <w:rPr>
      <w:rFonts w:hint="default" w:ascii="Times New Roman" w:hAnsi="Times New Roman" w:cs="Times New Roman"/>
    </w:rPr>
  </w:style>
  <w:style w:type="paragraph" w:customStyle="1" w:styleId="39">
    <w:name w:val="普通(网站) Char"/>
    <w:basedOn w:val="1"/>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40">
    <w:name w:val="16"/>
    <w:basedOn w:val="12"/>
    <w:uiPriority w:val="0"/>
    <w:rPr>
      <w:rFonts w:hint="default" w:ascii="Times New Roman" w:hAnsi="Times New Roman" w:cs="Times New Roman"/>
    </w:rPr>
  </w:style>
  <w:style w:type="character" w:customStyle="1" w:styleId="41">
    <w:name w:val="20"/>
    <w:basedOn w:val="12"/>
    <w:uiPriority w:val="0"/>
    <w:rPr>
      <w:rFonts w:hint="default" w:ascii="Courier New" w:hAnsi="Courier New" w:eastAsia="宋体" w:cs="Courier New"/>
    </w:rPr>
  </w:style>
  <w:style w:type="paragraph" w:customStyle="1" w:styleId="42">
    <w:name w:val="msolistparagraph"/>
    <w:basedOn w:val="1"/>
    <w:uiPriority w:val="0"/>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1"/>
      <w:lang w:val="en-US" w:eastAsia="zh-CN" w:bidi="ar"/>
    </w:rPr>
  </w:style>
  <w:style w:type="paragraph" w:customStyle="1" w:styleId="43">
    <w:name w:val="HTML 预设格式 Char1"/>
    <w:basedOn w:val="1"/>
    <w:uiPriority w:val="0"/>
    <w:pPr>
      <w:keepNext w:val="0"/>
      <w:keepLines w:val="0"/>
      <w:widowControl/>
      <w:suppressLineNumbers w:val="0"/>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customStyle="1" w:styleId="44">
    <w:name w:val="10"/>
    <w:basedOn w:val="12"/>
    <w:uiPriority w:val="0"/>
    <w:rPr>
      <w:rFonts w:hint="default" w:ascii="Times New Roman" w:hAnsi="Times New Roman" w:cs="Times New Roman"/>
    </w:rPr>
  </w:style>
  <w:style w:type="character" w:customStyle="1" w:styleId="45">
    <w:name w:val="18"/>
    <w:basedOn w:val="12"/>
    <w:uiPriority w:val="0"/>
    <w:rPr>
      <w:rFonts w:hint="eastAsia" w:ascii="宋体" w:hAnsi="宋体" w:eastAsia="宋体" w:cs="宋体"/>
      <w:b/>
      <w:bCs/>
      <w:kern w:val="44"/>
      <w:sz w:val="44"/>
      <w:szCs w:val="44"/>
    </w:rPr>
  </w:style>
  <w:style w:type="character" w:customStyle="1" w:styleId="46">
    <w:name w:val="21"/>
    <w:basedOn w:val="12"/>
    <w:uiPriority w:val="0"/>
    <w:rPr>
      <w:rFonts w:hint="default" w:ascii="Calibri" w:hAnsi="Calibri" w:cs="Calibri"/>
      <w:b/>
      <w:bCs/>
    </w:rPr>
  </w:style>
  <w:style w:type="character" w:customStyle="1" w:styleId="47">
    <w:name w:val="23"/>
    <w:basedOn w:val="12"/>
    <w:uiPriority w:val="0"/>
    <w:rPr>
      <w:rFonts w:hint="default" w:ascii="Cambria" w:hAnsi="Cambria" w:eastAsia="宋体" w:cs="Times New Roman"/>
      <w:b/>
      <w:bCs/>
      <w:sz w:val="32"/>
      <w:szCs w:val="32"/>
    </w:rPr>
  </w:style>
  <w:style w:type="character" w:customStyle="1" w:styleId="48">
    <w:name w:val="24"/>
    <w:basedOn w:val="12"/>
    <w:uiPriority w:val="0"/>
    <w:rPr>
      <w:rFonts w:hint="default" w:ascii="Times New Roman" w:hAnsi="Times New Roman" w:cs="Times New Roman"/>
    </w:rPr>
  </w:style>
  <w:style w:type="character" w:customStyle="1" w:styleId="49">
    <w:name w:val="25"/>
    <w:basedOn w:val="12"/>
    <w:uiPriority w:val="0"/>
    <w:rPr>
      <w:rFonts w:hint="default" w:ascii="Cambria" w:hAnsi="Cambria" w:eastAsia="宋体" w:cs="Times New Roman"/>
      <w:b/>
      <w:bCs/>
      <w:sz w:val="32"/>
      <w:szCs w:val="32"/>
    </w:rPr>
  </w:style>
  <w:style w:type="character" w:customStyle="1" w:styleId="50">
    <w:name w:val="26"/>
    <w:basedOn w:val="12"/>
    <w:uiPriority w:val="0"/>
    <w:rPr>
      <w:rFonts w:hint="eastAsia" w:ascii="宋体" w:hAnsi="宋体" w:eastAsia="宋体" w:cs="宋体"/>
      <w:b/>
      <w:bCs/>
      <w:sz w:val="32"/>
      <w:szCs w:val="32"/>
    </w:rPr>
  </w:style>
  <w:style w:type="character" w:customStyle="1" w:styleId="51">
    <w:name w:val="27"/>
    <w:basedOn w:val="12"/>
    <w:uiPriority w:val="0"/>
    <w:rPr>
      <w:rFonts w:hint="default" w:ascii="Cambria" w:hAnsi="Cambria" w:eastAsia="宋体" w:cs="Times New Roman"/>
      <w:b/>
      <w:bCs/>
      <w:sz w:val="28"/>
      <w:szCs w:val="28"/>
    </w:rPr>
  </w:style>
  <w:style w:type="character" w:customStyle="1" w:styleId="52">
    <w:name w:val="41"/>
    <w:basedOn w:val="12"/>
    <w:uiPriority w:val="0"/>
    <w:rPr>
      <w:rFonts w:hint="default" w:ascii="Times New Roman" w:hAnsi="Times New Roman" w:cs="Times New Roman"/>
      <w:b/>
      <w:bCs/>
    </w:rPr>
  </w:style>
  <w:style w:type="character" w:customStyle="1" w:styleId="53">
    <w:name w:val="36"/>
    <w:basedOn w:val="12"/>
    <w:uiPriority w:val="0"/>
    <w:rPr>
      <w:rFonts w:hint="default" w:ascii="Times New Roman" w:hAnsi="Times New Roman" w:cs="Times New Roman"/>
    </w:rPr>
  </w:style>
  <w:style w:type="character" w:customStyle="1" w:styleId="54">
    <w:name w:val="29"/>
    <w:basedOn w:val="12"/>
    <w:uiPriority w:val="0"/>
    <w:rPr>
      <w:rFonts w:hint="eastAsia" w:ascii="宋体" w:hAnsi="宋体" w:eastAsia="宋体" w:cs="宋体"/>
      <w:b/>
      <w:bCs/>
      <w:sz w:val="28"/>
      <w:szCs w:val="28"/>
    </w:rPr>
  </w:style>
  <w:style w:type="character" w:customStyle="1" w:styleId="55">
    <w:name w:val="34"/>
    <w:basedOn w:val="12"/>
    <w:uiPriority w:val="0"/>
    <w:rPr>
      <w:rFonts w:hint="default" w:ascii="Times New Roman" w:hAnsi="Times New Roman" w:cs="Times New Roman"/>
    </w:rPr>
  </w:style>
  <w:style w:type="character" w:customStyle="1" w:styleId="56">
    <w:name w:val="40"/>
    <w:basedOn w:val="12"/>
    <w:uiPriority w:val="0"/>
    <w:rPr>
      <w:rFonts w:hint="default" w:ascii="Times New Roman" w:hAnsi="Times New Roman" w:cs="Times New Roman"/>
      <w:b/>
      <w:bCs/>
    </w:rPr>
  </w:style>
  <w:style w:type="character" w:customStyle="1" w:styleId="57">
    <w:name w:val="35"/>
    <w:basedOn w:val="12"/>
    <w:uiPriority w:val="0"/>
    <w:rPr>
      <w:rFonts w:hint="default" w:ascii="Times New Roman" w:hAnsi="Times New Roman" w:cs="Times New Roman"/>
      <w:b/>
      <w:bCs/>
    </w:rPr>
  </w:style>
  <w:style w:type="character" w:customStyle="1" w:styleId="58">
    <w:name w:val="37"/>
    <w:basedOn w:val="12"/>
    <w:uiPriority w:val="0"/>
    <w:rPr>
      <w:rFonts w:hint="default" w:ascii="Courier New" w:hAnsi="Courier New" w:eastAsia="宋体" w:cs="Courier New"/>
    </w:rPr>
  </w:style>
  <w:style w:type="character" w:customStyle="1" w:styleId="59">
    <w:name w:val="39"/>
    <w:basedOn w:val="12"/>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21</Pages>
  <Words>8550</Words>
  <Characters>9414</Characters>
  <Lines>86</Lines>
  <Paragraphs>24</Paragraphs>
  <TotalTime>3</TotalTime>
  <ScaleCrop>false</ScaleCrop>
  <LinksUpToDate>false</LinksUpToDate>
  <CharactersWithSpaces>9484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安然弱水</cp:lastModifiedBy>
  <dcterms:modified xsi:type="dcterms:W3CDTF">2026-08-18T03:42:20Z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095272215EB0495FBE5789F952956B21_13</vt:lpwstr>
  </property>
  <property fmtid="{D5CDD505-2E9C-101B-9397-08002B2CF9AE}" pid="4" name="KSOTemplateDocerSaveRecord">
    <vt:lpwstr>eyJoZGlkIjoiN2U0N2Q2ZTM2ZDQ4MjgxNDVjNzFiNjJmOWEwODI3OGEiLCJ1c2VySWQiOiIxMzAwNjA3NzU5In0=</vt:lpwstr>
  </property>
</Properties>
</file>