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560" w:lineRule="exact"/>
        <w:jc w:val="center"/>
        <w:outlineLvl w:val="1"/>
        <w:rPr>
          <w:rFonts w:ascii="仿宋_GB2312" w:hAnsi="Cambria" w:eastAsia="仿宋_GB2312" w:cs="Times New Roman"/>
          <w:b/>
          <w:bCs/>
          <w:kern w:val="28"/>
          <w:sz w:val="36"/>
          <w:szCs w:val="36"/>
        </w:rPr>
      </w:pPr>
      <w:r>
        <w:rPr>
          <w:rFonts w:hint="eastAsia" w:ascii="仿宋_GB2312" w:hAnsi="Cambria" w:eastAsia="仿宋_GB2312" w:cs="Times New Roman"/>
          <w:b/>
          <w:bCs/>
          <w:kern w:val="28"/>
          <w:sz w:val="36"/>
          <w:szCs w:val="36"/>
          <w:lang w:val="en-US" w:eastAsia="zh-CN"/>
        </w:rPr>
        <w:t>1-8月</w:t>
      </w:r>
      <w:r>
        <w:rPr>
          <w:rFonts w:hint="eastAsia" w:ascii="仿宋_GB2312" w:hAnsi="Cambria" w:eastAsia="仿宋_GB2312" w:cs="Times New Roman"/>
          <w:b/>
          <w:bCs/>
          <w:kern w:val="28"/>
          <w:sz w:val="36"/>
          <w:szCs w:val="36"/>
        </w:rPr>
        <w:t>县域经济运行简况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jc w:val="left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</w:rPr>
        <w:t>规上工业</w:t>
      </w:r>
    </w:p>
    <w:p>
      <w:pPr>
        <w:overflowPunct w:val="0"/>
        <w:spacing w:line="56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工业生产增速回落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。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1—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，全县规上工业增加值同比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下降6.9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低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于全市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12.6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个百分点，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低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于全国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13.1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个百分点。</w:t>
      </w:r>
    </w:p>
    <w:p>
      <w:pPr>
        <w:overflowPunct w:val="0"/>
        <w:spacing w:line="560" w:lineRule="exact"/>
        <w:ind w:firstLine="560" w:firstLineChars="200"/>
        <w:jc w:val="left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1—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</w:rPr>
        <w:t>实现规上工业总产值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11.17</w:t>
      </w:r>
      <w:r>
        <w:rPr>
          <w:rFonts w:ascii="Times New Roman" w:hAnsi="Times New Roman" w:cs="Times New Roman"/>
          <w:color w:val="000000"/>
          <w:sz w:val="28"/>
          <w:szCs w:val="28"/>
        </w:rPr>
        <w:t>亿元，同比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下降0.6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。采矿业和制造业分别实现总产值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2.21亿元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5.91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亿元，分别同比增长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7.9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下降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1.8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%，电力、热力、燃气及水生产和供应业总产值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3.05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亿元，同比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下降3.9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%。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其中，规上工业发电产值同比下降30.9%。</w:t>
      </w: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514340" cy="3676015"/>
            <wp:effectExtent l="4445" t="4445" r="5715" b="1524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overflowPunct w:val="0"/>
        <w:spacing w:line="560" w:lineRule="exact"/>
        <w:ind w:left="420" w:leftChars="200"/>
        <w:jc w:val="left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sz w:val="28"/>
          <w:szCs w:val="28"/>
        </w:rPr>
        <w:t>二、商品贸易</w:t>
      </w:r>
      <w:bookmarkStart w:id="0" w:name="_GoBack"/>
      <w:bookmarkEnd w:id="0"/>
    </w:p>
    <w:p>
      <w:pPr>
        <w:overflowPunct w:val="0"/>
        <w:spacing w:line="560" w:lineRule="exact"/>
        <w:ind w:firstLine="560" w:firstLineChars="200"/>
        <w:jc w:val="left"/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消费市场总体稳定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。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1—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限上批零住餐销售额（营业额）分别实现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2.9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亿元、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4.79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亿元、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0.15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亿元和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0.46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亿元，增速同比分别为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6.9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7.9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23.2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-11.0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ind w:firstLine="560" w:firstLineChars="200"/>
        <w:jc w:val="left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从主要商品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销售额</w:t>
      </w:r>
      <w:r>
        <w:rPr>
          <w:rFonts w:ascii="Times New Roman" w:hAnsi="Times New Roman" w:cs="Times New Roman"/>
          <w:color w:val="000000"/>
          <w:sz w:val="28"/>
          <w:szCs w:val="28"/>
        </w:rPr>
        <w:t>看，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烟酒类</w:t>
      </w:r>
      <w:r>
        <w:rPr>
          <w:rFonts w:ascii="Times New Roman" w:hAnsi="Times New Roman" w:cs="Times New Roman"/>
          <w:color w:val="000000"/>
          <w:sz w:val="28"/>
          <w:szCs w:val="28"/>
        </w:rPr>
        <w:t>、化工材料及制品类、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化妆品</w:t>
      </w:r>
      <w:r>
        <w:rPr>
          <w:rFonts w:ascii="Times New Roman" w:hAnsi="Times New Roman" w:cs="Times New Roman"/>
          <w:color w:val="000000"/>
          <w:sz w:val="28"/>
          <w:szCs w:val="28"/>
        </w:rPr>
        <w:t>类和通讯器材类分别增长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9.7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>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11.1</w:t>
      </w:r>
      <w:r>
        <w:rPr>
          <w:rFonts w:ascii="Times New Roman" w:hAnsi="Times New Roman" w:cs="Times New Roman"/>
          <w:color w:val="000000"/>
          <w:sz w:val="28"/>
          <w:szCs w:val="28"/>
        </w:rPr>
        <w:t>%、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2.6</w:t>
      </w:r>
      <w:r>
        <w:rPr>
          <w:rFonts w:ascii="Times New Roman" w:hAnsi="Times New Roman" w:cs="Times New Roman"/>
          <w:color w:val="000000"/>
          <w:sz w:val="28"/>
          <w:szCs w:val="28"/>
        </w:rPr>
        <w:t>%和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8.0</w:t>
      </w:r>
      <w:r>
        <w:rPr>
          <w:rFonts w:ascii="Times New Roman" w:hAnsi="Times New Roman" w:cs="Times New Roman"/>
          <w:color w:val="000000"/>
          <w:sz w:val="28"/>
          <w:szCs w:val="28"/>
        </w:rPr>
        <w:t>%，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服装、鞋帽、针纺织品类</w:t>
      </w:r>
      <w:r>
        <w:rPr>
          <w:rFonts w:ascii="Times New Roman" w:hAnsi="Times New Roman" w:cs="Times New Roman"/>
          <w:color w:val="000000"/>
          <w:sz w:val="28"/>
          <w:szCs w:val="28"/>
        </w:rPr>
        <w:t>和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日用品类</w:t>
      </w:r>
      <w:r>
        <w:rPr>
          <w:rFonts w:ascii="Times New Roman" w:hAnsi="Times New Roman" w:cs="Times New Roman"/>
          <w:color w:val="000000"/>
          <w:sz w:val="28"/>
          <w:szCs w:val="28"/>
        </w:rPr>
        <w:t>分别下降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17.0</w:t>
      </w:r>
      <w:r>
        <w:rPr>
          <w:rFonts w:ascii="Times New Roman" w:hAnsi="Times New Roman" w:cs="Times New Roman"/>
          <w:color w:val="000000"/>
          <w:sz w:val="28"/>
          <w:szCs w:val="28"/>
        </w:rPr>
        <w:t>%和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0.8</w:t>
      </w:r>
      <w:r>
        <w:rPr>
          <w:rFonts w:ascii="Times New Roman" w:hAnsi="Times New Roman" w:cs="Times New Roman"/>
          <w:color w:val="000000"/>
          <w:sz w:val="28"/>
          <w:szCs w:val="28"/>
        </w:rPr>
        <w:t>%。</w:t>
      </w:r>
    </w:p>
    <w:p>
      <w:pPr>
        <w:overflowPunct w:val="0"/>
        <w:spacing w:line="560" w:lineRule="exact"/>
        <w:ind w:firstLine="560" w:firstLineChars="200"/>
        <w:jc w:val="left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sz w:val="28"/>
          <w:szCs w:val="28"/>
        </w:rPr>
        <w:t>三、</w:t>
      </w:r>
      <w:r>
        <w:rPr>
          <w:rFonts w:ascii="Times New Roman" w:hAnsi="Times New Roman" w:eastAsia="方正小标宋_GBK" w:cs="Times New Roman"/>
          <w:sz w:val="28"/>
          <w:szCs w:val="28"/>
        </w:rPr>
        <w:t>投资建设</w:t>
      </w:r>
    </w:p>
    <w:p>
      <w:pPr>
        <w:overflowPunct w:val="0"/>
        <w:spacing w:line="56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投资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高位增长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1—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月</w:t>
      </w:r>
      <w:r>
        <w:rPr>
          <w:rFonts w:ascii="Times New Roman" w:hAnsi="Times New Roman" w:cs="Times New Roman"/>
          <w:sz w:val="28"/>
          <w:szCs w:val="28"/>
        </w:rPr>
        <w:t>全县固定资产投资同比</w:t>
      </w:r>
      <w:r>
        <w:rPr>
          <w:rFonts w:hint="eastAsia" w:ascii="Times New Roman" w:hAnsi="Times New Roman" w:cs="Times New Roman"/>
          <w:sz w:val="28"/>
          <w:szCs w:val="28"/>
        </w:rPr>
        <w:t>增长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16.0</w:t>
      </w:r>
      <w:r>
        <w:rPr>
          <w:rFonts w:ascii="Times New Roman" w:hAnsi="Times New Roman" w:cs="Times New Roman"/>
          <w:sz w:val="28"/>
          <w:szCs w:val="28"/>
        </w:rPr>
        <w:t>%。</w:t>
      </w:r>
      <w:r>
        <w:rPr>
          <w:rFonts w:hint="eastAsia" w:ascii="Times New Roman" w:hAnsi="Times New Roman" w:cs="Times New Roman"/>
          <w:sz w:val="28"/>
          <w:szCs w:val="28"/>
        </w:rPr>
        <w:t>从三次产业看，第一、二、三产业分别同比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增长56.4</w:t>
      </w:r>
      <w:r>
        <w:rPr>
          <w:rFonts w:hint="eastAsia" w:ascii="Times New Roman" w:hAnsi="Times New Roman" w:cs="Times New Roman"/>
          <w:sz w:val="28"/>
          <w:szCs w:val="28"/>
        </w:rPr>
        <w:t>%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54.8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和3.9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overflowPunct w:val="0"/>
        <w:spacing w:line="560" w:lineRule="exact"/>
        <w:ind w:firstLine="560" w:firstLineChars="200"/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房地产开发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回升向好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房地产开发投资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7092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元，同比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增长203.1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%。商品房销售面积为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4.03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万平方米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下降13.2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pStyle w:val="2"/>
      </w:pPr>
      <w:r>
        <w:drawing>
          <wp:inline distT="0" distB="0" distL="114300" distR="114300">
            <wp:extent cx="5516880" cy="3430270"/>
            <wp:effectExtent l="4445" t="4445" r="22225" b="1333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numPr>
          <w:ilvl w:val="0"/>
          <w:numId w:val="2"/>
        </w:numPr>
        <w:overflowPunct w:val="0"/>
        <w:spacing w:line="560" w:lineRule="exact"/>
        <w:ind w:firstLine="560" w:firstLineChars="200"/>
        <w:jc w:val="left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ascii="Times New Roman" w:hAnsi="Times New Roman" w:eastAsia="方正小标宋_GBK" w:cs="Times New Roman"/>
          <w:sz w:val="28"/>
          <w:szCs w:val="28"/>
        </w:rPr>
        <w:t>财政收支</w:t>
      </w:r>
    </w:p>
    <w:p>
      <w:pPr>
        <w:overflowPunct w:val="0"/>
        <w:spacing w:line="56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</w:rPr>
        <w:t>财政收支保持增长。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1—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县本级财政一般公共预算收入同比增长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15.5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%，其中税收收入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增长15.7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%。财政一般公共预算支出同比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下降5.8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%，其中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科学技术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支出和卫生健康支出分别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增长109.8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24.7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%。</w:t>
      </w:r>
    </w:p>
    <w:p>
      <w:pPr>
        <w:numPr>
          <w:ilvl w:val="0"/>
          <w:numId w:val="2"/>
        </w:numPr>
        <w:overflowPunct w:val="0"/>
        <w:spacing w:line="560" w:lineRule="exact"/>
        <w:ind w:firstLine="560" w:firstLineChars="200"/>
        <w:jc w:val="left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ascii="Times New Roman" w:hAnsi="Times New Roman" w:eastAsia="方正小标宋_GBK" w:cs="Times New Roman"/>
          <w:sz w:val="28"/>
          <w:szCs w:val="28"/>
        </w:rPr>
        <w:t>金融信贷</w:t>
      </w:r>
    </w:p>
    <w:p>
      <w:pPr>
        <w:overflowPunct w:val="0"/>
        <w:spacing w:line="560" w:lineRule="exact"/>
        <w:ind w:firstLine="560" w:firstLineChars="200"/>
        <w:rPr>
          <w:rFonts w:ascii="Times New Roman" w:hAnsi="Times New Roman" w:eastAsia="方正小标宋_GBK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金融存贷款余额持续增长。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月末，全县金融机构各项存款余额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190.22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9.8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%。其中，住户存款余额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140.15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12.1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%；非金融企业存款余额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23.68</w:t>
      </w:r>
      <w:r>
        <w:rPr>
          <w:rFonts w:ascii="Times New Roman" w:hAnsi="Times New Roman" w:cs="Times New Roman"/>
          <w:color w:val="000000"/>
          <w:sz w:val="28"/>
          <w:szCs w:val="28"/>
        </w:rPr>
        <w:t>亿元，同比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增长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23.8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>；广义政府存款余额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26.37</w:t>
      </w:r>
      <w:r>
        <w:rPr>
          <w:rFonts w:ascii="Times New Roman" w:hAnsi="Times New Roman" w:cs="Times New Roman"/>
          <w:color w:val="000000"/>
          <w:sz w:val="28"/>
          <w:szCs w:val="28"/>
        </w:rPr>
        <w:t>亿元，同比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下降9.6</w:t>
      </w:r>
      <w:r>
        <w:rPr>
          <w:rFonts w:ascii="Times New Roman" w:hAnsi="Times New Roman" w:cs="Times New Roman"/>
          <w:color w:val="000000"/>
          <w:sz w:val="28"/>
          <w:szCs w:val="28"/>
        </w:rPr>
        <w:t>%。各项贷款余额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170.46</w:t>
      </w:r>
      <w:r>
        <w:rPr>
          <w:rFonts w:ascii="Times New Roman" w:hAnsi="Times New Roman" w:cs="Times New Roman"/>
          <w:color w:val="000000"/>
          <w:sz w:val="28"/>
          <w:szCs w:val="28"/>
        </w:rPr>
        <w:t>亿元，同比增长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15.1</w:t>
      </w:r>
      <w:r>
        <w:rPr>
          <w:rFonts w:ascii="Times New Roman" w:hAnsi="Times New Roman" w:cs="Times New Roman"/>
          <w:color w:val="000000"/>
          <w:sz w:val="28"/>
          <w:szCs w:val="28"/>
        </w:rPr>
        <w:t>%。其中，住户贷款余额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77.93</w:t>
      </w:r>
      <w:r>
        <w:rPr>
          <w:rFonts w:ascii="Times New Roman" w:hAnsi="Times New Roman" w:cs="Times New Roman"/>
          <w:color w:val="000000"/>
          <w:sz w:val="28"/>
          <w:szCs w:val="28"/>
        </w:rPr>
        <w:t>亿元，同比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增长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9.7</w:t>
      </w:r>
      <w:r>
        <w:rPr>
          <w:rFonts w:ascii="Times New Roman" w:hAnsi="Times New Roman" w:cs="Times New Roman"/>
          <w:color w:val="000000"/>
          <w:sz w:val="28"/>
          <w:szCs w:val="28"/>
        </w:rPr>
        <w:t>%；非金融企业及机关团体贷款余额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92.52</w:t>
      </w:r>
      <w:r>
        <w:rPr>
          <w:rFonts w:ascii="Times New Roman" w:hAnsi="Times New Roman" w:cs="Times New Roman"/>
          <w:color w:val="000000"/>
          <w:sz w:val="28"/>
          <w:szCs w:val="28"/>
        </w:rPr>
        <w:t>亿元，同比增长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20.1</w:t>
      </w:r>
      <w:r>
        <w:rPr>
          <w:rFonts w:ascii="Times New Roman" w:hAnsi="Times New Roman" w:cs="Times New Roman"/>
          <w:color w:val="000000"/>
          <w:sz w:val="28"/>
          <w:szCs w:val="28"/>
        </w:rPr>
        <w:t>%。</w:t>
      </w:r>
    </w:p>
    <w:p>
      <w:pPr>
        <w:spacing w:line="360" w:lineRule="auto"/>
        <w:ind w:firstLine="548" w:firstLineChars="196"/>
        <w:rPr>
          <w:rFonts w:ascii="Times New Roman" w:hAnsi="Times New Roman" w:eastAsia="仿宋_GB2312" w:cs="Times New Roman"/>
          <w:bCs/>
          <w:sz w:val="28"/>
          <w:szCs w:val="28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V9rPK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8B+fc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LwH59z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A03D7"/>
    <w:multiLevelType w:val="singleLevel"/>
    <w:tmpl w:val="F9FA03D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8FF527"/>
    <w:multiLevelType w:val="singleLevel"/>
    <w:tmpl w:val="758FF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documentProtection w:enforcement="0"/>
  <w:defaultTabStop w:val="420"/>
  <w:evenAndOddHeaders w:val="true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NmRiMjA4NjU5N2UxY2U5ZTE4ZjA3NTAxYmRkNGEifQ=="/>
  </w:docVars>
  <w:rsids>
    <w:rsidRoot w:val="004D6ADA"/>
    <w:rsid w:val="000009E2"/>
    <w:rsid w:val="00001ECA"/>
    <w:rsid w:val="00003395"/>
    <w:rsid w:val="00005369"/>
    <w:rsid w:val="00012CEA"/>
    <w:rsid w:val="00016FE4"/>
    <w:rsid w:val="0001704A"/>
    <w:rsid w:val="00022459"/>
    <w:rsid w:val="00024A57"/>
    <w:rsid w:val="00032561"/>
    <w:rsid w:val="00033A75"/>
    <w:rsid w:val="00034114"/>
    <w:rsid w:val="0003418B"/>
    <w:rsid w:val="00036C5A"/>
    <w:rsid w:val="000431BB"/>
    <w:rsid w:val="000438EA"/>
    <w:rsid w:val="00056527"/>
    <w:rsid w:val="00061950"/>
    <w:rsid w:val="00070E7B"/>
    <w:rsid w:val="00077CD9"/>
    <w:rsid w:val="00085114"/>
    <w:rsid w:val="00087587"/>
    <w:rsid w:val="00091AEF"/>
    <w:rsid w:val="000A3C1D"/>
    <w:rsid w:val="000A705F"/>
    <w:rsid w:val="000B0C09"/>
    <w:rsid w:val="000B2CDC"/>
    <w:rsid w:val="000B4D82"/>
    <w:rsid w:val="000B600E"/>
    <w:rsid w:val="000B63BE"/>
    <w:rsid w:val="000C00FB"/>
    <w:rsid w:val="000C46EE"/>
    <w:rsid w:val="000C55B3"/>
    <w:rsid w:val="000D0D18"/>
    <w:rsid w:val="000D21AF"/>
    <w:rsid w:val="000E0279"/>
    <w:rsid w:val="000F13F9"/>
    <w:rsid w:val="000F5B05"/>
    <w:rsid w:val="001009F7"/>
    <w:rsid w:val="00104503"/>
    <w:rsid w:val="00106A7A"/>
    <w:rsid w:val="001131D5"/>
    <w:rsid w:val="0011524A"/>
    <w:rsid w:val="0012403B"/>
    <w:rsid w:val="001260E9"/>
    <w:rsid w:val="00127A71"/>
    <w:rsid w:val="001432E6"/>
    <w:rsid w:val="00145A33"/>
    <w:rsid w:val="00147FC3"/>
    <w:rsid w:val="0016593A"/>
    <w:rsid w:val="00165EB1"/>
    <w:rsid w:val="0016640E"/>
    <w:rsid w:val="00170535"/>
    <w:rsid w:val="001708BF"/>
    <w:rsid w:val="00176EFB"/>
    <w:rsid w:val="00183F9B"/>
    <w:rsid w:val="00191BCE"/>
    <w:rsid w:val="001940F7"/>
    <w:rsid w:val="001959A0"/>
    <w:rsid w:val="001A23FA"/>
    <w:rsid w:val="001B159E"/>
    <w:rsid w:val="001B5D5A"/>
    <w:rsid w:val="001B6723"/>
    <w:rsid w:val="001B6C15"/>
    <w:rsid w:val="001C2C64"/>
    <w:rsid w:val="001C4A99"/>
    <w:rsid w:val="001C4C5A"/>
    <w:rsid w:val="001C5501"/>
    <w:rsid w:val="001D06B6"/>
    <w:rsid w:val="001D4D12"/>
    <w:rsid w:val="001D7053"/>
    <w:rsid w:val="001F3A35"/>
    <w:rsid w:val="001F3EE3"/>
    <w:rsid w:val="001F440F"/>
    <w:rsid w:val="001F513A"/>
    <w:rsid w:val="001F7BCC"/>
    <w:rsid w:val="002037CE"/>
    <w:rsid w:val="00205C67"/>
    <w:rsid w:val="00214A1D"/>
    <w:rsid w:val="0022193D"/>
    <w:rsid w:val="00242FA6"/>
    <w:rsid w:val="00246D8F"/>
    <w:rsid w:val="002A0305"/>
    <w:rsid w:val="002A0880"/>
    <w:rsid w:val="002A13DF"/>
    <w:rsid w:val="002A2D11"/>
    <w:rsid w:val="002A7B9D"/>
    <w:rsid w:val="002B03C9"/>
    <w:rsid w:val="002B57AB"/>
    <w:rsid w:val="002B5DD2"/>
    <w:rsid w:val="002B6A85"/>
    <w:rsid w:val="002B7F95"/>
    <w:rsid w:val="002C149B"/>
    <w:rsid w:val="002C2DE2"/>
    <w:rsid w:val="002C3B41"/>
    <w:rsid w:val="002D0882"/>
    <w:rsid w:val="002D3383"/>
    <w:rsid w:val="002D6E04"/>
    <w:rsid w:val="002E44A1"/>
    <w:rsid w:val="002E54A6"/>
    <w:rsid w:val="002E571F"/>
    <w:rsid w:val="0030155D"/>
    <w:rsid w:val="00303726"/>
    <w:rsid w:val="00314E37"/>
    <w:rsid w:val="00316CE4"/>
    <w:rsid w:val="00333510"/>
    <w:rsid w:val="00334535"/>
    <w:rsid w:val="003420C5"/>
    <w:rsid w:val="00344321"/>
    <w:rsid w:val="00356AC4"/>
    <w:rsid w:val="00367054"/>
    <w:rsid w:val="003767A1"/>
    <w:rsid w:val="00395CBB"/>
    <w:rsid w:val="003A4546"/>
    <w:rsid w:val="003B0A5E"/>
    <w:rsid w:val="003B2C05"/>
    <w:rsid w:val="003C39CC"/>
    <w:rsid w:val="003D2AD4"/>
    <w:rsid w:val="003E1CDE"/>
    <w:rsid w:val="003F24B2"/>
    <w:rsid w:val="00417C1D"/>
    <w:rsid w:val="00421282"/>
    <w:rsid w:val="00422200"/>
    <w:rsid w:val="00427143"/>
    <w:rsid w:val="004322AB"/>
    <w:rsid w:val="00434505"/>
    <w:rsid w:val="0044146F"/>
    <w:rsid w:val="00441A16"/>
    <w:rsid w:val="00445B20"/>
    <w:rsid w:val="004475B3"/>
    <w:rsid w:val="0045244B"/>
    <w:rsid w:val="004555B7"/>
    <w:rsid w:val="00464C2C"/>
    <w:rsid w:val="00465D6A"/>
    <w:rsid w:val="00465F74"/>
    <w:rsid w:val="00470EA5"/>
    <w:rsid w:val="00474CFA"/>
    <w:rsid w:val="00475087"/>
    <w:rsid w:val="00481597"/>
    <w:rsid w:val="00495CCD"/>
    <w:rsid w:val="004A0E02"/>
    <w:rsid w:val="004A3A3E"/>
    <w:rsid w:val="004A4A71"/>
    <w:rsid w:val="004A5266"/>
    <w:rsid w:val="004B0917"/>
    <w:rsid w:val="004C29E2"/>
    <w:rsid w:val="004C4B9B"/>
    <w:rsid w:val="004D4590"/>
    <w:rsid w:val="004D4EA0"/>
    <w:rsid w:val="004D6ADA"/>
    <w:rsid w:val="004D718E"/>
    <w:rsid w:val="004E0C6B"/>
    <w:rsid w:val="004E54B5"/>
    <w:rsid w:val="00500504"/>
    <w:rsid w:val="00504C63"/>
    <w:rsid w:val="0050574B"/>
    <w:rsid w:val="00510308"/>
    <w:rsid w:val="00513F27"/>
    <w:rsid w:val="00522058"/>
    <w:rsid w:val="005267D1"/>
    <w:rsid w:val="00530243"/>
    <w:rsid w:val="00532FFC"/>
    <w:rsid w:val="0053578C"/>
    <w:rsid w:val="0054074A"/>
    <w:rsid w:val="00545295"/>
    <w:rsid w:val="00546373"/>
    <w:rsid w:val="00547387"/>
    <w:rsid w:val="00547D02"/>
    <w:rsid w:val="00561173"/>
    <w:rsid w:val="005702E2"/>
    <w:rsid w:val="00572521"/>
    <w:rsid w:val="0057452A"/>
    <w:rsid w:val="00576221"/>
    <w:rsid w:val="0057744A"/>
    <w:rsid w:val="00580BC3"/>
    <w:rsid w:val="005856E2"/>
    <w:rsid w:val="005B0183"/>
    <w:rsid w:val="005B0BA5"/>
    <w:rsid w:val="005B5955"/>
    <w:rsid w:val="005C3D16"/>
    <w:rsid w:val="005C6613"/>
    <w:rsid w:val="005D6C9C"/>
    <w:rsid w:val="005E06D8"/>
    <w:rsid w:val="005F1CCB"/>
    <w:rsid w:val="005F63CE"/>
    <w:rsid w:val="0060088B"/>
    <w:rsid w:val="00614AA3"/>
    <w:rsid w:val="006168CA"/>
    <w:rsid w:val="00627889"/>
    <w:rsid w:val="006312D3"/>
    <w:rsid w:val="00631E0B"/>
    <w:rsid w:val="00635DE1"/>
    <w:rsid w:val="0064062E"/>
    <w:rsid w:val="00642BBF"/>
    <w:rsid w:val="00644BDA"/>
    <w:rsid w:val="00651A8D"/>
    <w:rsid w:val="00654985"/>
    <w:rsid w:val="00655816"/>
    <w:rsid w:val="0066113D"/>
    <w:rsid w:val="00662062"/>
    <w:rsid w:val="0067081A"/>
    <w:rsid w:val="006744D7"/>
    <w:rsid w:val="006847B5"/>
    <w:rsid w:val="00694083"/>
    <w:rsid w:val="00697235"/>
    <w:rsid w:val="006A72FE"/>
    <w:rsid w:val="006B0A18"/>
    <w:rsid w:val="006B2E8A"/>
    <w:rsid w:val="006B7913"/>
    <w:rsid w:val="006C7698"/>
    <w:rsid w:val="006D0C77"/>
    <w:rsid w:val="006D4515"/>
    <w:rsid w:val="006D6D62"/>
    <w:rsid w:val="006D7EE9"/>
    <w:rsid w:val="006E7C2E"/>
    <w:rsid w:val="00700DA0"/>
    <w:rsid w:val="00707E15"/>
    <w:rsid w:val="00711864"/>
    <w:rsid w:val="00716417"/>
    <w:rsid w:val="00723582"/>
    <w:rsid w:val="00730EFA"/>
    <w:rsid w:val="00741D6F"/>
    <w:rsid w:val="007467B9"/>
    <w:rsid w:val="007553ED"/>
    <w:rsid w:val="00760B49"/>
    <w:rsid w:val="0076191A"/>
    <w:rsid w:val="00765CEE"/>
    <w:rsid w:val="007762C2"/>
    <w:rsid w:val="00777AAB"/>
    <w:rsid w:val="00791C34"/>
    <w:rsid w:val="007942AC"/>
    <w:rsid w:val="00794BEE"/>
    <w:rsid w:val="00797908"/>
    <w:rsid w:val="007A4567"/>
    <w:rsid w:val="007A6C17"/>
    <w:rsid w:val="007A7DD5"/>
    <w:rsid w:val="007C523F"/>
    <w:rsid w:val="007C5E2B"/>
    <w:rsid w:val="007D53D0"/>
    <w:rsid w:val="007E1D3A"/>
    <w:rsid w:val="007E2F54"/>
    <w:rsid w:val="007E5747"/>
    <w:rsid w:val="007F3F0E"/>
    <w:rsid w:val="008023F2"/>
    <w:rsid w:val="00806A6E"/>
    <w:rsid w:val="008218BF"/>
    <w:rsid w:val="00823078"/>
    <w:rsid w:val="0082405C"/>
    <w:rsid w:val="00824586"/>
    <w:rsid w:val="00833DF8"/>
    <w:rsid w:val="008355FA"/>
    <w:rsid w:val="00841C9C"/>
    <w:rsid w:val="0084296F"/>
    <w:rsid w:val="00843853"/>
    <w:rsid w:val="0084672F"/>
    <w:rsid w:val="00854DA4"/>
    <w:rsid w:val="0086597A"/>
    <w:rsid w:val="008706DC"/>
    <w:rsid w:val="00871F4B"/>
    <w:rsid w:val="00876874"/>
    <w:rsid w:val="00880532"/>
    <w:rsid w:val="008826AF"/>
    <w:rsid w:val="0088559E"/>
    <w:rsid w:val="00891018"/>
    <w:rsid w:val="00897969"/>
    <w:rsid w:val="008A4116"/>
    <w:rsid w:val="008A4A23"/>
    <w:rsid w:val="008B61AA"/>
    <w:rsid w:val="008B76ED"/>
    <w:rsid w:val="008B7D0D"/>
    <w:rsid w:val="008C0218"/>
    <w:rsid w:val="008D10F5"/>
    <w:rsid w:val="008D1651"/>
    <w:rsid w:val="008D23C4"/>
    <w:rsid w:val="008D6E59"/>
    <w:rsid w:val="008E62EB"/>
    <w:rsid w:val="008F35C1"/>
    <w:rsid w:val="0090541A"/>
    <w:rsid w:val="0090763B"/>
    <w:rsid w:val="0091336E"/>
    <w:rsid w:val="009143D9"/>
    <w:rsid w:val="00915315"/>
    <w:rsid w:val="00916237"/>
    <w:rsid w:val="00932BA9"/>
    <w:rsid w:val="0093542E"/>
    <w:rsid w:val="00942DC6"/>
    <w:rsid w:val="009456EF"/>
    <w:rsid w:val="00950006"/>
    <w:rsid w:val="00962389"/>
    <w:rsid w:val="009735A2"/>
    <w:rsid w:val="009862BD"/>
    <w:rsid w:val="00990CBE"/>
    <w:rsid w:val="009976C6"/>
    <w:rsid w:val="009A2FBC"/>
    <w:rsid w:val="009B1320"/>
    <w:rsid w:val="009B4828"/>
    <w:rsid w:val="009C0D8D"/>
    <w:rsid w:val="009D44D2"/>
    <w:rsid w:val="009E10B6"/>
    <w:rsid w:val="009E1798"/>
    <w:rsid w:val="009E6578"/>
    <w:rsid w:val="009F2DF2"/>
    <w:rsid w:val="00A0185A"/>
    <w:rsid w:val="00A02F8F"/>
    <w:rsid w:val="00A14379"/>
    <w:rsid w:val="00A20E92"/>
    <w:rsid w:val="00A218D6"/>
    <w:rsid w:val="00A37F6A"/>
    <w:rsid w:val="00A40BC0"/>
    <w:rsid w:val="00A446A9"/>
    <w:rsid w:val="00A47961"/>
    <w:rsid w:val="00A526E7"/>
    <w:rsid w:val="00A64D1F"/>
    <w:rsid w:val="00A64FF3"/>
    <w:rsid w:val="00A65165"/>
    <w:rsid w:val="00A7429E"/>
    <w:rsid w:val="00A74A44"/>
    <w:rsid w:val="00A74B09"/>
    <w:rsid w:val="00A76C37"/>
    <w:rsid w:val="00A82F60"/>
    <w:rsid w:val="00A964FA"/>
    <w:rsid w:val="00AA135A"/>
    <w:rsid w:val="00AB1A95"/>
    <w:rsid w:val="00AB483D"/>
    <w:rsid w:val="00AD1319"/>
    <w:rsid w:val="00AD3016"/>
    <w:rsid w:val="00AD62DF"/>
    <w:rsid w:val="00AE13B4"/>
    <w:rsid w:val="00AF24CC"/>
    <w:rsid w:val="00AF4E0A"/>
    <w:rsid w:val="00AF77BD"/>
    <w:rsid w:val="00B00AE4"/>
    <w:rsid w:val="00B05F1E"/>
    <w:rsid w:val="00B06551"/>
    <w:rsid w:val="00B105C8"/>
    <w:rsid w:val="00B12552"/>
    <w:rsid w:val="00B21B85"/>
    <w:rsid w:val="00B230D7"/>
    <w:rsid w:val="00B31B85"/>
    <w:rsid w:val="00B3399D"/>
    <w:rsid w:val="00B35D34"/>
    <w:rsid w:val="00B36A6C"/>
    <w:rsid w:val="00B4082F"/>
    <w:rsid w:val="00B46004"/>
    <w:rsid w:val="00B46325"/>
    <w:rsid w:val="00B508F7"/>
    <w:rsid w:val="00B64386"/>
    <w:rsid w:val="00B673D9"/>
    <w:rsid w:val="00B7170D"/>
    <w:rsid w:val="00B76E14"/>
    <w:rsid w:val="00B840D0"/>
    <w:rsid w:val="00B9179E"/>
    <w:rsid w:val="00BA17DC"/>
    <w:rsid w:val="00BA2C70"/>
    <w:rsid w:val="00BB6ED4"/>
    <w:rsid w:val="00BC1AC0"/>
    <w:rsid w:val="00BC38AF"/>
    <w:rsid w:val="00BD0A5F"/>
    <w:rsid w:val="00BE5AB5"/>
    <w:rsid w:val="00C00BCB"/>
    <w:rsid w:val="00C01556"/>
    <w:rsid w:val="00C22C1A"/>
    <w:rsid w:val="00C25440"/>
    <w:rsid w:val="00C26958"/>
    <w:rsid w:val="00C362B4"/>
    <w:rsid w:val="00C36CF7"/>
    <w:rsid w:val="00C40B01"/>
    <w:rsid w:val="00C41414"/>
    <w:rsid w:val="00C44BE9"/>
    <w:rsid w:val="00C50F55"/>
    <w:rsid w:val="00C56F17"/>
    <w:rsid w:val="00C61D73"/>
    <w:rsid w:val="00C65CE6"/>
    <w:rsid w:val="00C67A8B"/>
    <w:rsid w:val="00C767D6"/>
    <w:rsid w:val="00C80B11"/>
    <w:rsid w:val="00CA240F"/>
    <w:rsid w:val="00CA5B53"/>
    <w:rsid w:val="00CA6BED"/>
    <w:rsid w:val="00CB11AF"/>
    <w:rsid w:val="00CB2511"/>
    <w:rsid w:val="00CB61C4"/>
    <w:rsid w:val="00CC2EF4"/>
    <w:rsid w:val="00CD4A29"/>
    <w:rsid w:val="00CD4B25"/>
    <w:rsid w:val="00CD746C"/>
    <w:rsid w:val="00CE3187"/>
    <w:rsid w:val="00CE61B5"/>
    <w:rsid w:val="00CF1C88"/>
    <w:rsid w:val="00D011CA"/>
    <w:rsid w:val="00D05387"/>
    <w:rsid w:val="00D0594E"/>
    <w:rsid w:val="00D11222"/>
    <w:rsid w:val="00D11B83"/>
    <w:rsid w:val="00D20D2D"/>
    <w:rsid w:val="00D27B12"/>
    <w:rsid w:val="00D33CE6"/>
    <w:rsid w:val="00D44925"/>
    <w:rsid w:val="00D66190"/>
    <w:rsid w:val="00D7253C"/>
    <w:rsid w:val="00D7502D"/>
    <w:rsid w:val="00D756BB"/>
    <w:rsid w:val="00D7619C"/>
    <w:rsid w:val="00D8643D"/>
    <w:rsid w:val="00D86E38"/>
    <w:rsid w:val="00D87AEC"/>
    <w:rsid w:val="00D912DE"/>
    <w:rsid w:val="00DC72A4"/>
    <w:rsid w:val="00DD6423"/>
    <w:rsid w:val="00DE1549"/>
    <w:rsid w:val="00DE3DF5"/>
    <w:rsid w:val="00DE4D80"/>
    <w:rsid w:val="00DF42FB"/>
    <w:rsid w:val="00E07A5E"/>
    <w:rsid w:val="00E13FFC"/>
    <w:rsid w:val="00E14182"/>
    <w:rsid w:val="00E21077"/>
    <w:rsid w:val="00E235CC"/>
    <w:rsid w:val="00E4288A"/>
    <w:rsid w:val="00E47635"/>
    <w:rsid w:val="00E5064D"/>
    <w:rsid w:val="00E5606F"/>
    <w:rsid w:val="00E57D69"/>
    <w:rsid w:val="00E65AF1"/>
    <w:rsid w:val="00E65C3C"/>
    <w:rsid w:val="00E67B15"/>
    <w:rsid w:val="00E8184C"/>
    <w:rsid w:val="00E84836"/>
    <w:rsid w:val="00E91A16"/>
    <w:rsid w:val="00E935FA"/>
    <w:rsid w:val="00E9476F"/>
    <w:rsid w:val="00E95412"/>
    <w:rsid w:val="00E960EE"/>
    <w:rsid w:val="00EA275B"/>
    <w:rsid w:val="00EB1B2D"/>
    <w:rsid w:val="00EB7A2A"/>
    <w:rsid w:val="00EC0DEE"/>
    <w:rsid w:val="00ED1432"/>
    <w:rsid w:val="00ED1FD6"/>
    <w:rsid w:val="00ED4FE3"/>
    <w:rsid w:val="00EE38D6"/>
    <w:rsid w:val="00EF182F"/>
    <w:rsid w:val="00EF1C48"/>
    <w:rsid w:val="00EF47DA"/>
    <w:rsid w:val="00EF4CA9"/>
    <w:rsid w:val="00F04BDC"/>
    <w:rsid w:val="00F05090"/>
    <w:rsid w:val="00F066B0"/>
    <w:rsid w:val="00F17BD5"/>
    <w:rsid w:val="00F32F5A"/>
    <w:rsid w:val="00F359B1"/>
    <w:rsid w:val="00F41E03"/>
    <w:rsid w:val="00F539CE"/>
    <w:rsid w:val="00F733D5"/>
    <w:rsid w:val="00F80F8A"/>
    <w:rsid w:val="00F9020E"/>
    <w:rsid w:val="00F90B08"/>
    <w:rsid w:val="00F931C3"/>
    <w:rsid w:val="00F947EC"/>
    <w:rsid w:val="00F95F35"/>
    <w:rsid w:val="00FB0DD1"/>
    <w:rsid w:val="00FC373D"/>
    <w:rsid w:val="00FC44DA"/>
    <w:rsid w:val="00FC6531"/>
    <w:rsid w:val="00FD0DB6"/>
    <w:rsid w:val="00FD7D37"/>
    <w:rsid w:val="00FE16F2"/>
    <w:rsid w:val="00FE3E1A"/>
    <w:rsid w:val="00FE41F1"/>
    <w:rsid w:val="00FE574D"/>
    <w:rsid w:val="00FF1344"/>
    <w:rsid w:val="00FF6F0F"/>
    <w:rsid w:val="012F0F40"/>
    <w:rsid w:val="02090994"/>
    <w:rsid w:val="02B6098E"/>
    <w:rsid w:val="03CE5197"/>
    <w:rsid w:val="05034E14"/>
    <w:rsid w:val="0571442E"/>
    <w:rsid w:val="061A1A83"/>
    <w:rsid w:val="06604761"/>
    <w:rsid w:val="06CE21BF"/>
    <w:rsid w:val="06E3642E"/>
    <w:rsid w:val="07112C54"/>
    <w:rsid w:val="07342A27"/>
    <w:rsid w:val="07D61DDF"/>
    <w:rsid w:val="08C51D75"/>
    <w:rsid w:val="08C61FD7"/>
    <w:rsid w:val="093D3223"/>
    <w:rsid w:val="094E0AD4"/>
    <w:rsid w:val="09EF5C9D"/>
    <w:rsid w:val="0A1A4D0E"/>
    <w:rsid w:val="0B28531B"/>
    <w:rsid w:val="0B661144"/>
    <w:rsid w:val="0C1368E9"/>
    <w:rsid w:val="0D444B80"/>
    <w:rsid w:val="0D6F3CE4"/>
    <w:rsid w:val="0D8366EA"/>
    <w:rsid w:val="0D915C1C"/>
    <w:rsid w:val="0D9E3FC3"/>
    <w:rsid w:val="0EB36327"/>
    <w:rsid w:val="0EE347FB"/>
    <w:rsid w:val="0EF46A3A"/>
    <w:rsid w:val="0F4F4AAE"/>
    <w:rsid w:val="0F640124"/>
    <w:rsid w:val="0FD8052D"/>
    <w:rsid w:val="103233BB"/>
    <w:rsid w:val="108F4F7C"/>
    <w:rsid w:val="10AD6CA7"/>
    <w:rsid w:val="11645962"/>
    <w:rsid w:val="119D65E9"/>
    <w:rsid w:val="119E03F7"/>
    <w:rsid w:val="11AB345B"/>
    <w:rsid w:val="12BB1869"/>
    <w:rsid w:val="1328209F"/>
    <w:rsid w:val="1396540D"/>
    <w:rsid w:val="149A1BC4"/>
    <w:rsid w:val="14B466DF"/>
    <w:rsid w:val="14E92EF2"/>
    <w:rsid w:val="14FE7D0A"/>
    <w:rsid w:val="15084D6A"/>
    <w:rsid w:val="150E446A"/>
    <w:rsid w:val="151338AA"/>
    <w:rsid w:val="154C6CC8"/>
    <w:rsid w:val="15577115"/>
    <w:rsid w:val="163A2A19"/>
    <w:rsid w:val="18800485"/>
    <w:rsid w:val="18B02811"/>
    <w:rsid w:val="18FF18CC"/>
    <w:rsid w:val="199A0F1C"/>
    <w:rsid w:val="19D03C99"/>
    <w:rsid w:val="19D119D0"/>
    <w:rsid w:val="1A272E26"/>
    <w:rsid w:val="1A347786"/>
    <w:rsid w:val="1A6B5543"/>
    <w:rsid w:val="1AE211F8"/>
    <w:rsid w:val="1BCD6CC0"/>
    <w:rsid w:val="1C0F46A2"/>
    <w:rsid w:val="1C404189"/>
    <w:rsid w:val="1C99076E"/>
    <w:rsid w:val="1CB051A0"/>
    <w:rsid w:val="1CB17D58"/>
    <w:rsid w:val="1D5D17D9"/>
    <w:rsid w:val="1DAB09BA"/>
    <w:rsid w:val="1EE6556C"/>
    <w:rsid w:val="1F610208"/>
    <w:rsid w:val="1FB913FE"/>
    <w:rsid w:val="20541DDF"/>
    <w:rsid w:val="20D2171B"/>
    <w:rsid w:val="212149AB"/>
    <w:rsid w:val="21AA2D95"/>
    <w:rsid w:val="21F8754A"/>
    <w:rsid w:val="228026A7"/>
    <w:rsid w:val="22CA380E"/>
    <w:rsid w:val="22E426C5"/>
    <w:rsid w:val="23591C97"/>
    <w:rsid w:val="24975A86"/>
    <w:rsid w:val="24C273CE"/>
    <w:rsid w:val="251867EC"/>
    <w:rsid w:val="26445799"/>
    <w:rsid w:val="26865238"/>
    <w:rsid w:val="26917C0D"/>
    <w:rsid w:val="26DF5122"/>
    <w:rsid w:val="27056A92"/>
    <w:rsid w:val="281713B7"/>
    <w:rsid w:val="28194775"/>
    <w:rsid w:val="285A2AD3"/>
    <w:rsid w:val="28D958C0"/>
    <w:rsid w:val="290F1861"/>
    <w:rsid w:val="29A5675B"/>
    <w:rsid w:val="2B4D3661"/>
    <w:rsid w:val="2C696DE5"/>
    <w:rsid w:val="2D5503F3"/>
    <w:rsid w:val="2E3D77FC"/>
    <w:rsid w:val="2F560A17"/>
    <w:rsid w:val="2F747966"/>
    <w:rsid w:val="2F952B95"/>
    <w:rsid w:val="305C1058"/>
    <w:rsid w:val="3078247B"/>
    <w:rsid w:val="30A42C4E"/>
    <w:rsid w:val="30AD51CD"/>
    <w:rsid w:val="313D685C"/>
    <w:rsid w:val="318F48A6"/>
    <w:rsid w:val="31A54783"/>
    <w:rsid w:val="320359A3"/>
    <w:rsid w:val="32C1598A"/>
    <w:rsid w:val="33242BDA"/>
    <w:rsid w:val="3355124E"/>
    <w:rsid w:val="33696EA5"/>
    <w:rsid w:val="339733AC"/>
    <w:rsid w:val="340B6D18"/>
    <w:rsid w:val="34503989"/>
    <w:rsid w:val="348602AC"/>
    <w:rsid w:val="349445BF"/>
    <w:rsid w:val="34D71A38"/>
    <w:rsid w:val="35903EE3"/>
    <w:rsid w:val="36AE6AE0"/>
    <w:rsid w:val="37422135"/>
    <w:rsid w:val="386628ED"/>
    <w:rsid w:val="386D7DA3"/>
    <w:rsid w:val="397924D0"/>
    <w:rsid w:val="39A00D1B"/>
    <w:rsid w:val="39D0586A"/>
    <w:rsid w:val="3A590E83"/>
    <w:rsid w:val="3A5A5B07"/>
    <w:rsid w:val="3AC8628E"/>
    <w:rsid w:val="3B04326A"/>
    <w:rsid w:val="3B062F49"/>
    <w:rsid w:val="3BA03B47"/>
    <w:rsid w:val="3BB040EE"/>
    <w:rsid w:val="3BE76D81"/>
    <w:rsid w:val="3D251C6A"/>
    <w:rsid w:val="3D811933"/>
    <w:rsid w:val="3DFC5B48"/>
    <w:rsid w:val="3E270746"/>
    <w:rsid w:val="3E347DB9"/>
    <w:rsid w:val="3E9126E3"/>
    <w:rsid w:val="3F2D4047"/>
    <w:rsid w:val="3F7F95AD"/>
    <w:rsid w:val="3F9E4661"/>
    <w:rsid w:val="3FCC6B27"/>
    <w:rsid w:val="3FE64FAF"/>
    <w:rsid w:val="3FF761AA"/>
    <w:rsid w:val="40BE410B"/>
    <w:rsid w:val="410E330E"/>
    <w:rsid w:val="416D4B5E"/>
    <w:rsid w:val="41967A31"/>
    <w:rsid w:val="41B44B58"/>
    <w:rsid w:val="41B82C1B"/>
    <w:rsid w:val="42271042"/>
    <w:rsid w:val="42600A46"/>
    <w:rsid w:val="42965739"/>
    <w:rsid w:val="42DE6CF1"/>
    <w:rsid w:val="431A33A9"/>
    <w:rsid w:val="432A3C54"/>
    <w:rsid w:val="43677456"/>
    <w:rsid w:val="448E5865"/>
    <w:rsid w:val="449F596C"/>
    <w:rsid w:val="453C3DB3"/>
    <w:rsid w:val="46130471"/>
    <w:rsid w:val="46721A17"/>
    <w:rsid w:val="470F4E08"/>
    <w:rsid w:val="47466C1D"/>
    <w:rsid w:val="47CA59AD"/>
    <w:rsid w:val="48201B8F"/>
    <w:rsid w:val="4837245E"/>
    <w:rsid w:val="48AF1C94"/>
    <w:rsid w:val="48D15842"/>
    <w:rsid w:val="490F3E97"/>
    <w:rsid w:val="498E1437"/>
    <w:rsid w:val="4AA704DD"/>
    <w:rsid w:val="4B4C3059"/>
    <w:rsid w:val="4B8255B0"/>
    <w:rsid w:val="4B9A5865"/>
    <w:rsid w:val="4BB37ABD"/>
    <w:rsid w:val="4CD30155"/>
    <w:rsid w:val="4CF634D0"/>
    <w:rsid w:val="4D3630C3"/>
    <w:rsid w:val="4D4416C9"/>
    <w:rsid w:val="4DA4699A"/>
    <w:rsid w:val="4E4E56BD"/>
    <w:rsid w:val="4E6A0A71"/>
    <w:rsid w:val="4EF05D78"/>
    <w:rsid w:val="4F40677D"/>
    <w:rsid w:val="4F5165DF"/>
    <w:rsid w:val="4F5C1452"/>
    <w:rsid w:val="4F820463"/>
    <w:rsid w:val="5009470C"/>
    <w:rsid w:val="509D12E9"/>
    <w:rsid w:val="51E40DE8"/>
    <w:rsid w:val="520E4D2A"/>
    <w:rsid w:val="52AF1609"/>
    <w:rsid w:val="531475DD"/>
    <w:rsid w:val="53C13EED"/>
    <w:rsid w:val="54142DE9"/>
    <w:rsid w:val="54442C85"/>
    <w:rsid w:val="54AD5CDF"/>
    <w:rsid w:val="54F231AC"/>
    <w:rsid w:val="55722D80"/>
    <w:rsid w:val="569E316F"/>
    <w:rsid w:val="575E5E0B"/>
    <w:rsid w:val="578C6C6B"/>
    <w:rsid w:val="58A71D8F"/>
    <w:rsid w:val="59635AEB"/>
    <w:rsid w:val="59823A7D"/>
    <w:rsid w:val="5A3C4C38"/>
    <w:rsid w:val="5A7E718D"/>
    <w:rsid w:val="5AD13536"/>
    <w:rsid w:val="5AD94033"/>
    <w:rsid w:val="5B4A6DD2"/>
    <w:rsid w:val="5CA16E2B"/>
    <w:rsid w:val="5E777144"/>
    <w:rsid w:val="5F130A46"/>
    <w:rsid w:val="5F55744E"/>
    <w:rsid w:val="5F731C96"/>
    <w:rsid w:val="5FB10AC7"/>
    <w:rsid w:val="5FEFCA39"/>
    <w:rsid w:val="6012222A"/>
    <w:rsid w:val="60896044"/>
    <w:rsid w:val="60EB74AD"/>
    <w:rsid w:val="61BE179D"/>
    <w:rsid w:val="63014E7B"/>
    <w:rsid w:val="634C543F"/>
    <w:rsid w:val="63AC0EA9"/>
    <w:rsid w:val="6453742F"/>
    <w:rsid w:val="6467318F"/>
    <w:rsid w:val="648C653E"/>
    <w:rsid w:val="64E86973"/>
    <w:rsid w:val="654E2B59"/>
    <w:rsid w:val="659D4356"/>
    <w:rsid w:val="66107C15"/>
    <w:rsid w:val="667F1781"/>
    <w:rsid w:val="669A45F3"/>
    <w:rsid w:val="66EC7CD8"/>
    <w:rsid w:val="67573419"/>
    <w:rsid w:val="67C25F42"/>
    <w:rsid w:val="67E473FC"/>
    <w:rsid w:val="68342ED2"/>
    <w:rsid w:val="68457FA1"/>
    <w:rsid w:val="68606CAD"/>
    <w:rsid w:val="68B57855"/>
    <w:rsid w:val="691E291E"/>
    <w:rsid w:val="6A747663"/>
    <w:rsid w:val="6ADC394E"/>
    <w:rsid w:val="6B1A4D11"/>
    <w:rsid w:val="6B372DCF"/>
    <w:rsid w:val="6B5D7DF6"/>
    <w:rsid w:val="6BA954BC"/>
    <w:rsid w:val="6C557742"/>
    <w:rsid w:val="6CA83556"/>
    <w:rsid w:val="6D90415A"/>
    <w:rsid w:val="6DB041E6"/>
    <w:rsid w:val="6DFF2BE4"/>
    <w:rsid w:val="6E900A15"/>
    <w:rsid w:val="6E901B80"/>
    <w:rsid w:val="6F151DAE"/>
    <w:rsid w:val="6FED238C"/>
    <w:rsid w:val="70206657"/>
    <w:rsid w:val="71447B3C"/>
    <w:rsid w:val="715942AA"/>
    <w:rsid w:val="71AC252F"/>
    <w:rsid w:val="72056B2B"/>
    <w:rsid w:val="727137F6"/>
    <w:rsid w:val="733C6C15"/>
    <w:rsid w:val="73BA1AA3"/>
    <w:rsid w:val="740352E5"/>
    <w:rsid w:val="74174400"/>
    <w:rsid w:val="74911673"/>
    <w:rsid w:val="751524A3"/>
    <w:rsid w:val="756756F0"/>
    <w:rsid w:val="75AE14DE"/>
    <w:rsid w:val="760F5CA2"/>
    <w:rsid w:val="772D5885"/>
    <w:rsid w:val="77923278"/>
    <w:rsid w:val="79B06159"/>
    <w:rsid w:val="79D40519"/>
    <w:rsid w:val="7A307EE3"/>
    <w:rsid w:val="7A6B64E7"/>
    <w:rsid w:val="7A6D6E9C"/>
    <w:rsid w:val="7A766C64"/>
    <w:rsid w:val="7ABF03D8"/>
    <w:rsid w:val="7B154EDA"/>
    <w:rsid w:val="7B245AEE"/>
    <w:rsid w:val="7BA07A02"/>
    <w:rsid w:val="7D8A3207"/>
    <w:rsid w:val="7DF42BF7"/>
    <w:rsid w:val="7E6349ED"/>
    <w:rsid w:val="7E8B30DA"/>
    <w:rsid w:val="7EFFC18A"/>
    <w:rsid w:val="7F8166DE"/>
    <w:rsid w:val="ABFF6C56"/>
    <w:rsid w:val="BBDD599B"/>
    <w:rsid w:val="C9F7C246"/>
    <w:rsid w:val="DDFBA34A"/>
    <w:rsid w:val="F5EFEE00"/>
    <w:rsid w:val="F795CF8C"/>
    <w:rsid w:val="F7B37E40"/>
    <w:rsid w:val="FBBBA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1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Times New Roman"/>
      <w:b/>
      <w:bCs/>
      <w:color w:val="000000"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locked/>
    <w:uiPriority w:val="99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标题 3 字符"/>
    <w:basedOn w:val="9"/>
    <w:link w:val="3"/>
    <w:qFormat/>
    <w:locked/>
    <w:uiPriority w:val="99"/>
    <w:rPr>
      <w:rFonts w:ascii="宋体" w:eastAsia="宋体" w:cs="Times New Roman"/>
      <w:b/>
      <w:bCs/>
      <w:color w:val="000000"/>
      <w:kern w:val="0"/>
      <w:sz w:val="27"/>
      <w:szCs w:val="27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脚 字符"/>
    <w:basedOn w:val="9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副标题 字符"/>
    <w:basedOn w:val="9"/>
    <w:link w:val="6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media/ckuos/BA83-4D5A/&#22478;&#21475;&#19982;&#20840;&#24066;&#24037;&#19994;&#22686;&#21152;&#20540;&#22686;&#36895;&#19982;&#22266;&#23450;&#36164;&#20135;&#25237;&#36164;&#22686;&#36895;&#23545;&#27604;(1).2024032016095786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media/ckuos/BA83-4D5A/&#22478;&#21475;&#19982;&#20840;&#24066;&#24037;&#19994;&#22686;&#21152;&#20540;&#22686;&#36895;&#19982;&#22266;&#23450;&#36164;&#20135;&#25237;&#36164;&#22686;&#36895;&#23545;&#27604;(1).2024032016095786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图</a:t>
            </a:r>
            <a:r>
              <a:rPr lang="en-US" altLang="zh-CN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1</a:t>
            </a:r>
            <a:r>
              <a:rPr lang="zh-CN" altLang="en-US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： </a:t>
            </a:r>
            <a:r>
              <a:rPr lang="en-US" altLang="zh-CN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2024</a:t>
            </a:r>
            <a:r>
              <a:rPr lang="zh-CN" altLang="en-US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年以来城口县与重庆市规上工业增加值累计增速对比</a:t>
            </a:r>
            <a:endParaRPr lang="zh-CN" altLang="en-US" sz="1200">
              <a:latin typeface="Times New Roman" panose="02020603050405020304" charset="0"/>
              <a:ea typeface="方正小标宋_GBK" panose="02000000000000000000" charset="-122"/>
              <a:cs typeface="Times New Roman" panose="02020603050405020304" charset="0"/>
            </a:endParaRP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单位：</a:t>
            </a:r>
            <a:r>
              <a:rPr lang="en-US" altLang="zh-CN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%</a:t>
            </a:r>
            <a:endParaRPr lang="en-US" altLang="zh-CN" sz="1200">
              <a:latin typeface="Times New Roman" panose="02020603050405020304" charset="0"/>
              <a:ea typeface="方正小标宋_GBK" panose="02000000000000000000" charset="-122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175264314161032"/>
          <c:y val="0.0198538535778299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/>
      <c:lineChart>
        <c:grouping val="standard"/>
        <c:varyColors val="false"/>
        <c:ser>
          <c:idx val="0"/>
          <c:order val="0"/>
          <c:tx>
            <c:strRef>
              <c:f>'[城口与全市工业增加值增速与固定资产投资增速对比(1).20240320160957862.xlsx]Sheet1'!$B$1</c:f>
              <c:strCache>
                <c:ptCount val="1"/>
                <c:pt idx="0">
                  <c:v>城口县</c:v>
                </c:pt>
              </c:strCache>
            </c:strRef>
          </c:tx>
          <c:spPr>
            <a:ln w="25400" cap="rnd" cmpd="sng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0"/>
                  <c:y val="-0.0639423783624871"/>
                </c:manualLayout>
              </c:layout>
              <c:dLblPos val="b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102890739833415"/>
                  <c:y val="-0.0727620167573129"/>
                </c:manualLayout>
              </c:layout>
              <c:dLblPos val="b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146986771190593"/>
                  <c:y val="-0.0573276495663678"/>
                </c:manualLayout>
              </c:layout>
              <c:dLblPos val="b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146986771190593"/>
                  <c:y val="-0.0132294575922387"/>
                </c:manualLayout>
              </c:layout>
              <c:dLblPos val="b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587947084762371"/>
                  <c:y val="-0.0661472879611936"/>
                </c:manualLayout>
              </c:layout>
              <c:dLblPos val="b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308672219500245"/>
                  <c:y val="-0.0661472879611936"/>
                </c:manualLayout>
              </c:layout>
              <c:dLblPos val="b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'[城口与全市工业增加值增速与固定资产投资增速对比(1).20240320160957862.xlsx]Sheet1'!$A$28:$A$39</c:f>
              <c:strCache>
                <c:ptCount val="12"/>
                <c:pt idx="0">
                  <c:v>8月</c:v>
                </c:pt>
                <c:pt idx="1">
                  <c:v>9月</c:v>
                </c:pt>
                <c:pt idx="2">
                  <c:v>10月</c:v>
                </c:pt>
                <c:pt idx="3">
                  <c:v>11月</c:v>
                </c:pt>
                <c:pt idx="4">
                  <c:v>12月</c:v>
                </c:pt>
                <c:pt idx="5">
                  <c:v>2025年1-2月</c:v>
                </c:pt>
                <c:pt idx="6">
                  <c:v>3月</c:v>
                </c:pt>
                <c:pt idx="7">
                  <c:v>4月</c:v>
                </c:pt>
                <c:pt idx="8">
                  <c:v>5月</c:v>
                </c:pt>
                <c:pt idx="9">
                  <c:v>6月</c:v>
                </c:pt>
                <c:pt idx="10">
                  <c:v>7月</c:v>
                </c:pt>
                <c:pt idx="11">
                  <c:v>8月</c:v>
                </c:pt>
              </c:strCache>
            </c:strRef>
          </c:cat>
          <c:val>
            <c:numRef>
              <c:f>'[城口与全市工业增加值增速与固定资产投资增速对比(1).20240320160957862.xlsx]Sheet1'!$B$28:$B$39</c:f>
              <c:numCache>
                <c:formatCode>0.0_ </c:formatCode>
                <c:ptCount val="12"/>
                <c:pt idx="0">
                  <c:v>8.1</c:v>
                </c:pt>
                <c:pt idx="1">
                  <c:v>6.4</c:v>
                </c:pt>
                <c:pt idx="2">
                  <c:v>2.9</c:v>
                </c:pt>
                <c:pt idx="3">
                  <c:v>2.3</c:v>
                </c:pt>
                <c:pt idx="4">
                  <c:v>4.6</c:v>
                </c:pt>
                <c:pt idx="5">
                  <c:v>1.6</c:v>
                </c:pt>
                <c:pt idx="6">
                  <c:v>9</c:v>
                </c:pt>
                <c:pt idx="7">
                  <c:v>9.1</c:v>
                </c:pt>
                <c:pt idx="8">
                  <c:v>1.1</c:v>
                </c:pt>
                <c:pt idx="9">
                  <c:v>4.6</c:v>
                </c:pt>
                <c:pt idx="10">
                  <c:v>-5.7</c:v>
                </c:pt>
                <c:pt idx="11">
                  <c:v>-6.9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'[城口与全市工业增加值增速与固定资产投资增速对比(1).20240320160957862.xlsx]Sheet1'!$C$1</c:f>
              <c:strCache>
                <c:ptCount val="1"/>
                <c:pt idx="0">
                  <c:v>重庆市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0.00440960313571779"/>
                  <c:y val="0.0683521975599"/>
                </c:manualLayout>
              </c:layout>
              <c:dLblPos val="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'[城口与全市工业增加值增速与固定资产投资增速对比(1).20240320160957862.xlsx]Sheet1'!$A$28:$A$39</c:f>
              <c:strCache>
                <c:ptCount val="12"/>
                <c:pt idx="0">
                  <c:v>8月</c:v>
                </c:pt>
                <c:pt idx="1">
                  <c:v>9月</c:v>
                </c:pt>
                <c:pt idx="2">
                  <c:v>10月</c:v>
                </c:pt>
                <c:pt idx="3">
                  <c:v>11月</c:v>
                </c:pt>
                <c:pt idx="4">
                  <c:v>12月</c:v>
                </c:pt>
                <c:pt idx="5">
                  <c:v>2025年1-2月</c:v>
                </c:pt>
                <c:pt idx="6">
                  <c:v>3月</c:v>
                </c:pt>
                <c:pt idx="7">
                  <c:v>4月</c:v>
                </c:pt>
                <c:pt idx="8">
                  <c:v>5月</c:v>
                </c:pt>
                <c:pt idx="9">
                  <c:v>6月</c:v>
                </c:pt>
                <c:pt idx="10">
                  <c:v>7月</c:v>
                </c:pt>
                <c:pt idx="11">
                  <c:v>8月</c:v>
                </c:pt>
              </c:strCache>
            </c:strRef>
          </c:cat>
          <c:val>
            <c:numRef>
              <c:f>'[城口与全市工业增加值增速与固定资产投资增速对比(1).20240320160957862.xlsx]Sheet1'!$C$28:$C$39</c:f>
              <c:numCache>
                <c:formatCode>0.0_ </c:formatCode>
                <c:ptCount val="12"/>
                <c:pt idx="0">
                  <c:v>8.3</c:v>
                </c:pt>
                <c:pt idx="1">
                  <c:v>8.1</c:v>
                </c:pt>
                <c:pt idx="2">
                  <c:v>7.9</c:v>
                </c:pt>
                <c:pt idx="3">
                  <c:v>7.6</c:v>
                </c:pt>
                <c:pt idx="4">
                  <c:v>7.3</c:v>
                </c:pt>
                <c:pt idx="5">
                  <c:v>2.2</c:v>
                </c:pt>
                <c:pt idx="6">
                  <c:v>3.6</c:v>
                </c:pt>
                <c:pt idx="7">
                  <c:v>4.5</c:v>
                </c:pt>
                <c:pt idx="8">
                  <c:v>5.1</c:v>
                </c:pt>
                <c:pt idx="9">
                  <c:v>7.3</c:v>
                </c:pt>
                <c:pt idx="10">
                  <c:v>5.4</c:v>
                </c:pt>
                <c:pt idx="11">
                  <c:v>5.7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499856702"/>
        <c:axId val="126319363"/>
      </c:lineChart>
      <c:catAx>
        <c:axId val="499856702"/>
        <c:scaling>
          <c:orientation val="minMax"/>
        </c:scaling>
        <c:delete val="false"/>
        <c:axPos val="b"/>
        <c:numFmt formatCode="_ &quot;￥&quot;* #,##0.00_ ;_ &quot;￥&quot;* \-#,##0.00_ ;_ &quot;￥&quot;* &quot;-&quot;??_ ;_ @_ " sourceLinked="false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26319363"/>
        <c:crosses val="autoZero"/>
        <c:auto val="true"/>
        <c:lblAlgn val="ctr"/>
        <c:lblOffset val="100"/>
        <c:noMultiLvlLbl val="false"/>
      </c:catAx>
      <c:valAx>
        <c:axId val="126319363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49985670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图</a:t>
            </a:r>
            <a:r>
              <a:rPr lang="en-US" altLang="zh-CN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2</a:t>
            </a:r>
            <a:r>
              <a:rPr lang="zh-CN" altLang="en-US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：</a:t>
            </a:r>
            <a:r>
              <a:rPr lang="en-US" altLang="zh-CN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2024</a:t>
            </a:r>
            <a:r>
              <a:rPr lang="zh-CN" altLang="en-US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年以来城口县与重庆市投资累计增速对比</a:t>
            </a:r>
            <a:endParaRPr lang="zh-CN" altLang="en-US" sz="1200">
              <a:latin typeface="Times New Roman" panose="02020603050405020304" charset="0"/>
              <a:ea typeface="方正小标宋_GBK" panose="02000000000000000000" charset="-122"/>
              <a:cs typeface="Times New Roman" panose="02020603050405020304" charset="0"/>
            </a:endParaRP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单位：</a:t>
            </a:r>
            <a:r>
              <a:rPr lang="en-US" altLang="zh-CN" sz="1200">
                <a:latin typeface="Times New Roman" panose="02020603050405020304" charset="0"/>
                <a:ea typeface="方正小标宋_GBK" panose="02000000000000000000" charset="-122"/>
                <a:cs typeface="Times New Roman" panose="02020603050405020304" charset="0"/>
              </a:rPr>
              <a:t>%</a:t>
            </a:r>
            <a:endParaRPr lang="en-US" altLang="zh-CN" sz="1200">
              <a:latin typeface="Times New Roman" panose="02020603050405020304" charset="0"/>
              <a:ea typeface="方正小标宋_GBK" panose="02000000000000000000" charset="-122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237076324241929"/>
          <c:y val="0.0326837816459236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0686668042269871"/>
          <c:y val="0.207722407731786"/>
          <c:w val="0.907505686125853"/>
          <c:h val="0.624293395836206"/>
        </c:manualLayout>
      </c:layout>
      <c:lineChart>
        <c:grouping val="standard"/>
        <c:varyColors val="false"/>
        <c:ser>
          <c:idx val="0"/>
          <c:order val="0"/>
          <c:tx>
            <c:strRef>
              <c:f>'[城口与全市工业增加值增速与固定资产投资增速对比(1).20240320160957862.xlsx]Sheet1'!$E$1</c:f>
              <c:strCache>
                <c:ptCount val="1"/>
                <c:pt idx="0">
                  <c:v>城口县</c:v>
                </c:pt>
              </c:strCache>
            </c:strRef>
          </c:tx>
          <c:spPr>
            <a:ln w="25400" cap="rnd" cmpd="sng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6350">
                <a:solidFill>
                  <a:schemeClr val="tx1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0.0068518180157135"/>
                  <c:y val="-0.0330736439805968"/>
                </c:manualLayout>
              </c:layout>
              <c:dLblPos val="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>
                    <c:manualLayout>
                      <c:w val="0.0470094018803761"/>
                      <c:h val="0.03828158230540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0013703636031427"/>
                  <c:y val="-0.0440981919741291"/>
                </c:manualLayout>
              </c:layout>
              <c:dLblPos val="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13703636031427"/>
                  <c:y val="-0.0396883727767162"/>
                </c:manualLayout>
              </c:layout>
              <c:dLblPos val="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'[城口与全市工业增加值增速与固定资产投资增速对比(1).20240320160957862.xlsx]Sheet1'!$D$28:$D$39</c:f>
              <c:strCache>
                <c:ptCount val="12"/>
                <c:pt idx="0">
                  <c:v>8月</c:v>
                </c:pt>
                <c:pt idx="1">
                  <c:v>9月</c:v>
                </c:pt>
                <c:pt idx="2">
                  <c:v>10月</c:v>
                </c:pt>
                <c:pt idx="3">
                  <c:v>11月</c:v>
                </c:pt>
                <c:pt idx="4">
                  <c:v>12月</c:v>
                </c:pt>
                <c:pt idx="5">
                  <c:v>2025年1-2月</c:v>
                </c:pt>
                <c:pt idx="6">
                  <c:v>3月</c:v>
                </c:pt>
                <c:pt idx="7">
                  <c:v>4月</c:v>
                </c:pt>
                <c:pt idx="8">
                  <c:v>5月</c:v>
                </c:pt>
                <c:pt idx="9">
                  <c:v>6月</c:v>
                </c:pt>
                <c:pt idx="10">
                  <c:v>7月</c:v>
                </c:pt>
                <c:pt idx="11">
                  <c:v>8月</c:v>
                </c:pt>
              </c:strCache>
            </c:strRef>
          </c:cat>
          <c:val>
            <c:numRef>
              <c:f>'[城口与全市工业增加值增速与固定资产投资增速对比(1).20240320160957862.xlsx]Sheet1'!$E$28:$E$39</c:f>
              <c:numCache>
                <c:formatCode>0.0_ </c:formatCode>
                <c:ptCount val="12"/>
                <c:pt idx="0">
                  <c:v>10.8</c:v>
                </c:pt>
                <c:pt idx="1">
                  <c:v>11.6</c:v>
                </c:pt>
                <c:pt idx="2">
                  <c:v>15.5</c:v>
                </c:pt>
                <c:pt idx="3">
                  <c:v>12.1</c:v>
                </c:pt>
                <c:pt idx="4">
                  <c:v>7.3</c:v>
                </c:pt>
                <c:pt idx="5">
                  <c:v>22.1</c:v>
                </c:pt>
                <c:pt idx="6">
                  <c:v>12.1</c:v>
                </c:pt>
                <c:pt idx="7">
                  <c:v>20.8</c:v>
                </c:pt>
                <c:pt idx="8">
                  <c:v>18.8</c:v>
                </c:pt>
                <c:pt idx="9">
                  <c:v>7.3</c:v>
                </c:pt>
                <c:pt idx="10">
                  <c:v>18</c:v>
                </c:pt>
                <c:pt idx="11">
                  <c:v>16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'[城口与全市工业增加值增速与固定资产投资增速对比(1).20240320160957862.xlsx]Sheet1'!$F$1</c:f>
              <c:strCache>
                <c:ptCount val="1"/>
                <c:pt idx="0">
                  <c:v>重庆市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'[城口与全市工业增加值增速与固定资产投资增速对比(1).20240320160957862.xlsx]Sheet1'!$D$28:$D$39</c:f>
              <c:strCache>
                <c:ptCount val="12"/>
                <c:pt idx="0">
                  <c:v>8月</c:v>
                </c:pt>
                <c:pt idx="1">
                  <c:v>9月</c:v>
                </c:pt>
                <c:pt idx="2">
                  <c:v>10月</c:v>
                </c:pt>
                <c:pt idx="3">
                  <c:v>11月</c:v>
                </c:pt>
                <c:pt idx="4">
                  <c:v>12月</c:v>
                </c:pt>
                <c:pt idx="5">
                  <c:v>2025年1-2月</c:v>
                </c:pt>
                <c:pt idx="6">
                  <c:v>3月</c:v>
                </c:pt>
                <c:pt idx="7">
                  <c:v>4月</c:v>
                </c:pt>
                <c:pt idx="8">
                  <c:v>5月</c:v>
                </c:pt>
                <c:pt idx="9">
                  <c:v>6月</c:v>
                </c:pt>
                <c:pt idx="10">
                  <c:v>7月</c:v>
                </c:pt>
                <c:pt idx="11">
                  <c:v>8月</c:v>
                </c:pt>
              </c:strCache>
            </c:strRef>
          </c:cat>
          <c:val>
            <c:numRef>
              <c:f>'[城口与全市工业增加值增速与固定资产投资增速对比(1).20240320160957862.xlsx]Sheet1'!$F$28:$F$39</c:f>
              <c:numCache>
                <c:formatCode>0.0_ </c:formatCode>
                <c:ptCount val="12"/>
                <c:pt idx="0">
                  <c:v>1.3</c:v>
                </c:pt>
                <c:pt idx="1">
                  <c:v>1.8</c:v>
                </c:pt>
                <c:pt idx="2">
                  <c:v>1.2</c:v>
                </c:pt>
                <c:pt idx="3">
                  <c:v>0.1</c:v>
                </c:pt>
                <c:pt idx="4">
                  <c:v>0.1</c:v>
                </c:pt>
                <c:pt idx="5">
                  <c:v>3</c:v>
                </c:pt>
                <c:pt idx="6">
                  <c:v>3.5</c:v>
                </c:pt>
                <c:pt idx="7">
                  <c:v>3.9</c:v>
                </c:pt>
                <c:pt idx="8">
                  <c:v>3.9</c:v>
                </c:pt>
                <c:pt idx="9">
                  <c:v>0.1</c:v>
                </c:pt>
                <c:pt idx="10">
                  <c:v>3.3</c:v>
                </c:pt>
                <c:pt idx="11">
                  <c:v>2.6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259712040"/>
        <c:axId val="867268873"/>
      </c:lineChart>
      <c:catAx>
        <c:axId val="259712040"/>
        <c:scaling>
          <c:orientation val="minMax"/>
        </c:scaling>
        <c:delete val="false"/>
        <c:axPos val="b"/>
        <c:numFmt formatCode="General" sourceLinked="false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67268873"/>
        <c:crosses val="autoZero"/>
        <c:auto val="true"/>
        <c:lblAlgn val="ctr"/>
        <c:lblOffset val="100"/>
        <c:noMultiLvlLbl val="false"/>
      </c:catAx>
      <c:valAx>
        <c:axId val="867268873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5971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662</Words>
  <Characters>856</Characters>
  <Lines>6</Lines>
  <Paragraphs>1</Paragraphs>
  <TotalTime>34</TotalTime>
  <ScaleCrop>false</ScaleCrop>
  <LinksUpToDate>false</LinksUpToDate>
  <CharactersWithSpaces>856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2017-04-19T00:37:00Z</dcterms:created>
  <dc:creator>微软用户</dc:creator>
  <cp:lastModifiedBy>县统计局管理员</cp:lastModifiedBy>
  <cp:lastPrinted>2023-08-22T10:46:00Z</cp:lastPrinted>
  <dcterms:modified xsi:type="dcterms:W3CDTF">2025-09-25T16:04:29Z</dcterms:modified>
  <dc:title>经济发展亮点突显  蓄势前行力求突破 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5F02AD243090424ABBDE67B9495D14F0_13</vt:lpwstr>
  </property>
  <property fmtid="{D5CDD505-2E9C-101B-9397-08002B2CF9AE}" pid="4" name="KSOSaveFontToCloudKey">
    <vt:lpwstr>708156418_embed</vt:lpwstr>
  </property>
  <property fmtid="{D5CDD505-2E9C-101B-9397-08002B2CF9AE}" pid="5" name="KSOTemplateDocerSaveRecord">
    <vt:lpwstr>eyJoZGlkIjoiZjkxMDExMWZhYTMwMDliZTFlZTUyZjQ3YTExNDQ1ZmIiLCJ1c2VySWQiOiIxNjY3NjAxMDM3In0=</vt:lpwstr>
  </property>
</Properties>
</file>