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09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左岚乡</w:t>
      </w:r>
      <w:r>
        <w:rPr>
          <w:rFonts w:hint="default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产业发展服务中心</w:t>
      </w:r>
    </w:p>
    <w:p w14:paraId="584DA28D">
      <w:pPr>
        <w:jc w:val="center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</w:pPr>
      <w:r>
        <w:rPr>
          <w:rFonts w:hint="default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202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5</w:t>
      </w:r>
      <w:r>
        <w:rPr>
          <w:rFonts w:hint="default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年财政预算执行情况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和202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年财政预算草案的报告</w:t>
      </w:r>
    </w:p>
    <w:p w14:paraId="2D81F202">
      <w:pPr>
        <w:jc w:val="center"/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  <w:lang w:eastAsia="zh-CN"/>
        </w:rPr>
      </w:pPr>
    </w:p>
    <w:p w14:paraId="62D905F9">
      <w:pPr>
        <w:jc w:val="center"/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  <w:lang w:eastAsia="zh-CN"/>
        </w:rPr>
      </w:pPr>
    </w:p>
    <w:p w14:paraId="532B852C">
      <w:pPr>
        <w:autoSpaceDE w:val="0"/>
        <w:autoSpaceDN w:val="0"/>
        <w:adjustRightInd w:val="0"/>
        <w:spacing w:line="560" w:lineRule="exact"/>
        <w:ind w:firstLine="640" w:firstLineChars="200"/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</w:rPr>
        <w:t>一、</w:t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方正黑体_GBK" w:cs="Times New Roman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黑体_GBK" w:cs="Times New Roman"/>
          <w:b w:val="0"/>
          <w:bCs w:val="0"/>
          <w:color w:val="auto"/>
          <w:sz w:val="32"/>
          <w:szCs w:val="32"/>
          <w:lang w:eastAsia="zh-CN"/>
        </w:rPr>
        <w:t>年度</w:t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</w:rPr>
        <w:t>预算执行情况</w:t>
      </w:r>
    </w:p>
    <w:p w14:paraId="565BCFE5"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202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年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在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乡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党委的统一领导下，在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乡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人大的监督下，在县财政局的指导下，</w:t>
      </w:r>
      <w:r>
        <w:rPr>
          <w:rFonts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全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乡</w:t>
      </w:r>
      <w:r>
        <w:rPr>
          <w:rFonts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上下坚持以习近平新时代中国特色社会主义思想为指导，坚决贯彻中央、市委、县委经济工作会议精神，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坚持稳中求进工作总基调，完整、准确、全面贯彻新发展理念，突出稳进增效、除险固安、改革突破、惠民强企工作导向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全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财政坚持依法理财、科学理财、为民理财，服务保障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乡党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委工作部署，认真落实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人大预算决议，统筹推进稳增长、促改革、防风险、保稳定、惠民生等各项工作，持续保持财政收支运行总体平稳、风险可控，推动新时代新征程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新左岚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开好局、起好步。</w:t>
      </w:r>
    </w:p>
    <w:p w14:paraId="52B7AE59">
      <w:pPr>
        <w:autoSpaceDE w:val="0"/>
        <w:autoSpaceDN w:val="0"/>
        <w:adjustRightInd w:val="0"/>
        <w:spacing w:line="560" w:lineRule="exact"/>
        <w:ind w:firstLine="640" w:firstLineChars="200"/>
        <w:rPr>
          <w:rFonts w:hint="default" w:ascii="Times New Roman" w:hAnsi="Times New Roman" w:eastAsia="方正楷体_GBK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/>
          <w:color w:val="auto"/>
          <w:sz w:val="32"/>
          <w:szCs w:val="32"/>
        </w:rPr>
        <w:t>（一）</w:t>
      </w:r>
      <w:r>
        <w:rPr>
          <w:rFonts w:hint="default" w:ascii="Times New Roman" w:hAnsi="Times New Roman" w:eastAsia="方正楷体_GBK" w:cs="Times New Roman"/>
          <w:b w:val="0"/>
          <w:bCs/>
          <w:color w:val="auto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方正楷体_GBK" w:cs="Times New Roman"/>
          <w:b w:val="0"/>
          <w:bCs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楷体_GBK" w:cs="Times New Roman"/>
          <w:b w:val="0"/>
          <w:bCs/>
          <w:color w:val="auto"/>
          <w:sz w:val="32"/>
          <w:szCs w:val="32"/>
        </w:rPr>
        <w:t>年一般公共预算执行情况</w:t>
      </w:r>
    </w:p>
    <w:p w14:paraId="4040B0C4">
      <w:pPr>
        <w:spacing w:line="560" w:lineRule="exact"/>
        <w:ind w:firstLine="803" w:firstLineChars="250"/>
        <w:rPr>
          <w:rFonts w:hint="eastAsia" w:ascii="方正仿宋_GBK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eastAsia" w:ascii="方正仿宋_GBK" w:eastAsia="方正仿宋_GBK"/>
          <w:b/>
          <w:color w:val="auto"/>
          <w:sz w:val="32"/>
          <w:szCs w:val="32"/>
          <w:lang w:eastAsia="zh-CN"/>
        </w:rPr>
        <w:t>收入</w:t>
      </w:r>
      <w:r>
        <w:rPr>
          <w:rFonts w:hint="eastAsia" w:ascii="方正仿宋_GBK" w:eastAsia="方正仿宋_GBK"/>
          <w:b/>
          <w:color w:val="auto"/>
          <w:sz w:val="32"/>
          <w:szCs w:val="32"/>
        </w:rPr>
        <w:t>项目执行情况。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年</w:t>
      </w:r>
      <w:r>
        <w:rPr>
          <w:rFonts w:hint="eastAsia" w:ascii="方正仿宋_GBK" w:hAnsi="Times New Roman" w:eastAsia="方正仿宋_GBK" w:cs="Times New Roman"/>
          <w:color w:val="auto"/>
          <w:sz w:val="32"/>
          <w:szCs w:val="32"/>
          <w:lang w:eastAsia="zh-CN"/>
        </w:rPr>
        <w:t>左岚乡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一般公共预算财政拨款收入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102.51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万元，其中年初预算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97.83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万元，调整预算追加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4.68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万元</w:t>
      </w:r>
      <w:r>
        <w:rPr>
          <w:rFonts w:hint="eastAsia" w:ascii="方正仿宋_GBK" w:hAnsi="Times New Roman" w:eastAsia="方正仿宋_GBK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为调整预算数</w:t>
      </w:r>
      <w:r>
        <w:rPr>
          <w:rFonts w:hint="eastAsia" w:ascii="方正仿宋_GBK" w:hAnsi="Times New Roman" w:eastAsia="方正仿宋_GBK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eastAsia" w:ascii="方正仿宋_GBK" w:hAnsi="Times New Roman" w:eastAsia="方正仿宋_GBK" w:cs="Times New Roman"/>
          <w:color w:val="auto"/>
          <w:sz w:val="32"/>
          <w:szCs w:val="32"/>
          <w:lang w:val="en-US" w:eastAsia="zh-CN"/>
        </w:rPr>
        <w:t>年无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政府性基金预算财政拨款收入</w:t>
      </w:r>
      <w:r>
        <w:rPr>
          <w:rFonts w:hint="eastAsia" w:ascii="方正仿宋_GBK" w:hAnsi="Times New Roman" w:eastAsia="方正仿宋_GBK" w:cs="Times New Roman"/>
          <w:color w:val="auto"/>
          <w:sz w:val="32"/>
          <w:szCs w:val="32"/>
          <w:lang w:eastAsia="zh-CN"/>
        </w:rPr>
        <w:t>。</w:t>
      </w:r>
    </w:p>
    <w:p w14:paraId="77D0EDA8">
      <w:pPr>
        <w:spacing w:line="560" w:lineRule="exact"/>
        <w:ind w:firstLine="803" w:firstLineChars="250"/>
        <w:rPr>
          <w:rFonts w:hint="eastAsia"/>
          <w:color w:val="auto"/>
          <w:sz w:val="32"/>
          <w:szCs w:val="32"/>
        </w:rPr>
      </w:pPr>
      <w:r>
        <w:rPr>
          <w:rFonts w:hint="eastAsia" w:ascii="方正仿宋_GBK" w:eastAsia="方正仿宋_GBK"/>
          <w:b/>
          <w:color w:val="auto"/>
          <w:sz w:val="32"/>
          <w:szCs w:val="32"/>
        </w:rPr>
        <w:t>支出项目执行情况。</w:t>
      </w:r>
      <w:r>
        <w:rPr>
          <w:rFonts w:hint="eastAsia" w:ascii="方正仿宋_GBK" w:eastAsia="方正仿宋_GBK"/>
          <w:color w:val="auto"/>
          <w:sz w:val="32"/>
          <w:szCs w:val="32"/>
        </w:rPr>
        <w:t>一般公共预算支出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102.51</w:t>
      </w:r>
      <w:r>
        <w:rPr>
          <w:rFonts w:hint="eastAsia" w:ascii="方正仿宋_GBK" w:eastAsia="方正仿宋_GBK"/>
          <w:color w:val="auto"/>
          <w:sz w:val="32"/>
          <w:szCs w:val="32"/>
        </w:rPr>
        <w:t>万元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eastAsia" w:ascii="方正仿宋_GBK" w:eastAsia="方正仿宋_GBK"/>
          <w:color w:val="auto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无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政府性基金预算财政拨款</w:t>
      </w:r>
      <w:r>
        <w:rPr>
          <w:rFonts w:hint="eastAsia" w:ascii="方正仿宋_GBK" w:hAnsi="Times New Roman" w:eastAsia="方正仿宋_GBK" w:cs="Times New Roman"/>
          <w:color w:val="auto"/>
          <w:sz w:val="32"/>
          <w:szCs w:val="32"/>
          <w:lang w:eastAsia="zh-CN"/>
        </w:rPr>
        <w:t>支出</w:t>
      </w:r>
      <w:r>
        <w:rPr>
          <w:rFonts w:hint="eastAsia" w:ascii="方正仿宋_GBK" w:eastAsia="方正仿宋_GBK"/>
          <w:color w:val="auto"/>
          <w:sz w:val="32"/>
          <w:szCs w:val="32"/>
        </w:rPr>
        <w:t>。</w:t>
      </w:r>
    </w:p>
    <w:p w14:paraId="12FA5E76">
      <w:pPr>
        <w:keepNext w:val="0"/>
        <w:keepLines w:val="0"/>
        <w:pageBreakBefore w:val="0"/>
        <w:kinsoku/>
        <w:wordWrap/>
        <w:topLinePunct w:val="0"/>
        <w:bidi w:val="0"/>
        <w:spacing w:before="217" w:beforeLines="50" w:line="579" w:lineRule="exact"/>
        <w:jc w:val="center"/>
        <w:rPr>
          <w:rFonts w:hint="default" w:ascii="Times New Roman" w:hAnsi="Times New Roman" w:eastAsia="黑体" w:cs="Times New Roman"/>
          <w:bCs/>
          <w:color w:val="000000"/>
        </w:rPr>
      </w:pPr>
      <w:r>
        <w:rPr>
          <w:rFonts w:hint="eastAsia" w:ascii="Times New Roman" w:hAnsi="Times New Roman" w:eastAsia="方正小标宋_GBK" w:cs="Times New Roman"/>
          <w:bCs/>
          <w:color w:val="000000"/>
          <w:lang w:eastAsia="zh-CN"/>
        </w:rPr>
        <w:t>左岚乡产业发展服务中心</w:t>
      </w:r>
      <w:r>
        <w:rPr>
          <w:rFonts w:hint="default" w:ascii="Times New Roman" w:hAnsi="Times New Roman" w:eastAsia="方正小标宋_GBK" w:cs="Times New Roman"/>
          <w:bCs/>
          <w:color w:val="000000"/>
        </w:rPr>
        <w:t>202</w:t>
      </w:r>
      <w:r>
        <w:rPr>
          <w:rFonts w:hint="eastAsia" w:ascii="Times New Roman" w:hAnsi="Times New Roman" w:eastAsia="方正小标宋_GBK" w:cs="Times New Roman"/>
          <w:bCs/>
          <w:color w:val="000000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bCs/>
          <w:color w:val="000000"/>
        </w:rPr>
        <w:t>年决算收支平衡表</w:t>
      </w:r>
    </w:p>
    <w:p w14:paraId="021F326E">
      <w:pPr>
        <w:keepNext w:val="0"/>
        <w:keepLines w:val="0"/>
        <w:pageBreakBefore w:val="0"/>
        <w:kinsoku/>
        <w:wordWrap/>
        <w:topLinePunct w:val="0"/>
        <w:bidi w:val="0"/>
        <w:spacing w:line="579" w:lineRule="exact"/>
        <w:ind w:firstLine="480" w:firstLineChars="200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单位：万元</w:t>
      </w:r>
    </w:p>
    <w:tbl>
      <w:tblPr>
        <w:tblStyle w:val="5"/>
        <w:tblW w:w="937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86"/>
        <w:gridCol w:w="913"/>
        <w:gridCol w:w="3150"/>
        <w:gridCol w:w="1000"/>
        <w:gridCol w:w="1238"/>
        <w:gridCol w:w="1085"/>
      </w:tblGrid>
      <w:tr w14:paraId="607AEB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BE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收    入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EB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执行数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49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支    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66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执行数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46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一般公共预算支出数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57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政府性基金支出数</w:t>
            </w:r>
          </w:p>
        </w:tc>
      </w:tr>
      <w:tr w14:paraId="1D45AE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8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EC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总  计</w:t>
            </w:r>
          </w:p>
        </w:tc>
        <w:tc>
          <w:tcPr>
            <w:tcW w:w="913" w:type="dxa"/>
            <w:noWrap w:val="0"/>
            <w:vAlign w:val="center"/>
          </w:tcPr>
          <w:p w14:paraId="0E052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102.51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E7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总  计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E5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102.51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35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102.51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23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</w:t>
            </w:r>
          </w:p>
        </w:tc>
      </w:tr>
      <w:tr w14:paraId="06E16D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8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A183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一、预算收入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3D8A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102.51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DBE2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一、预算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支出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5C48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102.51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FF31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102.51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B0C4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 w14:paraId="06BA5C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F420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一般公共预算收入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4A9E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102.51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0E56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一般公共服务支出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49A0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0.15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4E85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0.15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E522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251717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0E93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政府性基金收入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F90F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  <w:p w14:paraId="62ACD29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ab/>
            </w:r>
          </w:p>
          <w:p w14:paraId="2572B3A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03A0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社会保障和就业支出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53D9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11.80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AE5F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11.80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0AAD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61510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9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B923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二、上年结转收入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87568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C422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卫生健康支出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C53D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3.49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D6E1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3.49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50C4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6AB69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4603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F190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8699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农林水支出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4669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83.00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7D04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83.00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1035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1B99D8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B1AA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80A1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EE30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住房保障支出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55B8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4.06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3BE99">
            <w:pPr>
              <w:pStyle w:val="4"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4.06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2F7F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7E53CE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3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2CED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AC00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D47A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二、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结转下年支出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5D7D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93DD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0D39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</w:tbl>
    <w:p w14:paraId="0CDB16C1">
      <w:pPr>
        <w:pStyle w:val="2"/>
        <w:ind w:left="0" w:leftChars="0" w:firstLine="0" w:firstLineChars="0"/>
        <w:jc w:val="both"/>
      </w:pPr>
    </w:p>
    <w:p w14:paraId="73EAC06F">
      <w:pPr>
        <w:spacing w:line="560" w:lineRule="exact"/>
        <w:ind w:firstLine="643" w:firstLineChars="200"/>
        <w:rPr>
          <w:rFonts w:hint="eastAsia" w:eastAsia="方正仿宋_GBK"/>
          <w:color w:val="auto"/>
          <w:sz w:val="32"/>
          <w:szCs w:val="32"/>
          <w:lang w:eastAsia="zh-CN"/>
        </w:rPr>
      </w:pPr>
      <w:r>
        <w:rPr>
          <w:rFonts w:eastAsia="方正仿宋_GBK"/>
          <w:b/>
          <w:color w:val="auto"/>
          <w:sz w:val="32"/>
          <w:szCs w:val="32"/>
        </w:rPr>
        <w:t>——一般公共服务支出</w:t>
      </w:r>
      <w:r>
        <w:rPr>
          <w:rFonts w:hint="eastAsia" w:eastAsia="方正仿宋_GBK"/>
          <w:b/>
          <w:color w:val="auto"/>
          <w:sz w:val="32"/>
          <w:szCs w:val="32"/>
          <w:lang w:val="en-US" w:eastAsia="zh-CN"/>
        </w:rPr>
        <w:t>0.15</w:t>
      </w:r>
      <w:r>
        <w:rPr>
          <w:rFonts w:eastAsia="方正仿宋_GBK"/>
          <w:b/>
          <w:color w:val="auto"/>
          <w:sz w:val="32"/>
          <w:szCs w:val="32"/>
        </w:rPr>
        <w:t>万元。</w:t>
      </w:r>
      <w:r>
        <w:rPr>
          <w:rFonts w:eastAsia="方正仿宋_GBK"/>
          <w:color w:val="auto"/>
          <w:sz w:val="32"/>
          <w:szCs w:val="32"/>
        </w:rPr>
        <w:t>主要用于：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公用经费</w:t>
      </w:r>
    </w:p>
    <w:p w14:paraId="029CF8D6">
      <w:pPr>
        <w:spacing w:line="560" w:lineRule="exact"/>
        <w:ind w:firstLine="643" w:firstLineChars="200"/>
        <w:rPr>
          <w:rFonts w:hint="eastAsia" w:eastAsia="方正仿宋_GBK"/>
          <w:color w:val="FF0000"/>
          <w:sz w:val="32"/>
          <w:szCs w:val="32"/>
          <w:lang w:eastAsia="zh-CN"/>
        </w:rPr>
      </w:pPr>
      <w:bookmarkStart w:id="0" w:name="OLE_LINK3"/>
      <w:r>
        <w:rPr>
          <w:rFonts w:eastAsia="方正仿宋_GBK"/>
          <w:b/>
          <w:color w:val="auto"/>
          <w:sz w:val="32"/>
          <w:szCs w:val="32"/>
        </w:rPr>
        <w:t>——社会保障和就业支出</w:t>
      </w:r>
      <w:r>
        <w:rPr>
          <w:rFonts w:hint="eastAsia" w:eastAsia="方正仿宋_GBK"/>
          <w:b/>
          <w:color w:val="auto"/>
          <w:sz w:val="32"/>
          <w:szCs w:val="32"/>
          <w:lang w:val="en-US" w:eastAsia="zh-CN"/>
        </w:rPr>
        <w:t>11.80</w:t>
      </w:r>
      <w:r>
        <w:rPr>
          <w:rFonts w:eastAsia="方正仿宋_GBK"/>
          <w:b/>
          <w:color w:val="auto"/>
          <w:sz w:val="32"/>
          <w:szCs w:val="32"/>
        </w:rPr>
        <w:t>万元。</w:t>
      </w:r>
      <w:bookmarkEnd w:id="0"/>
      <w:r>
        <w:rPr>
          <w:rFonts w:hint="eastAsia" w:eastAsia="方正仿宋_GBK"/>
          <w:color w:val="auto"/>
          <w:sz w:val="32"/>
          <w:szCs w:val="32"/>
          <w:lang w:eastAsia="zh-CN"/>
        </w:rPr>
        <w:t>主要用于：保障产业发展服务中心人员</w:t>
      </w:r>
      <w:r>
        <w:rPr>
          <w:rFonts w:eastAsia="方正仿宋_GBK"/>
          <w:color w:val="auto"/>
          <w:sz w:val="32"/>
          <w:szCs w:val="32"/>
        </w:rPr>
        <w:t>养老保险、职业年金缴费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。</w:t>
      </w:r>
    </w:p>
    <w:p w14:paraId="4EE072B9">
      <w:pPr>
        <w:spacing w:line="560" w:lineRule="exact"/>
        <w:ind w:firstLine="643" w:firstLineChars="20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b/>
          <w:color w:val="auto"/>
          <w:sz w:val="32"/>
          <w:szCs w:val="32"/>
        </w:rPr>
        <w:t>——卫生健康支出</w:t>
      </w:r>
      <w:r>
        <w:rPr>
          <w:rFonts w:hint="eastAsia" w:eastAsia="方正仿宋_GBK"/>
          <w:b/>
          <w:color w:val="auto"/>
          <w:sz w:val="32"/>
          <w:szCs w:val="32"/>
          <w:lang w:val="en-US" w:eastAsia="zh-CN"/>
        </w:rPr>
        <w:t>3.49</w:t>
      </w:r>
      <w:bookmarkStart w:id="1" w:name="_GoBack"/>
      <w:bookmarkEnd w:id="1"/>
      <w:r>
        <w:rPr>
          <w:rFonts w:eastAsia="方正仿宋_GBK"/>
          <w:b/>
          <w:color w:val="auto"/>
          <w:sz w:val="32"/>
          <w:szCs w:val="32"/>
        </w:rPr>
        <w:t>万元。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主要</w:t>
      </w:r>
      <w:r>
        <w:rPr>
          <w:rFonts w:eastAsia="方正仿宋_GBK"/>
          <w:color w:val="auto"/>
          <w:sz w:val="32"/>
          <w:szCs w:val="32"/>
        </w:rPr>
        <w:t>用于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：保障产业发展服务中心人员基本医疗、大病医疗、工伤保险、生育保险等医疗保障缴费</w:t>
      </w:r>
      <w:r>
        <w:rPr>
          <w:rFonts w:eastAsia="方正仿宋_GBK"/>
          <w:color w:val="auto"/>
          <w:sz w:val="32"/>
          <w:szCs w:val="32"/>
        </w:rPr>
        <w:t>。</w:t>
      </w:r>
    </w:p>
    <w:p w14:paraId="5B541AE3">
      <w:pPr>
        <w:autoSpaceDE w:val="0"/>
        <w:autoSpaceDN w:val="0"/>
        <w:adjustRightInd w:val="0"/>
        <w:spacing w:line="560" w:lineRule="exact"/>
        <w:ind w:firstLine="643" w:firstLineChars="200"/>
        <w:jc w:val="left"/>
        <w:rPr>
          <w:rFonts w:hint="eastAsia" w:eastAsia="方正仿宋_GBK"/>
          <w:color w:val="auto"/>
          <w:kern w:val="0"/>
          <w:sz w:val="32"/>
          <w:szCs w:val="32"/>
          <w:lang w:eastAsia="zh-CN"/>
        </w:rPr>
      </w:pPr>
      <w:r>
        <w:rPr>
          <w:rFonts w:eastAsia="方正仿宋_GBK"/>
          <w:b/>
          <w:color w:val="auto"/>
          <w:sz w:val="32"/>
          <w:szCs w:val="32"/>
        </w:rPr>
        <w:t>——农林水支出</w:t>
      </w:r>
      <w:r>
        <w:rPr>
          <w:rFonts w:hint="eastAsia" w:eastAsia="方正仿宋_GBK"/>
          <w:b/>
          <w:color w:val="auto"/>
          <w:sz w:val="32"/>
          <w:szCs w:val="32"/>
          <w:lang w:val="en-US" w:eastAsia="zh-CN"/>
        </w:rPr>
        <w:t>83.00</w:t>
      </w:r>
      <w:r>
        <w:rPr>
          <w:rFonts w:eastAsia="方正仿宋_GBK"/>
          <w:b/>
          <w:color w:val="auto"/>
          <w:sz w:val="32"/>
          <w:szCs w:val="32"/>
        </w:rPr>
        <w:t>万元。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主要用于：</w:t>
      </w:r>
      <w:r>
        <w:rPr>
          <w:rFonts w:eastAsia="方正仿宋_GBK"/>
          <w:color w:val="auto"/>
          <w:kern w:val="0"/>
          <w:sz w:val="32"/>
          <w:szCs w:val="32"/>
          <w:lang w:val="zh-CN"/>
        </w:rPr>
        <w:t>保障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产业发展服务中心人员</w:t>
      </w:r>
      <w:r>
        <w:rPr>
          <w:rFonts w:hint="eastAsia" w:eastAsia="方正仿宋_GBK"/>
          <w:color w:val="auto"/>
          <w:kern w:val="0"/>
          <w:sz w:val="32"/>
          <w:szCs w:val="32"/>
          <w:lang w:val="zh-CN"/>
        </w:rPr>
        <w:t>基本支出和公用经费。</w:t>
      </w:r>
    </w:p>
    <w:p w14:paraId="25342336">
      <w:pPr>
        <w:autoSpaceDE w:val="0"/>
        <w:autoSpaceDN w:val="0"/>
        <w:adjustRightInd w:val="0"/>
        <w:spacing w:line="560" w:lineRule="exact"/>
        <w:ind w:firstLine="643" w:firstLineChars="200"/>
        <w:jc w:val="left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b/>
          <w:color w:val="auto"/>
          <w:sz w:val="32"/>
          <w:szCs w:val="32"/>
        </w:rPr>
        <w:t>——住房保障支出</w:t>
      </w:r>
      <w:r>
        <w:rPr>
          <w:rFonts w:hint="eastAsia" w:eastAsia="方正仿宋_GBK"/>
          <w:b/>
          <w:color w:val="auto"/>
          <w:sz w:val="32"/>
          <w:szCs w:val="32"/>
          <w:lang w:val="en-US" w:eastAsia="zh-CN"/>
        </w:rPr>
        <w:t>4.06</w:t>
      </w:r>
      <w:r>
        <w:rPr>
          <w:rFonts w:eastAsia="方正仿宋_GBK"/>
          <w:b/>
          <w:color w:val="auto"/>
          <w:sz w:val="32"/>
          <w:szCs w:val="32"/>
        </w:rPr>
        <w:t>万元。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主要</w:t>
      </w:r>
      <w:r>
        <w:rPr>
          <w:rFonts w:eastAsia="方正仿宋_GBK"/>
          <w:color w:val="auto"/>
          <w:sz w:val="32"/>
          <w:szCs w:val="32"/>
        </w:rPr>
        <w:t>用于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：</w:t>
      </w:r>
      <w:r>
        <w:rPr>
          <w:rFonts w:eastAsia="方正仿宋_GBK"/>
          <w:color w:val="auto"/>
          <w:sz w:val="32"/>
          <w:szCs w:val="32"/>
        </w:rPr>
        <w:t>保障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产业发展服务中心人员</w:t>
      </w:r>
      <w:r>
        <w:rPr>
          <w:rFonts w:eastAsia="方正仿宋_GBK"/>
          <w:color w:val="auto"/>
          <w:sz w:val="32"/>
          <w:szCs w:val="32"/>
        </w:rPr>
        <w:t>住房公积金。</w:t>
      </w:r>
    </w:p>
    <w:p w14:paraId="4B5BC169">
      <w:pPr>
        <w:autoSpaceDE w:val="0"/>
        <w:autoSpaceDN w:val="0"/>
        <w:adjustRightInd w:val="0"/>
        <w:spacing w:line="560" w:lineRule="exact"/>
        <w:ind w:firstLine="640" w:firstLineChars="200"/>
        <w:rPr>
          <w:rFonts w:eastAsia="方正楷体_GBK"/>
          <w:b w:val="0"/>
          <w:bCs/>
          <w:color w:val="auto"/>
          <w:sz w:val="32"/>
          <w:szCs w:val="32"/>
        </w:rPr>
      </w:pPr>
      <w:r>
        <w:rPr>
          <w:rFonts w:eastAsia="方正楷体_GBK"/>
          <w:b w:val="0"/>
          <w:bCs/>
          <w:color w:val="auto"/>
          <w:sz w:val="32"/>
          <w:szCs w:val="32"/>
        </w:rPr>
        <w:t>（</w:t>
      </w:r>
      <w:r>
        <w:rPr>
          <w:rFonts w:hint="eastAsia" w:eastAsia="方正楷体_GBK"/>
          <w:b w:val="0"/>
          <w:bCs/>
          <w:color w:val="auto"/>
          <w:sz w:val="32"/>
          <w:szCs w:val="32"/>
        </w:rPr>
        <w:t>二</w:t>
      </w:r>
      <w:r>
        <w:rPr>
          <w:rFonts w:eastAsia="方正楷体_GBK"/>
          <w:b w:val="0"/>
          <w:bCs/>
          <w:color w:val="auto"/>
          <w:sz w:val="32"/>
          <w:szCs w:val="32"/>
        </w:rPr>
        <w:t>）落实</w:t>
      </w:r>
      <w:r>
        <w:rPr>
          <w:rFonts w:hint="eastAsia" w:eastAsia="方正楷体_GBK"/>
          <w:b w:val="0"/>
          <w:bCs/>
          <w:color w:val="auto"/>
          <w:sz w:val="32"/>
          <w:szCs w:val="32"/>
        </w:rPr>
        <w:t>乡</w:t>
      </w:r>
      <w:r>
        <w:rPr>
          <w:rFonts w:eastAsia="方正楷体_GBK"/>
          <w:b w:val="0"/>
          <w:bCs/>
          <w:color w:val="auto"/>
          <w:sz w:val="32"/>
          <w:szCs w:val="32"/>
        </w:rPr>
        <w:t>人大决议情况</w:t>
      </w:r>
    </w:p>
    <w:p w14:paraId="5B1FEE34">
      <w:pPr>
        <w:spacing w:line="560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hint="eastAsia" w:eastAsia="方正仿宋_GBK"/>
          <w:color w:val="auto"/>
          <w:sz w:val="32"/>
          <w:szCs w:val="32"/>
          <w:lang w:eastAsia="zh-CN"/>
        </w:rPr>
        <w:t>202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5</w:t>
      </w:r>
      <w:r>
        <w:rPr>
          <w:rFonts w:eastAsia="方正仿宋_GBK"/>
          <w:color w:val="auto"/>
          <w:sz w:val="32"/>
          <w:szCs w:val="32"/>
        </w:rPr>
        <w:t>年在乡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党委、政府</w:t>
      </w:r>
      <w:r>
        <w:rPr>
          <w:rFonts w:eastAsia="方正仿宋_GBK"/>
          <w:color w:val="auto"/>
          <w:sz w:val="32"/>
          <w:szCs w:val="32"/>
        </w:rPr>
        <w:t>的领导下，扎实抓好各项财政工作。</w:t>
      </w:r>
    </w:p>
    <w:p w14:paraId="3D83F66A">
      <w:pPr>
        <w:spacing w:line="560" w:lineRule="exact"/>
        <w:ind w:firstLine="643" w:firstLineChars="200"/>
        <w:rPr>
          <w:rFonts w:hint="eastAsia" w:ascii="方正仿宋_GBK" w:eastAsia="方正仿宋_GBK"/>
          <w:color w:val="auto"/>
          <w:sz w:val="32"/>
          <w:szCs w:val="32"/>
          <w:highlight w:val="yellow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</w:rPr>
        <w:t>1.抓好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</w:rPr>
        <w:t>各项资金的统筹整合，全力保障民生需求、人员待遇和重点支出。一是以资金统筹整合为着力点，调整优化支出结构。</w:t>
      </w:r>
      <w:r>
        <w:rPr>
          <w:rFonts w:hint="eastAsia" w:ascii="方正仿宋_GBK" w:eastAsia="方正仿宋_GBK"/>
          <w:color w:val="auto"/>
          <w:sz w:val="32"/>
          <w:szCs w:val="32"/>
        </w:rPr>
        <w:t>坚持经济恢复和保运转并重增强自身抗风险功能，调整财政支出结构，树立过“紧日子”思想，大力压减一般性支出和非必需、非刚性支出，从严控制“三公”经费，让资金优先保障运转。</w:t>
      </w:r>
      <w:r>
        <w:rPr>
          <w:rFonts w:hint="eastAsia" w:ascii="方正仿宋_GBK" w:hAnsi="Times New Roman" w:eastAsia="方正仿宋_GBK" w:cs="Times New Roman"/>
          <w:b/>
          <w:bCs/>
          <w:color w:val="auto"/>
          <w:sz w:val="32"/>
          <w:szCs w:val="32"/>
        </w:rPr>
        <w:t>二</w:t>
      </w:r>
      <w:r>
        <w:rPr>
          <w:rFonts w:hint="eastAsia" w:ascii="方正仿宋_GBK" w:eastAsia="方正仿宋_GBK"/>
          <w:b/>
          <w:color w:val="auto"/>
          <w:sz w:val="32"/>
          <w:szCs w:val="32"/>
        </w:rPr>
        <w:t>是按时足额保障各项民生政策兑现。</w:t>
      </w:r>
      <w:r>
        <w:rPr>
          <w:rFonts w:hint="eastAsia" w:ascii="方正仿宋_GBK" w:eastAsia="方正仿宋_GBK"/>
          <w:color w:val="auto"/>
          <w:sz w:val="32"/>
          <w:szCs w:val="32"/>
        </w:rPr>
        <w:t>按时足额兑现临时生活救助、特困人员供养、因灾受损恢复重建等特殊群体的救助保障资金。</w:t>
      </w:r>
      <w:r>
        <w:rPr>
          <w:rFonts w:hint="eastAsia" w:ascii="方正仿宋_GBK" w:eastAsia="方正仿宋_GBK"/>
          <w:b/>
          <w:color w:val="auto"/>
          <w:sz w:val="32"/>
          <w:szCs w:val="32"/>
        </w:rPr>
        <w:t>三是全力保障财政供养人员的各项待遇。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eastAsia" w:ascii="方正仿宋_GBK" w:eastAsia="方正仿宋_GBK"/>
          <w:color w:val="auto"/>
          <w:sz w:val="32"/>
          <w:szCs w:val="32"/>
        </w:rPr>
        <w:t>年足额保障了机关事业单位人员待遇调标刚性支出。</w:t>
      </w:r>
    </w:p>
    <w:p w14:paraId="70DE867C">
      <w:pPr>
        <w:spacing w:line="560" w:lineRule="exact"/>
        <w:ind w:firstLine="643" w:firstLineChars="200"/>
        <w:rPr>
          <w:rFonts w:hint="eastAsia" w:ascii="方正仿宋_GBK" w:eastAsia="方正仿宋_GBK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color w:val="auto"/>
          <w:sz w:val="32"/>
          <w:szCs w:val="32"/>
        </w:rPr>
        <w:t>2.强</w:t>
      </w:r>
      <w:r>
        <w:rPr>
          <w:rFonts w:hint="eastAsia" w:ascii="方正仿宋_GBK" w:eastAsia="方正仿宋_GBK"/>
          <w:b/>
          <w:color w:val="auto"/>
          <w:sz w:val="32"/>
          <w:szCs w:val="32"/>
        </w:rPr>
        <w:t>化财政监督管理职能，严防财政经济运行风险。一是严肃财经纪律</w:t>
      </w:r>
      <w:r>
        <w:rPr>
          <w:rFonts w:hint="eastAsia" w:ascii="方正仿宋_GBK" w:eastAsia="方正仿宋_GBK"/>
          <w:color w:val="auto"/>
          <w:sz w:val="32"/>
          <w:szCs w:val="32"/>
        </w:rPr>
        <w:t>。全面贯彻落实《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中华人民共和国预算法</w:t>
      </w:r>
      <w:r>
        <w:rPr>
          <w:rFonts w:hint="eastAsia" w:ascii="方正仿宋_GBK" w:eastAsia="方正仿宋_GBK"/>
          <w:color w:val="auto"/>
          <w:sz w:val="32"/>
          <w:szCs w:val="32"/>
        </w:rPr>
        <w:t>》，加强预算编制、执行、监督的全过程管理，提高预算约束力、透明度和绩效性。认真落实中央八项规定精神及厉行节约的有关规定，从严控制“三公”经费及会议、培训等一般性开支。加强机关事业单位的内部控制建设，健全内控制度，把权力关进制度的笼子。</w:t>
      </w:r>
      <w:r>
        <w:rPr>
          <w:rFonts w:hint="eastAsia" w:ascii="方正仿宋_GBK" w:eastAsia="方正仿宋_GBK"/>
          <w:b/>
          <w:color w:val="auto"/>
          <w:sz w:val="32"/>
          <w:szCs w:val="32"/>
        </w:rPr>
        <w:t>二是扎实履行财政监督职能。</w:t>
      </w:r>
      <w:r>
        <w:rPr>
          <w:rFonts w:hint="eastAsia" w:ascii="方正仿宋_GBK" w:eastAsia="方正仿宋_GBK"/>
          <w:color w:val="auto"/>
          <w:sz w:val="32"/>
          <w:szCs w:val="32"/>
        </w:rPr>
        <w:t>围绕扶贫资金管理、行政事业单位财务管理、账户开设、内部控制、制度建设和预算执行等重点内容，结合上级主管部门的要求，对照开展自查工作。</w:t>
      </w:r>
    </w:p>
    <w:p w14:paraId="26A14378">
      <w:pPr>
        <w:spacing w:line="560" w:lineRule="exact"/>
        <w:ind w:firstLine="640" w:firstLineChars="200"/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</w:rPr>
        <w:t>二、202</w:t>
      </w:r>
      <w:r>
        <w:rPr>
          <w:rFonts w:hint="eastAsia" w:ascii="Times New Roman" w:hAnsi="Times New Roman" w:eastAsia="方正黑体_GBK" w:cs="Times New Roman"/>
          <w:b w:val="0"/>
          <w:bCs w:val="0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</w:rPr>
        <w:t>年预算草案</w:t>
      </w:r>
    </w:p>
    <w:p w14:paraId="724C2E6C">
      <w:pPr>
        <w:spacing w:line="560" w:lineRule="exact"/>
        <w:ind w:firstLine="630"/>
        <w:rPr>
          <w:rFonts w:hint="eastAsia" w:ascii="方正仿宋_GBK" w:eastAsia="方正仿宋_GBK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eastAsia" w:ascii="方正仿宋_GBK" w:eastAsia="方正仿宋_GBK"/>
          <w:color w:val="auto"/>
          <w:sz w:val="32"/>
          <w:szCs w:val="32"/>
        </w:rPr>
        <w:t>年我们将坚持稳中求进的工作总基调，抓好保居民就业、保基本民生、保基层运转等工作，坚决落实好各领域财政刚性标准要求。坚持政府过紧日子，让群众过稳日子，不断优化财政支出结构，严格控制和压缩一般性支出，尽力而为、量力而行，逐步提高保障和改善民生水平。</w:t>
      </w:r>
    </w:p>
    <w:p w14:paraId="3874143A">
      <w:pPr>
        <w:keepNext w:val="0"/>
        <w:keepLines w:val="0"/>
        <w:pageBreakBefore w:val="0"/>
        <w:kinsoku/>
        <w:wordWrap/>
        <w:topLinePunct w:val="0"/>
        <w:bidi w:val="0"/>
        <w:spacing w:line="579" w:lineRule="exact"/>
        <w:ind w:firstLine="643" w:firstLineChars="200"/>
        <w:rPr>
          <w:rFonts w:hint="eastAsia" w:ascii="方正楷体_GBK" w:hAnsi="方正楷体_GBK" w:eastAsia="方正楷体_GBK" w:cs="方正楷体_GBK"/>
          <w:b/>
          <w:bCs w:val="0"/>
          <w:sz w:val="32"/>
          <w:szCs w:val="22"/>
        </w:rPr>
      </w:pPr>
      <w:r>
        <w:rPr>
          <w:rFonts w:hint="eastAsia" w:ascii="方正楷体_GBK" w:hAnsi="方正楷体_GBK" w:eastAsia="方正楷体_GBK" w:cs="方正楷体_GBK"/>
          <w:b/>
          <w:bCs w:val="0"/>
          <w:sz w:val="32"/>
          <w:szCs w:val="22"/>
        </w:rPr>
        <w:t>（一）202</w:t>
      </w:r>
      <w:r>
        <w:rPr>
          <w:rFonts w:hint="eastAsia" w:ascii="方正楷体_GBK" w:hAnsi="方正楷体_GBK" w:eastAsia="方正楷体_GBK" w:cs="方正楷体_GBK"/>
          <w:b/>
          <w:bCs w:val="0"/>
          <w:sz w:val="32"/>
          <w:szCs w:val="22"/>
          <w:lang w:val="en-US" w:eastAsia="zh-CN"/>
        </w:rPr>
        <w:t>6</w:t>
      </w:r>
      <w:r>
        <w:rPr>
          <w:rFonts w:hint="eastAsia" w:ascii="方正楷体_GBK" w:hAnsi="方正楷体_GBK" w:eastAsia="方正楷体_GBK" w:cs="方正楷体_GBK"/>
          <w:b/>
          <w:bCs w:val="0"/>
          <w:sz w:val="32"/>
          <w:szCs w:val="22"/>
        </w:rPr>
        <w:t>年一般公共预算收入草案</w:t>
      </w:r>
    </w:p>
    <w:p w14:paraId="763E6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方正仿宋_GBK"/>
          <w:color w:val="auto"/>
          <w:sz w:val="32"/>
          <w:szCs w:val="32"/>
          <w:lang w:eastAsia="zh-CN"/>
        </w:rPr>
      </w:pPr>
      <w:r>
        <w:rPr>
          <w:rFonts w:eastAsia="方正仿宋_GBK"/>
          <w:color w:val="auto"/>
          <w:sz w:val="32"/>
          <w:szCs w:val="32"/>
        </w:rPr>
        <w:t>202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6</w:t>
      </w:r>
      <w:r>
        <w:rPr>
          <w:rFonts w:eastAsia="方正仿宋_GBK"/>
          <w:color w:val="auto"/>
          <w:sz w:val="32"/>
          <w:szCs w:val="32"/>
        </w:rPr>
        <w:t>年财政预算收入总计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125.17</w:t>
      </w:r>
      <w:r>
        <w:rPr>
          <w:rFonts w:eastAsia="方正仿宋_GBK"/>
          <w:color w:val="auto"/>
          <w:sz w:val="32"/>
          <w:szCs w:val="32"/>
        </w:rPr>
        <w:t>万元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。</w:t>
      </w:r>
    </w:p>
    <w:p w14:paraId="4A5615E8">
      <w:pPr>
        <w:keepNext w:val="0"/>
        <w:keepLines w:val="0"/>
        <w:pageBreakBefore w:val="0"/>
        <w:kinsoku/>
        <w:wordWrap/>
        <w:topLinePunct w:val="0"/>
        <w:bidi w:val="0"/>
        <w:spacing w:before="217" w:beforeLines="50" w:line="579" w:lineRule="exact"/>
        <w:jc w:val="center"/>
        <w:rPr>
          <w:rFonts w:hint="default" w:ascii="Times New Roman" w:hAnsi="Times New Roman" w:eastAsia="黑体" w:cs="Times New Roman"/>
          <w:bCs/>
          <w:color w:val="000000"/>
        </w:rPr>
      </w:pPr>
      <w:r>
        <w:rPr>
          <w:rFonts w:hint="eastAsia" w:ascii="Times New Roman" w:hAnsi="Times New Roman" w:eastAsia="方正小标宋_GBK" w:cs="Times New Roman"/>
          <w:bCs/>
          <w:color w:val="000000"/>
          <w:lang w:eastAsia="zh-CN"/>
        </w:rPr>
        <w:t>左岚乡产业发展服务中心</w:t>
      </w:r>
      <w:r>
        <w:rPr>
          <w:rFonts w:hint="default" w:ascii="Times New Roman" w:hAnsi="Times New Roman" w:eastAsia="方正小标宋_GBK" w:cs="Times New Roman"/>
          <w:bCs/>
          <w:color w:val="000000"/>
        </w:rPr>
        <w:t>202</w:t>
      </w:r>
      <w:r>
        <w:rPr>
          <w:rFonts w:hint="eastAsia" w:ascii="Times New Roman" w:hAnsi="Times New Roman" w:eastAsia="方正小标宋_GBK" w:cs="Times New Roman"/>
          <w:bCs/>
          <w:color w:val="000000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Cs/>
          <w:color w:val="000000"/>
        </w:rPr>
        <w:t>年</w:t>
      </w:r>
      <w:r>
        <w:rPr>
          <w:rFonts w:hint="eastAsia" w:ascii="Times New Roman" w:hAnsi="Times New Roman" w:eastAsia="方正小标宋_GBK" w:cs="Times New Roman"/>
          <w:bCs/>
          <w:color w:val="000000"/>
          <w:lang w:eastAsia="zh-CN"/>
        </w:rPr>
        <w:t>预算</w:t>
      </w:r>
      <w:r>
        <w:rPr>
          <w:rFonts w:hint="default" w:ascii="Times New Roman" w:hAnsi="Times New Roman" w:eastAsia="方正小标宋_GBK" w:cs="Times New Roman"/>
          <w:bCs/>
          <w:color w:val="000000"/>
        </w:rPr>
        <w:t>算收支平衡表</w:t>
      </w:r>
    </w:p>
    <w:p w14:paraId="42949BCF">
      <w:pPr>
        <w:keepNext w:val="0"/>
        <w:keepLines w:val="0"/>
        <w:pageBreakBefore w:val="0"/>
        <w:kinsoku/>
        <w:wordWrap/>
        <w:topLinePunct w:val="0"/>
        <w:bidi w:val="0"/>
        <w:spacing w:line="579" w:lineRule="exact"/>
        <w:ind w:firstLine="480" w:firstLineChars="200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单位：万元</w:t>
      </w:r>
    </w:p>
    <w:tbl>
      <w:tblPr>
        <w:tblStyle w:val="5"/>
        <w:tblW w:w="826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86"/>
        <w:gridCol w:w="1296"/>
        <w:gridCol w:w="2767"/>
        <w:gridCol w:w="2218"/>
      </w:tblGrid>
      <w:tr w14:paraId="0557E3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exact"/>
          <w:jc w:val="center"/>
        </w:trPr>
        <w:tc>
          <w:tcPr>
            <w:tcW w:w="3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BB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收    入</w:t>
            </w:r>
          </w:p>
        </w:tc>
        <w:tc>
          <w:tcPr>
            <w:tcW w:w="4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30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支    出</w:t>
            </w:r>
          </w:p>
        </w:tc>
      </w:tr>
      <w:tr w14:paraId="5221F0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8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42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总  计</w:t>
            </w:r>
          </w:p>
        </w:tc>
        <w:tc>
          <w:tcPr>
            <w:tcW w:w="1296" w:type="dxa"/>
            <w:noWrap w:val="0"/>
            <w:vAlign w:val="center"/>
          </w:tcPr>
          <w:p w14:paraId="0F29B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125.17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D9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总  计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11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125.17</w:t>
            </w:r>
          </w:p>
        </w:tc>
      </w:tr>
      <w:tr w14:paraId="00325F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8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2C88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一、预算收入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317A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125.17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092A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一、预算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支出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4978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102.51</w:t>
            </w:r>
          </w:p>
        </w:tc>
      </w:tr>
      <w:tr w14:paraId="712DAF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73AE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一般公共预算收入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AB5A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125.17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4A6F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社会保障和就业支出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B4EB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14.95</w:t>
            </w:r>
          </w:p>
        </w:tc>
      </w:tr>
      <w:tr w14:paraId="1D9675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5584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政府性基金收入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DDF6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  <w:p w14:paraId="228507E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ab/>
            </w:r>
          </w:p>
          <w:p w14:paraId="723304A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54B6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卫生健康支出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2087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4.54</w:t>
            </w:r>
          </w:p>
        </w:tc>
      </w:tr>
      <w:tr w14:paraId="10002B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9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06ED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二、上年结转收入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4A95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612D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农林水支出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8A78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100.39</w:t>
            </w:r>
          </w:p>
        </w:tc>
      </w:tr>
      <w:tr w14:paraId="21EE2B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D7FB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83DB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5604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住房保障支出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B2B0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5.29</w:t>
            </w:r>
          </w:p>
        </w:tc>
      </w:tr>
      <w:tr w14:paraId="561F97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4AB1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42C5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8C7E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54A4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5086972D">
      <w:pPr>
        <w:bidi w:val="0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69965203">
      <w:pPr>
        <w:spacing w:line="560" w:lineRule="exact"/>
        <w:ind w:firstLine="63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分支出功能科目安排如下：</w:t>
      </w:r>
    </w:p>
    <w:p w14:paraId="36D66C91">
      <w:pPr>
        <w:spacing w:line="560" w:lineRule="exact"/>
        <w:ind w:firstLine="63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——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社会保障和就业支出预算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14.95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万元。</w:t>
      </w:r>
    </w:p>
    <w:p w14:paraId="7D28E43D">
      <w:pPr>
        <w:spacing w:line="560" w:lineRule="exact"/>
        <w:ind w:firstLine="63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——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卫生健康支出预算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4.54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万元。</w:t>
      </w:r>
    </w:p>
    <w:p w14:paraId="67B40EEE">
      <w:pPr>
        <w:spacing w:line="560" w:lineRule="exact"/>
        <w:ind w:firstLine="63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——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农林水支出预算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100.39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万元。</w:t>
      </w:r>
    </w:p>
    <w:p w14:paraId="1021BBFD">
      <w:pPr>
        <w:spacing w:line="560" w:lineRule="exact"/>
        <w:ind w:firstLine="63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——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住房保障支出预算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5.29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万元。</w:t>
      </w:r>
    </w:p>
    <w:p w14:paraId="3AF06087"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  <w:t>三、工作建议</w:t>
      </w:r>
    </w:p>
    <w:p w14:paraId="2B060CA6">
      <w:pPr>
        <w:spacing w:line="560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hAnsi="方正仿宋_GBK" w:eastAsia="方正仿宋_GBK"/>
          <w:color w:val="auto"/>
          <w:sz w:val="32"/>
          <w:szCs w:val="32"/>
        </w:rPr>
        <w:t>针对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202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5</w:t>
      </w:r>
      <w:r>
        <w:rPr>
          <w:rFonts w:hAnsi="方正仿宋_GBK" w:eastAsia="方正仿宋_GBK"/>
          <w:color w:val="auto"/>
          <w:sz w:val="32"/>
          <w:szCs w:val="32"/>
        </w:rPr>
        <w:t>年财政运行情况，结合我乡实际，</w:t>
      </w:r>
      <w:r>
        <w:rPr>
          <w:rFonts w:hint="eastAsia" w:hAnsi="方正仿宋_GBK" w:eastAsia="方正仿宋_GBK"/>
          <w:color w:val="auto"/>
          <w:sz w:val="32"/>
          <w:szCs w:val="32"/>
        </w:rPr>
        <w:t>202</w:t>
      </w:r>
      <w:r>
        <w:rPr>
          <w:rFonts w:hint="eastAsia" w:hAnsi="方正仿宋_GBK" w:eastAsia="方正仿宋_GBK"/>
          <w:color w:val="auto"/>
          <w:sz w:val="32"/>
          <w:szCs w:val="32"/>
          <w:lang w:val="en-US" w:eastAsia="zh-CN"/>
        </w:rPr>
        <w:t>6</w:t>
      </w:r>
      <w:r>
        <w:rPr>
          <w:rFonts w:hAnsi="方正仿宋_GBK" w:eastAsia="方正仿宋_GBK"/>
          <w:color w:val="auto"/>
          <w:sz w:val="32"/>
          <w:szCs w:val="32"/>
        </w:rPr>
        <w:t>年我们应该在以下几方面加强：</w:t>
      </w:r>
    </w:p>
    <w:p w14:paraId="0C13DA51">
      <w:pPr>
        <w:spacing w:line="560" w:lineRule="exact"/>
        <w:ind w:firstLine="643" w:firstLineChars="20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b/>
          <w:bCs/>
          <w:color w:val="auto"/>
          <w:sz w:val="32"/>
          <w:szCs w:val="32"/>
        </w:rPr>
        <w:t>1.</w:t>
      </w:r>
      <w:r>
        <w:rPr>
          <w:rFonts w:hAnsi="方正仿宋_GBK" w:eastAsia="方正仿宋_GBK"/>
          <w:b/>
          <w:bCs/>
          <w:color w:val="auto"/>
          <w:sz w:val="32"/>
          <w:szCs w:val="32"/>
        </w:rPr>
        <w:t>强化监督管理，规范财务运行。</w:t>
      </w:r>
      <w:r>
        <w:rPr>
          <w:rFonts w:hAnsi="方正仿宋_GBK" w:eastAsia="方正仿宋_GBK"/>
          <w:color w:val="auto"/>
          <w:sz w:val="32"/>
          <w:szCs w:val="32"/>
        </w:rPr>
        <w:t>进一步加强制度建设，认真贯彻财经法纪法规，切实把依法行政、依法理财贯穿于各项财政工作当中。完善财政监督检查机制，坚持事前、事中和事后监督相结合，建立健全覆盖所有政府性资金和财政运行全过程的监督机制。加强日常监督和财政检查，规范财经秩序。进一步推动农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村“三资”管理改革</w:t>
      </w:r>
      <w:r>
        <w:rPr>
          <w:rFonts w:hAnsi="方正仿宋_GBK" w:eastAsia="方正仿宋_GBK"/>
          <w:color w:val="auto"/>
          <w:sz w:val="32"/>
          <w:szCs w:val="32"/>
        </w:rPr>
        <w:t>，加大村级财务</w:t>
      </w:r>
      <w:r>
        <w:rPr>
          <w:rFonts w:hint="eastAsia" w:hAnsi="方正仿宋_GBK" w:eastAsia="方正仿宋_GBK"/>
          <w:color w:val="auto"/>
          <w:sz w:val="32"/>
          <w:szCs w:val="32"/>
          <w:lang w:eastAsia="zh-CN"/>
        </w:rPr>
        <w:t>监督</w:t>
      </w:r>
      <w:r>
        <w:rPr>
          <w:rFonts w:hAnsi="方正仿宋_GBK" w:eastAsia="方正仿宋_GBK"/>
          <w:color w:val="auto"/>
          <w:sz w:val="32"/>
          <w:szCs w:val="32"/>
        </w:rPr>
        <w:t>力度，加强</w:t>
      </w:r>
      <w:r>
        <w:rPr>
          <w:rFonts w:hint="eastAsia" w:hAnsi="方正仿宋_GBK" w:eastAsia="方正仿宋_GBK"/>
          <w:color w:val="auto"/>
          <w:sz w:val="32"/>
          <w:szCs w:val="32"/>
          <w:lang w:eastAsia="zh-CN"/>
        </w:rPr>
        <w:t>巡查</w:t>
      </w:r>
      <w:r>
        <w:rPr>
          <w:rFonts w:hAnsi="方正仿宋_GBK" w:eastAsia="方正仿宋_GBK"/>
          <w:color w:val="auto"/>
          <w:sz w:val="32"/>
          <w:szCs w:val="32"/>
        </w:rPr>
        <w:t>整改情况的检查，加强专项资金监督管理，确保专款专用。继续推进上级审计巡察整改，加强对单位、村级的资金监管力度，保证资金安全。</w:t>
      </w:r>
    </w:p>
    <w:p w14:paraId="5404A8EF">
      <w:pPr>
        <w:spacing w:line="560" w:lineRule="exact"/>
        <w:ind w:firstLine="643" w:firstLineChars="200"/>
        <w:rPr>
          <w:rFonts w:eastAsia="方正仿宋_GBK"/>
          <w:color w:val="auto"/>
          <w:sz w:val="32"/>
          <w:szCs w:val="32"/>
          <w:highlight w:val="yellow"/>
        </w:rPr>
      </w:pPr>
      <w:r>
        <w:rPr>
          <w:rFonts w:eastAsia="方正仿宋_GBK"/>
          <w:b/>
          <w:bCs/>
          <w:color w:val="auto"/>
          <w:sz w:val="32"/>
          <w:szCs w:val="32"/>
        </w:rPr>
        <w:t>2.调优支出结构，着力改善民生。</w:t>
      </w:r>
      <w:r>
        <w:rPr>
          <w:rFonts w:hAnsi="方正仿宋_GBK" w:eastAsia="方正仿宋_GBK"/>
          <w:color w:val="auto"/>
          <w:sz w:val="32"/>
          <w:szCs w:val="32"/>
        </w:rPr>
        <w:t>强化涉农服务，继续做好全</w:t>
      </w:r>
      <w:r>
        <w:rPr>
          <w:rFonts w:hint="eastAsia" w:hAnsi="方正仿宋_GBK" w:eastAsia="方正仿宋_GBK"/>
          <w:color w:val="auto"/>
          <w:sz w:val="32"/>
          <w:szCs w:val="32"/>
        </w:rPr>
        <w:t>乡</w:t>
      </w:r>
      <w:r>
        <w:rPr>
          <w:rFonts w:hAnsi="方正仿宋_GBK" w:eastAsia="方正仿宋_GBK"/>
          <w:color w:val="auto"/>
          <w:sz w:val="32"/>
          <w:szCs w:val="32"/>
        </w:rPr>
        <w:t>涉农补贴发放</w:t>
      </w:r>
      <w:r>
        <w:rPr>
          <w:rFonts w:hint="eastAsia" w:hAnsi="方正仿宋_GBK" w:eastAsia="方正仿宋_GBK"/>
          <w:color w:val="auto"/>
          <w:sz w:val="32"/>
          <w:szCs w:val="32"/>
        </w:rPr>
        <w:t>，</w:t>
      </w:r>
      <w:r>
        <w:rPr>
          <w:rFonts w:hAnsi="方正仿宋_GBK" w:eastAsia="方正仿宋_GBK"/>
          <w:color w:val="auto"/>
          <w:sz w:val="32"/>
          <w:szCs w:val="32"/>
        </w:rPr>
        <w:t>村级公益事业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“一事一议”</w:t>
      </w:r>
      <w:r>
        <w:rPr>
          <w:rFonts w:hAnsi="方正仿宋_GBK" w:eastAsia="方正仿宋_GBK"/>
          <w:color w:val="auto"/>
          <w:sz w:val="32"/>
          <w:szCs w:val="32"/>
        </w:rPr>
        <w:t>和农村公共服务运行维护工作。推进新型农村合作医疗保险，不断提高农村最低生活保障水平，加大困难群体、特困家庭的救助，改善农村人居环境，建设美丽宜居乡村。</w:t>
      </w:r>
    </w:p>
    <w:p w14:paraId="5A1172BF">
      <w:pPr>
        <w:spacing w:line="560" w:lineRule="exact"/>
        <w:ind w:firstLine="64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b/>
          <w:bCs/>
          <w:color w:val="auto"/>
          <w:sz w:val="32"/>
          <w:szCs w:val="32"/>
        </w:rPr>
        <w:t>3.保证基本运转，拉动经济发展。</w:t>
      </w:r>
      <w:r>
        <w:rPr>
          <w:rFonts w:hAnsi="方正仿宋_GBK" w:eastAsia="方正仿宋_GBK"/>
          <w:color w:val="auto"/>
          <w:sz w:val="32"/>
          <w:szCs w:val="32"/>
        </w:rPr>
        <w:t>一是财政将在预算中首</w:t>
      </w:r>
      <w:r>
        <w:rPr>
          <w:rFonts w:hint="eastAsia" w:hAnsi="方正仿宋_GBK" w:eastAsia="方正仿宋_GBK"/>
          <w:color w:val="auto"/>
          <w:sz w:val="32"/>
          <w:szCs w:val="32"/>
        </w:rPr>
        <w:t>先</w:t>
      </w:r>
      <w:r>
        <w:rPr>
          <w:rFonts w:hAnsi="方正仿宋_GBK" w:eastAsia="方正仿宋_GBK"/>
          <w:color w:val="auto"/>
          <w:sz w:val="32"/>
          <w:szCs w:val="32"/>
        </w:rPr>
        <w:t>保障机关职工和村社干部的工资待遇；二是从严控制政府日常开支；三是全力保障乡党委、政府决定的工作事项经费，争取有关部门经费，对部分开展的工作在相关部门经费中列支；四是乡域经济社会的发展，离不开项目的投入，</w:t>
      </w:r>
      <w:r>
        <w:rPr>
          <w:rFonts w:hint="eastAsia" w:hAnsi="方正仿宋_GBK" w:eastAsia="方正仿宋_GBK"/>
          <w:color w:val="auto"/>
          <w:sz w:val="32"/>
          <w:szCs w:val="32"/>
          <w:lang w:eastAsia="zh-CN"/>
        </w:rPr>
        <w:t>项目投资</w:t>
      </w:r>
      <w:r>
        <w:rPr>
          <w:rFonts w:hAnsi="方正仿宋_GBK" w:eastAsia="方正仿宋_GBK"/>
          <w:color w:val="auto"/>
          <w:sz w:val="32"/>
          <w:szCs w:val="32"/>
        </w:rPr>
        <w:t>仍然是拉动我乡经济发展的重要引擎。因此，我乡一方面要按进度推动项目的建设，另一</w:t>
      </w:r>
      <w:r>
        <w:rPr>
          <w:rFonts w:hint="eastAsia" w:hAnsi="方正仿宋_GBK" w:eastAsia="方正仿宋_GBK"/>
          <w:color w:val="auto"/>
          <w:sz w:val="32"/>
          <w:szCs w:val="32"/>
          <w:lang w:eastAsia="zh-CN"/>
        </w:rPr>
        <w:t>方面</w:t>
      </w:r>
      <w:r>
        <w:rPr>
          <w:rFonts w:hAnsi="方正仿宋_GBK" w:eastAsia="方正仿宋_GBK"/>
          <w:color w:val="auto"/>
          <w:sz w:val="32"/>
          <w:szCs w:val="32"/>
        </w:rPr>
        <w:t>要加强与县级部门的沟通，争取项目资金，拉动经济发展。</w:t>
      </w:r>
    </w:p>
    <w:p w14:paraId="17AD5D4A">
      <w:pPr>
        <w:bidi w:val="0"/>
        <w:rPr>
          <w:rFonts w:hint="eastAsia"/>
        </w:rPr>
      </w:pPr>
    </w:p>
    <w:p w14:paraId="69112E1D">
      <w:pPr>
        <w:bidi w:val="0"/>
      </w:pPr>
    </w:p>
    <w:p w14:paraId="053056F0">
      <w:pPr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6A449E"/>
    <w:rsid w:val="2F4A718D"/>
    <w:rsid w:val="455A248C"/>
    <w:rsid w:val="47592CE0"/>
    <w:rsid w:val="541D3A51"/>
    <w:rsid w:val="5B375244"/>
    <w:rsid w:val="5BAF6C35"/>
    <w:rsid w:val="5FCC598D"/>
    <w:rsid w:val="62DB0C58"/>
    <w:rsid w:val="7A02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spacing w:before="260" w:after="260" w:line="416" w:lineRule="auto"/>
      <w:outlineLvl w:val="1"/>
    </w:pPr>
    <w:rPr>
      <w:rFonts w:ascii="Calibri Light" w:hAnsi="Calibri Light" w:eastAsia="宋体" w:cs="Times New Roman"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widowControl/>
      <w:spacing w:line="600" w:lineRule="exact"/>
      <w:ind w:firstLine="200" w:firstLineChars="200"/>
      <w:jc w:val="center"/>
      <w:outlineLvl w:val="0"/>
    </w:pPr>
    <w:rPr>
      <w:rFonts w:eastAsia="方正小标宋_GBK"/>
      <w:bCs/>
      <w:kern w:val="0"/>
      <w:sz w:val="44"/>
      <w:szCs w:val="32"/>
    </w:rPr>
  </w:style>
  <w:style w:type="paragraph" w:styleId="4">
    <w:name w:val="Normal Indent"/>
    <w:basedOn w:val="1"/>
    <w:next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2026-02-09T07:04:01Z</dcterms:created>
  <dc:creator>Administrator</dc:creator>
  <cp:lastModifiedBy>qzuser</cp:lastModifiedBy>
  <dcterms:modified xsi:type="dcterms:W3CDTF">2026-02-09T10:25:47Z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eyJoZGlkIjoiNDIwNDUxODkxNTVlNGM0YTQ2MWQ5ZWZjYjg0MjM4ODkiLCJ1c2VySWQiOiIzMTA2OTkzNTQifQ==</vt:lpwstr>
  </property>
  <property fmtid="{D5CDD505-2E9C-101B-9397-08002B2CF9AE}" pid="4" name="ICV">
    <vt:lpwstr>5F1EC4E685E34A23B36D5D5B5E13EE47_12</vt:lpwstr>
  </property>
</Properties>
</file>