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2821D">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880" w:firstLineChars="200"/>
        <w:jc w:val="center"/>
        <w:textAlignment w:val="auto"/>
        <w:outlineLvl w:val="9"/>
        <w:rPr>
          <w:rFonts w:hint="eastAsia" w:ascii="方正小标宋_GBK" w:hAnsi="方正小标宋_GBK" w:eastAsia="方正小标宋_GBK" w:cs="方正小标宋_GBK"/>
          <w:b w:val="0"/>
          <w:bCs w:val="0"/>
          <w:sz w:val="44"/>
          <w:szCs w:val="44"/>
          <w:lang w:eastAsia="zh-CN"/>
        </w:rPr>
      </w:pPr>
      <w:bookmarkStart w:id="0" w:name="_GoBack"/>
      <w:bookmarkEnd w:id="0"/>
      <w:r>
        <w:rPr>
          <w:rFonts w:hint="eastAsia" w:ascii="方正小标宋_GBK" w:hAnsi="方正小标宋_GBK" w:eastAsia="方正小标宋_GBK" w:cs="方正小标宋_GBK"/>
          <w:b w:val="0"/>
          <w:bCs w:val="0"/>
          <w:sz w:val="44"/>
          <w:szCs w:val="44"/>
          <w:lang w:eastAsia="zh-CN"/>
        </w:rPr>
        <w:t>城口县咸宜镇人民政府</w:t>
      </w:r>
    </w:p>
    <w:p w14:paraId="1EC57975">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880" w:firstLineChars="200"/>
        <w:jc w:val="center"/>
        <w:textAlignment w:val="auto"/>
        <w:outlineLvl w:val="9"/>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2019年度部门决算情况说明</w:t>
      </w:r>
    </w:p>
    <w:p w14:paraId="3E9A6B2D">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黑体_GBK" w:hAnsi="方正黑体_GBK" w:eastAsia="方正黑体_GBK" w:cs="方正黑体_GBK"/>
          <w:b w:val="0"/>
          <w:bCs w:val="0"/>
          <w:sz w:val="32"/>
          <w:szCs w:val="32"/>
        </w:rPr>
      </w:pPr>
      <w:r>
        <w:rPr>
          <w:rStyle w:val="7"/>
          <w:rFonts w:hint="eastAsia" w:ascii="方正黑体_GBK" w:hAnsi="方正黑体_GBK" w:eastAsia="方正黑体_GBK" w:cs="方正黑体_GBK"/>
          <w:b w:val="0"/>
          <w:bCs w:val="0"/>
          <w:sz w:val="32"/>
          <w:szCs w:val="32"/>
        </w:rPr>
        <w:t>一、部门基本情况</w:t>
      </w:r>
    </w:p>
    <w:p w14:paraId="0519D317">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Style w:val="7"/>
          <w:rFonts w:hint="eastAsia" w:ascii="方正楷体_GBK" w:hAnsi="方正楷体_GBK" w:eastAsia="方正楷体_GBK" w:cs="方正楷体_GBK"/>
          <w:b w:val="0"/>
          <w:bCs w:val="0"/>
          <w:sz w:val="32"/>
          <w:szCs w:val="32"/>
        </w:rPr>
        <w:t>（一）</w:t>
      </w:r>
      <w:r>
        <w:rPr>
          <w:rFonts w:hint="eastAsia" w:ascii="方正楷体_GBK" w:hAnsi="方正楷体_GBK" w:eastAsia="方正楷体_GBK" w:cs="方正楷体_GBK"/>
          <w:b w:val="0"/>
          <w:bCs w:val="0"/>
          <w:spacing w:val="-5"/>
          <w:kern w:val="0"/>
          <w:sz w:val="32"/>
          <w:szCs w:val="32"/>
          <w:lang w:val="zh-CN" w:bidi="zh-CN"/>
        </w:rPr>
        <w:t>职能职责。</w:t>
      </w:r>
      <w:r>
        <w:rPr>
          <w:rFonts w:hint="eastAsia" w:ascii="方正仿宋_GBK" w:hAnsi="方正仿宋_GBK" w:eastAsia="方正仿宋_GBK" w:cs="方正仿宋_GBK"/>
          <w:b w:val="0"/>
          <w:bCs w:val="0"/>
          <w:spacing w:val="-5"/>
          <w:kern w:val="0"/>
          <w:sz w:val="32"/>
          <w:szCs w:val="32"/>
          <w:lang w:val="zh-CN" w:bidi="zh-CN"/>
        </w:rPr>
        <w:t>1.主要职能是：乡镇政府严格贯彻执行党的路线方针政策和国家的法律法规，促进经济社会发展、提高乡镇的社会管理和公共服务水平。转变社会管理方式，切实做到突出发展、依法办事、管理民主、政务公开、强化服务。</w:t>
      </w:r>
    </w:p>
    <w:p w14:paraId="759E6907">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Style w:val="7"/>
          <w:rFonts w:hint="eastAsia" w:ascii="方正楷体_GBK" w:hAnsi="方正楷体_GBK" w:eastAsia="方正楷体_GBK" w:cs="方正楷体_GBK"/>
          <w:b w:val="0"/>
          <w:bCs w:val="0"/>
          <w:sz w:val="32"/>
          <w:szCs w:val="32"/>
        </w:rPr>
        <w:t>（二）</w:t>
      </w:r>
      <w:r>
        <w:rPr>
          <w:rFonts w:hint="eastAsia" w:ascii="方正楷体_GBK" w:hAnsi="方正楷体_GBK" w:eastAsia="方正楷体_GBK" w:cs="方正楷体_GBK"/>
          <w:b w:val="0"/>
          <w:bCs w:val="0"/>
          <w:spacing w:val="-5"/>
          <w:kern w:val="0"/>
          <w:sz w:val="32"/>
          <w:szCs w:val="32"/>
          <w:lang w:bidi="zh-CN"/>
        </w:rPr>
        <w:t>机构设置</w:t>
      </w:r>
      <w:r>
        <w:rPr>
          <w:rFonts w:hint="eastAsia" w:ascii="方正楷体_GBK" w:hAnsi="方正楷体_GBK" w:eastAsia="方正楷体_GBK" w:cs="方正楷体_GBK"/>
          <w:b w:val="0"/>
          <w:bCs w:val="0"/>
          <w:spacing w:val="-5"/>
          <w:kern w:val="0"/>
          <w:sz w:val="32"/>
          <w:szCs w:val="32"/>
          <w:lang w:val="zh-CN" w:bidi="zh-CN"/>
        </w:rPr>
        <w:t>。</w:t>
      </w:r>
      <w:r>
        <w:rPr>
          <w:rFonts w:hint="eastAsia" w:ascii="方正仿宋_GBK" w:hAnsi="方正仿宋_GBK" w:eastAsia="方正仿宋_GBK" w:cs="方正仿宋_GBK"/>
          <w:b w:val="0"/>
          <w:bCs w:val="0"/>
          <w:spacing w:val="-5"/>
          <w:kern w:val="0"/>
          <w:sz w:val="32"/>
          <w:szCs w:val="32"/>
          <w:lang w:val="zh-CN" w:bidi="zh-CN"/>
        </w:rPr>
        <w:t>1.机构情况：2019年本单位主要机构是5办5中心：分别是党政办、经发办、社事办、建管办、应急办；财政所、农业服务中心、文化服务中心、兽医站、劳动就业和社会保障服务所。</w:t>
      </w:r>
    </w:p>
    <w:p w14:paraId="54F3656C">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2.人员情况：本单位编制人员：51个，年末在职人员：44人。</w:t>
      </w:r>
    </w:p>
    <w:p w14:paraId="24359422">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pacing w:val="-5"/>
          <w:sz w:val="32"/>
          <w:szCs w:val="32"/>
          <w:lang w:val="zh-CN" w:bidi="zh-CN"/>
        </w:rPr>
      </w:pPr>
      <w:r>
        <w:rPr>
          <w:rStyle w:val="7"/>
          <w:rFonts w:hint="eastAsia" w:ascii="方正楷体_GBK" w:hAnsi="方正楷体_GBK" w:eastAsia="方正楷体_GBK" w:cs="方正楷体_GBK"/>
          <w:b w:val="0"/>
          <w:bCs w:val="0"/>
          <w:sz w:val="32"/>
          <w:szCs w:val="32"/>
        </w:rPr>
        <w:t>（三）单位构成</w:t>
      </w:r>
      <w:r>
        <w:rPr>
          <w:rStyle w:val="7"/>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b w:val="0"/>
          <w:bCs w:val="0"/>
          <w:spacing w:val="-5"/>
          <w:sz w:val="32"/>
          <w:szCs w:val="32"/>
          <w:lang w:val="zh-CN" w:bidi="zh-CN"/>
        </w:rPr>
        <w:t>从预算单位构成看，纳入本部门 201</w:t>
      </w:r>
      <w:r>
        <w:rPr>
          <w:rFonts w:hint="eastAsia" w:ascii="方正仿宋_GBK" w:hAnsi="方正仿宋_GBK" w:eastAsia="方正仿宋_GBK" w:cs="方正仿宋_GBK"/>
          <w:b w:val="0"/>
          <w:bCs w:val="0"/>
          <w:spacing w:val="-5"/>
          <w:sz w:val="32"/>
          <w:szCs w:val="32"/>
          <w:lang w:bidi="zh-CN"/>
        </w:rPr>
        <w:t>9</w:t>
      </w:r>
      <w:r>
        <w:rPr>
          <w:rFonts w:hint="eastAsia" w:ascii="方正仿宋_GBK" w:hAnsi="方正仿宋_GBK" w:eastAsia="方正仿宋_GBK" w:cs="方正仿宋_GBK"/>
          <w:b w:val="0"/>
          <w:bCs w:val="0"/>
          <w:spacing w:val="-5"/>
          <w:sz w:val="32"/>
          <w:szCs w:val="32"/>
          <w:lang w:val="zh-CN" w:bidi="zh-CN"/>
        </w:rPr>
        <w:t xml:space="preserve"> 年度决算编制的二级预算单位主要包括 ：人大、政府、党委、财政所、农业服务中心、文化服务中心、社保所等。</w:t>
      </w:r>
    </w:p>
    <w:p w14:paraId="7C637452">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楷体_GBK" w:hAnsi="方正楷体_GBK" w:eastAsia="方正楷体_GBK" w:cs="方正楷体_GBK"/>
          <w:b w:val="0"/>
          <w:bCs w:val="0"/>
          <w:spacing w:val="-5"/>
          <w:kern w:val="0"/>
          <w:sz w:val="32"/>
          <w:szCs w:val="32"/>
          <w:lang w:val="zh-CN" w:bidi="zh-CN"/>
        </w:rPr>
        <w:t>（四）机构改革情况。</w:t>
      </w:r>
      <w:r>
        <w:rPr>
          <w:rFonts w:hint="eastAsia" w:ascii="方正仿宋_GBK" w:hAnsi="方正仿宋_GBK" w:eastAsia="方正仿宋_GBK" w:cs="方正仿宋_GBK"/>
          <w:b w:val="0"/>
          <w:bCs w:val="0"/>
          <w:spacing w:val="-5"/>
          <w:kern w:val="0"/>
          <w:sz w:val="32"/>
          <w:szCs w:val="32"/>
          <w:lang w:val="zh-CN" w:bidi="zh-CN"/>
        </w:rPr>
        <w:t>本部门涉及本次党和国家机构改革，对此专门说明如下：1. 结合实际，我镇共设置了8个综合办事机构8个，即：</w:t>
      </w:r>
    </w:p>
    <w:p w14:paraId="0026262D">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党政办公室主要负责综合协调、</w:t>
      </w:r>
      <w:r>
        <w:rPr>
          <w:rFonts w:hint="eastAsia" w:ascii="方正仿宋_GBK" w:hAnsi="方正仿宋_GBK" w:eastAsia="方正仿宋_GBK" w:cs="方正仿宋_GBK"/>
          <w:b w:val="0"/>
          <w:bCs w:val="0"/>
          <w:sz w:val="32"/>
          <w:szCs w:val="32"/>
        </w:rPr>
        <w:fldChar w:fldCharType="begin"/>
      </w:r>
      <w:r>
        <w:rPr>
          <w:rFonts w:hint="eastAsia" w:ascii="方正仿宋_GBK" w:hAnsi="方正仿宋_GBK" w:eastAsia="方正仿宋_GBK" w:cs="方正仿宋_GBK"/>
          <w:b w:val="0"/>
          <w:bCs w:val="0"/>
          <w:sz w:val="32"/>
          <w:szCs w:val="32"/>
        </w:rPr>
        <w:instrText xml:space="preserve"> HYPERLINK "http://www.so.com/s?q=%E6%96%87%E7%A7%98&amp;ie=utf-8&amp;src=internal_wenda_recommend_textn" \t "_blank" </w:instrText>
      </w:r>
      <w:r>
        <w:rPr>
          <w:rFonts w:hint="eastAsia" w:ascii="方正仿宋_GBK" w:hAnsi="方正仿宋_GBK" w:eastAsia="方正仿宋_GBK" w:cs="方正仿宋_GBK"/>
          <w:b w:val="0"/>
          <w:bCs w:val="0"/>
          <w:sz w:val="32"/>
          <w:szCs w:val="32"/>
        </w:rPr>
        <w:fldChar w:fldCharType="separate"/>
      </w:r>
      <w:r>
        <w:rPr>
          <w:rFonts w:hint="eastAsia" w:ascii="方正仿宋_GBK" w:hAnsi="方正仿宋_GBK" w:eastAsia="方正仿宋_GBK" w:cs="方正仿宋_GBK"/>
          <w:b w:val="0"/>
          <w:bCs w:val="0"/>
          <w:spacing w:val="-5"/>
          <w:kern w:val="0"/>
          <w:sz w:val="32"/>
          <w:szCs w:val="32"/>
          <w:lang w:val="zh-CN" w:bidi="zh-CN"/>
        </w:rPr>
        <w:t>文秘</w:t>
      </w:r>
      <w:r>
        <w:rPr>
          <w:rFonts w:hint="eastAsia" w:ascii="方正仿宋_GBK" w:hAnsi="方正仿宋_GBK" w:eastAsia="方正仿宋_GBK" w:cs="方正仿宋_GBK"/>
          <w:b w:val="0"/>
          <w:bCs w:val="0"/>
          <w:spacing w:val="-5"/>
          <w:kern w:val="0"/>
          <w:sz w:val="32"/>
          <w:szCs w:val="32"/>
          <w:lang w:val="zh-CN" w:bidi="zh-CN"/>
        </w:rPr>
        <w:fldChar w:fldCharType="end"/>
      </w:r>
      <w:r>
        <w:rPr>
          <w:rFonts w:hint="eastAsia" w:ascii="方正仿宋_GBK" w:hAnsi="方正仿宋_GBK" w:eastAsia="方正仿宋_GBK" w:cs="方正仿宋_GBK"/>
          <w:b w:val="0"/>
          <w:bCs w:val="0"/>
          <w:spacing w:val="-5"/>
          <w:kern w:val="0"/>
          <w:sz w:val="32"/>
          <w:szCs w:val="32"/>
          <w:lang w:val="zh-CN" w:bidi="zh-CN"/>
        </w:rPr>
        <w:t>、会务、</w:t>
      </w:r>
      <w:r>
        <w:rPr>
          <w:rFonts w:hint="eastAsia" w:ascii="方正仿宋_GBK" w:hAnsi="方正仿宋_GBK" w:eastAsia="方正仿宋_GBK" w:cs="方正仿宋_GBK"/>
          <w:b w:val="0"/>
          <w:bCs w:val="0"/>
          <w:sz w:val="32"/>
          <w:szCs w:val="32"/>
        </w:rPr>
        <w:fldChar w:fldCharType="begin"/>
      </w:r>
      <w:r>
        <w:rPr>
          <w:rFonts w:hint="eastAsia" w:ascii="方正仿宋_GBK" w:hAnsi="方正仿宋_GBK" w:eastAsia="方正仿宋_GBK" w:cs="方正仿宋_GBK"/>
          <w:b w:val="0"/>
          <w:bCs w:val="0"/>
          <w:sz w:val="32"/>
          <w:szCs w:val="32"/>
        </w:rPr>
        <w:instrText xml:space="preserve"> HYPERLINK "http://www.so.com/s?q=%E6%A1%A3%E6%A1%88&amp;ie=utf-8&amp;src=internal_wenda_recommend_textn" \t "_blank" </w:instrText>
      </w:r>
      <w:r>
        <w:rPr>
          <w:rFonts w:hint="eastAsia" w:ascii="方正仿宋_GBK" w:hAnsi="方正仿宋_GBK" w:eastAsia="方正仿宋_GBK" w:cs="方正仿宋_GBK"/>
          <w:b w:val="0"/>
          <w:bCs w:val="0"/>
          <w:sz w:val="32"/>
          <w:szCs w:val="32"/>
        </w:rPr>
        <w:fldChar w:fldCharType="separate"/>
      </w:r>
      <w:r>
        <w:rPr>
          <w:rFonts w:hint="eastAsia" w:ascii="方正仿宋_GBK" w:hAnsi="方正仿宋_GBK" w:eastAsia="方正仿宋_GBK" w:cs="方正仿宋_GBK"/>
          <w:b w:val="0"/>
          <w:bCs w:val="0"/>
          <w:spacing w:val="-5"/>
          <w:kern w:val="0"/>
          <w:sz w:val="32"/>
          <w:szCs w:val="32"/>
          <w:lang w:val="zh-CN" w:bidi="zh-CN"/>
        </w:rPr>
        <w:t>档案</w:t>
      </w:r>
      <w:r>
        <w:rPr>
          <w:rFonts w:hint="eastAsia" w:ascii="方正仿宋_GBK" w:hAnsi="方正仿宋_GBK" w:eastAsia="方正仿宋_GBK" w:cs="方正仿宋_GBK"/>
          <w:b w:val="0"/>
          <w:bCs w:val="0"/>
          <w:spacing w:val="-5"/>
          <w:kern w:val="0"/>
          <w:sz w:val="32"/>
          <w:szCs w:val="32"/>
          <w:lang w:val="zh-CN" w:bidi="zh-CN"/>
        </w:rPr>
        <w:fldChar w:fldCharType="end"/>
      </w:r>
      <w:r>
        <w:rPr>
          <w:rFonts w:hint="eastAsia" w:ascii="方正仿宋_GBK" w:hAnsi="方正仿宋_GBK" w:eastAsia="方正仿宋_GBK" w:cs="方正仿宋_GBK"/>
          <w:b w:val="0"/>
          <w:bCs w:val="0"/>
          <w:spacing w:val="-5"/>
          <w:kern w:val="0"/>
          <w:sz w:val="32"/>
          <w:szCs w:val="32"/>
          <w:lang w:val="zh-CN" w:bidi="zh-CN"/>
        </w:rPr>
        <w:t>、信访、保密、人事、后勤保障等职责。</w:t>
      </w:r>
    </w:p>
    <w:p w14:paraId="1C38FB1A">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党群工作办公室主要负责党的建设、纪委、宣传、统战、法制、武装、编制、群团及民宗侨台等职责。</w:t>
      </w:r>
    </w:p>
    <w:p w14:paraId="3DED4667">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经济发展办公室（挂统计办公室、农村经营管理办公室牌子）主要负责实施乡村振兴战略、经济发展规划、农村经营管理、经济社会统计等职责。</w:t>
      </w:r>
    </w:p>
    <w:p w14:paraId="5E442A40">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民政和社会事务办公室（挂卫生健康办公室牌子）主要负责民政、教育、卫生健康、文化、旅游、体育、社会救助、残疾人事业、劳动就业、社会保障、老龄事业等职责。</w:t>
      </w:r>
    </w:p>
    <w:p w14:paraId="6FA5A7AB">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规划建设管理环保办公室主要负责村镇规划、村镇建设、乡村道路管理、市政公用、市容环卫、生态环境保护、河长制工作等职责。</w:t>
      </w:r>
    </w:p>
    <w:p w14:paraId="2C905130">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财政办公室主要负责财政收支、预决算、总会计、惠农资金兑付、财政资金监督检查、绩效评价、村级财务管理等职责。</w:t>
      </w:r>
    </w:p>
    <w:p w14:paraId="1C58A8B1">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平安建设办公室（挂应急管理办公室牌子）主要统筹负责安全生产综合监管、应急管理、消防管理、信访、人民调解、社会治安综合治理、防范和处理邪教等职责。</w:t>
      </w:r>
    </w:p>
    <w:p w14:paraId="5DC404C7">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扶贫工作办公室主要负责扶贫开发工作、扶贫项目建设和管理、村级互助资金的监督管理、农村扶贫对象动态管理等职责。</w:t>
      </w:r>
    </w:p>
    <w:p w14:paraId="58815527">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加强镇人大常委会办公室建设，配备1名专职人员具体负责人大常委会办公室日常工作。推进乡镇行政执法改革，组建综合行政执法办公室集中行使依法授权或委托的行政执法权。</w:t>
      </w:r>
    </w:p>
    <w:p w14:paraId="56430159">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镇纪委、武装部按照有关规定设置。工会、团委、妇联等群团按章程设置，具体工作由党群工作办公室明确1名群团工作综合岗位承担。</w:t>
      </w:r>
    </w:p>
    <w:p w14:paraId="00FDCC17">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2. 设置事业站所5个，即:</w:t>
      </w:r>
    </w:p>
    <w:p w14:paraId="1B1EFC56">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农业服务中心主要负责农业、畜牧、林业、水利、资源环境保护、渔政等工作。</w:t>
      </w:r>
    </w:p>
    <w:p w14:paraId="0A30980B">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文化服务中心主要承担文化、旅游、宣传、广播电视、体育等工作。</w:t>
      </w:r>
    </w:p>
    <w:p w14:paraId="47D72A30">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劳动就业和社会保障服务所主要负责公共服务事项和承接县级各部门下放给乡镇的各项行政审批职责；承担就业、再就业以及农村富余劳动力转移、劳动和社会保障等工作。</w:t>
      </w:r>
    </w:p>
    <w:p w14:paraId="26F40FEC">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退役军人服务站主要负责退役军人的来访接待、政策解读、就业指导、帮扶救助、权益保障等服务工作。</w:t>
      </w:r>
    </w:p>
    <w:p w14:paraId="01F4CF76">
      <w:pPr>
        <w:keepNext w:val="0"/>
        <w:keepLines w:val="0"/>
        <w:pageBreakBefore w:val="0"/>
        <w:kinsoku/>
        <w:wordWrap/>
        <w:overflowPunct/>
        <w:topLinePunct w:val="0"/>
        <w:autoSpaceDE/>
        <w:autoSpaceDN/>
        <w:bidi w:val="0"/>
        <w:adjustRightInd/>
        <w:snapToGrid/>
        <w:spacing w:beforeAutospacing="0" w:afterAutospacing="0" w:line="560" w:lineRule="exact"/>
        <w:ind w:firstLine="620" w:firstLineChars="200"/>
        <w:textAlignment w:val="auto"/>
        <w:outlineLvl w:val="9"/>
        <w:rPr>
          <w:rFonts w:hint="eastAsia" w:ascii="方正仿宋_GBK" w:hAnsi="方正仿宋_GBK" w:eastAsia="方正仿宋_GBK" w:cs="方正仿宋_GBK"/>
          <w:b w:val="0"/>
          <w:bCs w:val="0"/>
          <w:spacing w:val="-5"/>
          <w:kern w:val="0"/>
          <w:sz w:val="32"/>
          <w:szCs w:val="32"/>
          <w:lang w:val="zh-CN" w:bidi="zh-CN"/>
        </w:rPr>
      </w:pPr>
      <w:r>
        <w:rPr>
          <w:rFonts w:hint="eastAsia" w:ascii="方正仿宋_GBK" w:hAnsi="方正仿宋_GBK" w:eastAsia="方正仿宋_GBK" w:cs="方正仿宋_GBK"/>
          <w:b w:val="0"/>
          <w:bCs w:val="0"/>
          <w:spacing w:val="-5"/>
          <w:kern w:val="0"/>
          <w:sz w:val="32"/>
          <w:szCs w:val="32"/>
          <w:lang w:val="zh-CN" w:bidi="zh-CN"/>
        </w:rPr>
        <w:t>综合行政执法大队与综合行政执法办公室实行统筹运行机制，主要负责由综合行政执法机构集中行使依法授权或委托的农林水利、生态环境保护、卫生健康、文化旅游、民政管理等领域的行政执法权。协助开展城市管理、规划和自然资源管理、市场监督管理等领域行政执法。</w:t>
      </w:r>
    </w:p>
    <w:p w14:paraId="4B7813AC">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黑体_GBK" w:hAnsi="方正黑体_GBK" w:eastAsia="方正黑体_GBK" w:cs="方正黑体_GBK"/>
          <w:b w:val="0"/>
          <w:bCs w:val="0"/>
          <w:sz w:val="32"/>
          <w:szCs w:val="32"/>
        </w:rPr>
      </w:pPr>
      <w:r>
        <w:rPr>
          <w:rStyle w:val="7"/>
          <w:rFonts w:hint="eastAsia" w:ascii="方正黑体_GBK" w:hAnsi="方正黑体_GBK" w:eastAsia="方正黑体_GBK" w:cs="方正黑体_GBK"/>
          <w:b w:val="0"/>
          <w:bCs w:val="0"/>
          <w:sz w:val="32"/>
          <w:szCs w:val="32"/>
        </w:rPr>
        <w:t>二、部门决算情况说明</w:t>
      </w:r>
    </w:p>
    <w:p w14:paraId="16D88CFA">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Style w:val="7"/>
          <w:rFonts w:hint="eastAsia" w:ascii="方正楷体_GBK" w:hAnsi="方正楷体_GBK" w:eastAsia="方正楷体_GBK" w:cs="方正楷体_GBK"/>
          <w:b w:val="0"/>
          <w:bCs w:val="0"/>
          <w:sz w:val="32"/>
          <w:szCs w:val="32"/>
        </w:rPr>
        <w:t>（一）收入支出决算总体情况说明</w:t>
      </w:r>
    </w:p>
    <w:p w14:paraId="04C7EC6A">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 1.总体情况。</w:t>
      </w:r>
      <w:r>
        <w:rPr>
          <w:rFonts w:hint="eastAsia" w:ascii="方正仿宋_GBK" w:hAnsi="方正仿宋_GBK" w:eastAsia="方正仿宋_GBK" w:cs="方正仿宋_GBK"/>
          <w:b w:val="0"/>
          <w:bCs w:val="0"/>
          <w:sz w:val="32"/>
          <w:szCs w:val="32"/>
        </w:rPr>
        <w:t>2019年度收入总计2397.85万元，支出总计2397.85万元。收支较上年决算数增加723.13万元、增长30.16%，主要原因是财政预算加大。</w:t>
      </w:r>
    </w:p>
    <w:p w14:paraId="69E3C240">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 2.收入情况。</w:t>
      </w:r>
      <w:r>
        <w:rPr>
          <w:rFonts w:hint="eastAsia" w:ascii="方正仿宋_GBK" w:hAnsi="方正仿宋_GBK" w:eastAsia="方正仿宋_GBK" w:cs="方正仿宋_GBK"/>
          <w:b w:val="0"/>
          <w:bCs w:val="0"/>
          <w:sz w:val="32"/>
          <w:szCs w:val="32"/>
        </w:rPr>
        <w:t>2019年度收入合计2397.85万元，较上年决算数增加723.13万元，增长30.16%，主要原因是财政预算加大 。 其中：财政拨款收入2185.81万元，占91.16%；政府性基金收入212.04万元，占8.84%</w:t>
      </w:r>
    </w:p>
    <w:p w14:paraId="332C9AD6">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 3.支出情况。</w:t>
      </w:r>
      <w:r>
        <w:rPr>
          <w:rFonts w:hint="eastAsia" w:ascii="方正仿宋_GBK" w:hAnsi="方正仿宋_GBK" w:eastAsia="方正仿宋_GBK" w:cs="方正仿宋_GBK"/>
          <w:b w:val="0"/>
          <w:bCs w:val="0"/>
          <w:sz w:val="32"/>
          <w:szCs w:val="32"/>
        </w:rPr>
        <w:t>2019年度支出合计2397.85万元，较上年决算数增加723.13万元，增长30.16%，主要原因是财政预算加大。其中：基本支出59.59万元，占8.24%；项目支出451.5万元，占62.44%。政府性基金支出212.04万元，占29.32%</w:t>
      </w:r>
    </w:p>
    <w:p w14:paraId="3F7E9AF5">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 4.结转结余情况。</w:t>
      </w:r>
      <w:r>
        <w:rPr>
          <w:rFonts w:hint="eastAsia" w:ascii="方正仿宋_GBK" w:hAnsi="方正仿宋_GBK" w:eastAsia="方正仿宋_GBK" w:cs="方正仿宋_GBK"/>
          <w:b w:val="0"/>
          <w:bCs w:val="0"/>
          <w:sz w:val="32"/>
          <w:szCs w:val="32"/>
        </w:rPr>
        <w:t>2019年度年末结转和结余0万元。</w:t>
      </w:r>
    </w:p>
    <w:p w14:paraId="6E296769">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Style w:val="7"/>
          <w:rFonts w:hint="eastAsia" w:ascii="方正楷体_GBK" w:hAnsi="方正楷体_GBK" w:eastAsia="方正楷体_GBK" w:cs="方正楷体_GBK"/>
          <w:b w:val="0"/>
          <w:bCs w:val="0"/>
          <w:sz w:val="32"/>
          <w:szCs w:val="32"/>
        </w:rPr>
        <w:t>（二）财政拨款收入支出决算总体情况说明</w:t>
      </w:r>
    </w:p>
    <w:p w14:paraId="557FF05D">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2019年度财政拨款收、支总计2397.85万元。与2018年相比，财政拨款收、支总计各增加723.13万元，增长30.16%。主要原因是财政预算加大。</w:t>
      </w:r>
    </w:p>
    <w:p w14:paraId="1699FF67">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Style w:val="7"/>
          <w:rFonts w:hint="eastAsia" w:ascii="方正楷体_GBK" w:hAnsi="方正楷体_GBK" w:eastAsia="方正楷体_GBK" w:cs="方正楷体_GBK"/>
          <w:b w:val="0"/>
          <w:bCs w:val="0"/>
          <w:sz w:val="32"/>
          <w:szCs w:val="32"/>
        </w:rPr>
        <w:t>（三）一般公共预算财政拨款支出决算情况说明</w:t>
      </w:r>
    </w:p>
    <w:p w14:paraId="2FE7D728">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 1.收入情况。</w:t>
      </w:r>
      <w:r>
        <w:rPr>
          <w:rFonts w:hint="eastAsia" w:ascii="方正仿宋_GBK" w:hAnsi="方正仿宋_GBK" w:eastAsia="方正仿宋_GBK" w:cs="方正仿宋_GBK"/>
          <w:b w:val="0"/>
          <w:bCs w:val="0"/>
          <w:sz w:val="32"/>
          <w:szCs w:val="32"/>
        </w:rPr>
        <w:t>2019年度一般公共预算财政拨款收入2185.81万元，较上年决算数增加511.09万元，增长23.38%。主要原因是财政预算加大。此外，年初财政拨款结转和结余0万元。</w:t>
      </w:r>
    </w:p>
    <w:p w14:paraId="0ED7275B">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2.支出情况。</w:t>
      </w:r>
      <w:r>
        <w:rPr>
          <w:rFonts w:hint="eastAsia" w:ascii="方正仿宋_GBK" w:hAnsi="方正仿宋_GBK" w:eastAsia="方正仿宋_GBK" w:cs="方正仿宋_GBK"/>
          <w:b w:val="0"/>
          <w:bCs w:val="0"/>
          <w:sz w:val="32"/>
          <w:szCs w:val="32"/>
        </w:rPr>
        <w:t>2019年度一般公共预算财政拨款支出2185.81万元，较上年决算数增加511.09万元，增长23.38%。主要原因是财政预算加大。较年初预算数增加1475.72万元，增长67.51%。主要原因是财政预算加大。</w:t>
      </w:r>
    </w:p>
    <w:p w14:paraId="364516F8">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3.结转结余情况。</w:t>
      </w:r>
      <w:r>
        <w:rPr>
          <w:rFonts w:hint="eastAsia" w:ascii="方正仿宋_GBK" w:hAnsi="方正仿宋_GBK" w:eastAsia="方正仿宋_GBK" w:cs="方正仿宋_GBK"/>
          <w:b w:val="0"/>
          <w:bCs w:val="0"/>
          <w:sz w:val="32"/>
          <w:szCs w:val="32"/>
        </w:rPr>
        <w:t>2019年度年末一般公共预算财政拨款结转和结余0万元。</w:t>
      </w:r>
    </w:p>
    <w:p w14:paraId="3934A9B4">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4.比较情况。</w:t>
      </w:r>
      <w:r>
        <w:rPr>
          <w:rFonts w:hint="eastAsia" w:ascii="方正仿宋_GBK" w:hAnsi="方正仿宋_GBK" w:eastAsia="方正仿宋_GBK" w:cs="方正仿宋_GBK"/>
          <w:b w:val="0"/>
          <w:bCs w:val="0"/>
          <w:sz w:val="32"/>
          <w:szCs w:val="32"/>
        </w:rPr>
        <w:t>本部门2019年度一般公共预算财政拨款支出主要用于以下几个方面：</w:t>
      </w:r>
    </w:p>
    <w:p w14:paraId="41E9D8F5">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1）一般公共服务支出423.95万元，占19.40%，较年初预算数增加108.69万元，增长25.64%，主要原因是调整预算支出，新增2019年困难乡镇年终财力补助，2019年度机关事业单位人员薪资调整；职人员绩效目标、超额绩效及退休人员健康修养费。</w:t>
      </w:r>
    </w:p>
    <w:p w14:paraId="33D949C7">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（2）文化旅游体育与传媒支出14.4万元，占0.66%，较年初预算数增加2.39万元，增长16.6%，主要原因是发放文化站所人员工资待遇。</w:t>
      </w:r>
    </w:p>
    <w:p w14:paraId="215437E0">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（3）社会保障与就业支出157.17万元，占7.19%，较年初预算数增加36.65万元，增长23.32%，主要原因是发放社保所人员工资，津补贴，绩效等，社区村干部工资保险，缴纳职工养老保险等。</w:t>
      </w:r>
    </w:p>
    <w:p w14:paraId="7825D319">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（4）卫生健康支出39.83万元，占1.82%，较年初预算数增加1.92万元，增长4.82%，主要原因是缴纳职工医疗保险和其他保险费用支出。</w:t>
      </w:r>
    </w:p>
    <w:p w14:paraId="275287EE">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（5）城乡社区支出9万元，占0.41%，较年初预算数增加9万元，增长100%，主要原因是垃圾处置费返还新增19万。</w:t>
      </w:r>
    </w:p>
    <w:p w14:paraId="4AF2C701">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（6）农林水支出1447.1万元，占66.2%，较年初预算数增加1275.21万元，增长88.12%，主要原因是事业人员及运行的待遇等，预算内的扶贫项目增加。</w:t>
      </w:r>
    </w:p>
    <w:p w14:paraId="0BA3EEF1">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（7）交通运输支出44.83万元，占2.05%，较年初预算数增加44.83万元，增长100%，主要原因是经建科水毁公路项目资金。</w:t>
      </w:r>
    </w:p>
    <w:p w14:paraId="365F9BC4">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（8）住房保障支出49.53万元，占2.27%，较年初预算数增加27.04万元，增长54.59%，主要原因是缴纳职工住房公积金。</w:t>
      </w:r>
    </w:p>
    <w:p w14:paraId="05DD1400">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Style w:val="7"/>
          <w:rFonts w:hint="eastAsia" w:ascii="方正楷体_GBK" w:hAnsi="方正楷体_GBK" w:eastAsia="方正楷体_GBK" w:cs="方正楷体_GBK"/>
          <w:b w:val="0"/>
          <w:bCs w:val="0"/>
          <w:sz w:val="32"/>
          <w:szCs w:val="32"/>
        </w:rPr>
        <w:t>（四）一般公共预算财政拨款基本支出决算情况说明</w:t>
      </w:r>
    </w:p>
    <w:p w14:paraId="04959E89">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 2019年度一般公共财政拨款基本支出905.22万元。其中：人员经费711.23万元，较上年决算数减少9.12万元，增长1.28%，主要原因是人员减少。人员经费用途主要包括基本工资、津贴补贴、绩效工资、社会保障缴费、住房公积金等。公用经费194.00万元，较上年决算数增加68.71万元，增长35.42%，主要原因是耕地占用税缴纳52.47万元、办公费用增加。公用经费用途主要包括公费、电费、邮电费、差旅费、维修（护）费、会议费、培训费、工会经费、福利费、其他交通费用、其他商品和服务支出等。</w:t>
      </w:r>
    </w:p>
    <w:p w14:paraId="2C7EB986">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Style w:val="7"/>
          <w:rFonts w:hint="eastAsia" w:ascii="方正楷体_GBK" w:hAnsi="方正楷体_GBK" w:eastAsia="方正楷体_GBK" w:cs="方正楷体_GBK"/>
          <w:b w:val="0"/>
          <w:bCs w:val="0"/>
          <w:sz w:val="32"/>
          <w:szCs w:val="32"/>
        </w:rPr>
        <w:t>（五）政府性基金预算收支决算情况说明</w:t>
      </w:r>
    </w:p>
    <w:p w14:paraId="565F47BA">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 2019年度政府性基金预算财政拨款年初结转结余0万元，年末结转结余0万元。本年收入212.04万元，较上年决算数增加212.04万元，增长100.00%，主要原因是城市公共设施、中心敬老院项目资金下达。本年支出212.04万元，较上年决算数增加212.04万元，增长100.00%，主要原因是城市公共设施、中心敬老院项目支付资金。</w:t>
      </w:r>
    </w:p>
    <w:p w14:paraId="63CC3F07">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黑体_GBK" w:hAnsi="方正黑体_GBK" w:eastAsia="方正黑体_GBK" w:cs="方正黑体_GBK"/>
          <w:b w:val="0"/>
          <w:bCs w:val="0"/>
          <w:sz w:val="32"/>
          <w:szCs w:val="32"/>
        </w:rPr>
      </w:pPr>
      <w:r>
        <w:rPr>
          <w:rStyle w:val="7"/>
          <w:rFonts w:hint="eastAsia" w:ascii="方正黑体_GBK" w:hAnsi="方正黑体_GBK" w:eastAsia="方正黑体_GBK" w:cs="方正黑体_GBK"/>
          <w:b w:val="0"/>
          <w:bCs w:val="0"/>
          <w:sz w:val="32"/>
          <w:szCs w:val="32"/>
        </w:rPr>
        <w:t>  三、“三公”经费情况说明</w:t>
      </w:r>
    </w:p>
    <w:p w14:paraId="65DA0F19">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Style w:val="7"/>
          <w:rFonts w:hint="eastAsia" w:ascii="方正楷体_GBK" w:hAnsi="方正楷体_GBK" w:eastAsia="方正楷体_GBK" w:cs="方正楷体_GBK"/>
          <w:b w:val="0"/>
          <w:bCs w:val="0"/>
          <w:sz w:val="32"/>
          <w:szCs w:val="32"/>
        </w:rPr>
        <w:t> （一）“三公”经费支出总体情况说明</w:t>
      </w:r>
    </w:p>
    <w:p w14:paraId="224F1650">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 2019年度“三公”经费支出共计39.27万元，较年初预算数减少39.38万元，下降0.28%，主要原因是大力缩减三公经费开支，严格按制支出。较上年支出数减少3.77万元，下降8.76%，主要原因是认真贯彻落实中央八项规定精神，按照只减不增的要求从严控制“三公”经费，全年实际支出较预算和决算均有所下降。严格 落实公车使用规定，公车运行维护成本大幅下降。强化公务接待支出管理，严格遵守公务接待开支范围和开支标准，严格控制陪餐人数，对应由接待对象承担的 费用一律由接待对象自行支付，公务接待费大幅下降。</w:t>
      </w:r>
    </w:p>
    <w:p w14:paraId="5F5B9FA5">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Style w:val="7"/>
          <w:rFonts w:hint="eastAsia" w:ascii="方正楷体_GBK" w:hAnsi="方正楷体_GBK" w:eastAsia="方正楷体_GBK" w:cs="方正楷体_GBK"/>
          <w:b w:val="0"/>
          <w:bCs w:val="0"/>
          <w:sz w:val="32"/>
          <w:szCs w:val="32"/>
        </w:rPr>
        <w:t>（二）“三公”经费分项支出情况</w:t>
      </w:r>
    </w:p>
    <w:p w14:paraId="3DB4A5B0">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 2019年度本部门因公出国（境）费用0万元，本单位2019年度未发生因公出国（境）费用支出。</w:t>
      </w:r>
    </w:p>
    <w:p w14:paraId="19BCEF1B">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公务车购置费0万元，本单位2019年度未发生公务车购置费支出。</w:t>
      </w:r>
    </w:p>
    <w:p w14:paraId="3A2F2506">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公务车运行维护费6.56万元，主要用于公务用车辖区内各种项目检查、道路执法等油费，保险及各车辆维修费等。费用支出较年初预算数减少0.1万元，下降1.5%，主要原因是严格控制公务用车的使用，减少不必要的用车。较上年支出数减少3.77万元，下降36.50%，主要原因是严格控制公务用车的使用，减少不必要的用车，实行公务卡充值，加油卡的管理和使用。</w:t>
      </w:r>
    </w:p>
    <w:p w14:paraId="20D12934">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公务接待费32.71万元，主要用于接待相关单位检查指导工作等发生的接待支出。费用支出较年初预算数减少0.01万元，下降0.03%，主要原因是脱贫攻坚各类检查及指导增多，虽有严格按制，但仍与上年持平。较上年支出数减少0万元，下降0%，主要原因是脱贫攻坚各类检查及指导增多，虽有严格按制，但仍与上年持平。</w:t>
      </w:r>
    </w:p>
    <w:p w14:paraId="72F556F2">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Style w:val="7"/>
          <w:rFonts w:hint="eastAsia" w:ascii="方正楷体_GBK" w:hAnsi="方正楷体_GBK" w:eastAsia="方正楷体_GBK" w:cs="方正楷体_GBK"/>
          <w:b w:val="0"/>
          <w:bCs w:val="0"/>
          <w:sz w:val="32"/>
          <w:szCs w:val="32"/>
        </w:rPr>
        <w:t>（三）“三公”经费实物量情况</w:t>
      </w:r>
    </w:p>
    <w:p w14:paraId="78512E88">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 2019年度本部门因公出国（境）共计0个团组，0人；公务用车购置0辆，公务车保有量为1辆；国内公务接待360批次2900人， 其中：国内外事接待360批次，2900人；国（境）外公务接待0批次，0人。2019年本部门人均接待费112.79元，车均购置费0万元，车均维护费 6.56万元。</w:t>
      </w:r>
    </w:p>
    <w:p w14:paraId="244AD60F">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黑体_GBK" w:hAnsi="方正黑体_GBK" w:eastAsia="方正黑体_GBK" w:cs="方正黑体_GBK"/>
          <w:b w:val="0"/>
          <w:bCs w:val="0"/>
          <w:sz w:val="32"/>
          <w:szCs w:val="32"/>
        </w:rPr>
      </w:pPr>
      <w:r>
        <w:rPr>
          <w:rStyle w:val="7"/>
          <w:rFonts w:hint="eastAsia" w:ascii="方正黑体_GBK" w:hAnsi="方正黑体_GBK" w:eastAsia="方正黑体_GBK" w:cs="方正黑体_GBK"/>
          <w:b w:val="0"/>
          <w:bCs w:val="0"/>
          <w:sz w:val="32"/>
          <w:szCs w:val="32"/>
        </w:rPr>
        <w:t> 四、其他需要说明的事项</w:t>
      </w:r>
    </w:p>
    <w:p w14:paraId="01783159">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Style w:val="7"/>
          <w:rFonts w:hint="eastAsia" w:ascii="方正楷体_GBK" w:hAnsi="方正楷体_GBK" w:eastAsia="方正楷体_GBK" w:cs="方正楷体_GBK"/>
          <w:b w:val="0"/>
          <w:bCs w:val="0"/>
          <w:sz w:val="32"/>
          <w:szCs w:val="32"/>
        </w:rPr>
        <w:t>（一）机关运行经费情况说明。</w:t>
      </w:r>
      <w:r>
        <w:rPr>
          <w:rFonts w:hint="eastAsia" w:ascii="方正仿宋_GBK" w:hAnsi="方正仿宋_GBK" w:eastAsia="方正仿宋_GBK" w:cs="方正仿宋_GBK"/>
          <w:b w:val="0"/>
          <w:bCs w:val="0"/>
          <w:sz w:val="32"/>
          <w:szCs w:val="32"/>
        </w:rPr>
        <w:t>2019年度本部门机关运行经费支出150.67万元，机关运行经费主要用于开支办公费15.23万元，印刷费9.04万元，水费0.47万元，邮电费12.03万元，电费5.82万元，差旅费30.43万元，会议费6.03万元，培训费5.22万元，公务接待费32.71万元，工会经费2.17万元，福利费1.35万元，公务用车运行维护费6.65万元，其他交通费用14.46万元，税金及附加费用52.47万元等，机关运行经费较上年决算数增加25.49万元，增长16.92%，主要原因是税金及附加费用（耕地占用税）增加。</w:t>
      </w:r>
    </w:p>
    <w:p w14:paraId="5B9C5AE7">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此外，本年度一般公共预算财政拨款会议费支出6.03万元，较上年决算数增加2.18万元，下降36.15%，主要原因是脱贫攻坚各类会议增加。本年度一般公共预算财政拨款培训费支出5.22万元，较上年决算数增加0.47万元，增长9%，主要原因是脱贫攻坚各类培训会增加</w:t>
      </w:r>
      <w:r>
        <w:rPr>
          <w:rFonts w:hint="eastAsia" w:ascii="方正仿宋_GBK" w:hAnsi="方正仿宋_GBK" w:eastAsia="方正仿宋_GBK" w:cs="方正仿宋_GBK"/>
          <w:b w:val="0"/>
          <w:bCs w:val="0"/>
          <w:color w:val="FF0000"/>
          <w:sz w:val="32"/>
          <w:szCs w:val="32"/>
        </w:rPr>
        <w:t>。</w:t>
      </w:r>
    </w:p>
    <w:p w14:paraId="235DBD11">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Style w:val="7"/>
          <w:rFonts w:hint="eastAsia" w:ascii="方正楷体_GBK" w:hAnsi="方正楷体_GBK" w:eastAsia="方正楷体_GBK" w:cs="方正楷体_GBK"/>
          <w:b w:val="0"/>
          <w:bCs w:val="0"/>
          <w:sz w:val="32"/>
          <w:szCs w:val="32"/>
        </w:rPr>
        <w:t>（二）国有资产占用情况说明。</w:t>
      </w:r>
      <w:r>
        <w:rPr>
          <w:rFonts w:hint="eastAsia" w:ascii="方正仿宋_GBK" w:hAnsi="方正仿宋_GBK" w:eastAsia="方正仿宋_GBK" w:cs="方正仿宋_GBK"/>
          <w:b w:val="0"/>
          <w:bCs w:val="0"/>
          <w:sz w:val="32"/>
          <w:szCs w:val="32"/>
        </w:rPr>
        <w:t>截至2019年12月31日，本部门共有车辆1辆，其中，副部（省）级及以上领导用车0辆、主要领导干部用车0辆、机要通信用车0辆、应急保障用车1辆、执法执勤用车0辆，特种专业技术用车0辆，离退休干部用车0辆，其他用车0辆。单价50万元（含）以上通用设备0台（套），单价100万元（含）以上专用设备0台（套）。</w:t>
      </w:r>
    </w:p>
    <w:p w14:paraId="0BF21A3B">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Style w:val="7"/>
          <w:rFonts w:hint="eastAsia" w:ascii="方正楷体_GBK" w:hAnsi="方正楷体_GBK" w:eastAsia="方正楷体_GBK" w:cs="方正楷体_GBK"/>
          <w:b w:val="0"/>
          <w:bCs w:val="0"/>
          <w:sz w:val="32"/>
          <w:szCs w:val="32"/>
        </w:rPr>
        <w:t>（三）政府采购支出情况说明。</w:t>
      </w:r>
      <w:r>
        <w:rPr>
          <w:rFonts w:hint="eastAsia" w:ascii="方正仿宋_GBK" w:hAnsi="方正仿宋_GBK" w:eastAsia="方正仿宋_GBK" w:cs="方正仿宋_GBK"/>
          <w:b w:val="0"/>
          <w:bCs w:val="0"/>
          <w:sz w:val="32"/>
          <w:szCs w:val="32"/>
        </w:rPr>
        <w:t>2019年度我单位未发生政府采购事项，无相关经费支出。</w:t>
      </w:r>
    </w:p>
    <w:p w14:paraId="691CA4AD">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 </w:t>
      </w:r>
      <w:r>
        <w:rPr>
          <w:rStyle w:val="7"/>
          <w:rFonts w:hint="eastAsia" w:ascii="方正黑体_GBK" w:hAnsi="方正黑体_GBK" w:eastAsia="方正黑体_GBK" w:cs="方正黑体_GBK"/>
          <w:b w:val="0"/>
          <w:bCs w:val="0"/>
          <w:sz w:val="32"/>
          <w:szCs w:val="32"/>
        </w:rPr>
        <w:t>五、预算绩效管理情况说明</w:t>
      </w:r>
    </w:p>
    <w:p w14:paraId="0A909A50">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Style w:val="7"/>
          <w:rFonts w:hint="eastAsia" w:ascii="方正楷体_GBK" w:hAnsi="方正楷体_GBK" w:eastAsia="方正楷体_GBK" w:cs="方正楷体_GBK"/>
          <w:b w:val="0"/>
          <w:bCs w:val="0"/>
          <w:sz w:val="32"/>
          <w:szCs w:val="32"/>
        </w:rPr>
        <w:t>（一）预算绩效管理工作开展情况</w:t>
      </w:r>
    </w:p>
    <w:p w14:paraId="420159E0">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 本单位本年度未开展预算绩效自评工作</w:t>
      </w:r>
      <w:r>
        <w:rPr>
          <w:rStyle w:val="7"/>
          <w:rFonts w:hint="eastAsia" w:ascii="方正仿宋_GBK" w:hAnsi="方正仿宋_GBK" w:eastAsia="方正仿宋_GBK" w:cs="方正仿宋_GBK"/>
          <w:b w:val="0"/>
          <w:bCs w:val="0"/>
          <w:sz w:val="32"/>
          <w:szCs w:val="32"/>
        </w:rPr>
        <w:t>。</w:t>
      </w:r>
    </w:p>
    <w:p w14:paraId="20749FF1">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本单位未开展预算绩效管理工作。</w:t>
      </w:r>
    </w:p>
    <w:p w14:paraId="7996A014">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Style w:val="7"/>
          <w:rFonts w:hint="eastAsia" w:ascii="方正楷体_GBK" w:hAnsi="方正楷体_GBK" w:eastAsia="方正楷体_GBK" w:cs="方正楷体_GBK"/>
          <w:b w:val="0"/>
          <w:bCs w:val="0"/>
          <w:sz w:val="32"/>
          <w:szCs w:val="32"/>
        </w:rPr>
        <w:t>（二）绩效自评结果</w:t>
      </w:r>
    </w:p>
    <w:p w14:paraId="7A3E26DE">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Style w:val="7"/>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 1.绩效目标自评表 </w:t>
      </w:r>
    </w:p>
    <w:p w14:paraId="712004CF">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Style w:val="7"/>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无</w:t>
      </w:r>
    </w:p>
    <w:p w14:paraId="35851652">
      <w:pPr>
        <w:pStyle w:val="4"/>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200"/>
        <w:textAlignment w:val="auto"/>
        <w:outlineLvl w:val="9"/>
        <w:rPr>
          <w:rStyle w:val="7"/>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绩效自评报告或案例</w:t>
      </w:r>
    </w:p>
    <w:p w14:paraId="5EA989FC">
      <w:pPr>
        <w:pStyle w:val="4"/>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200"/>
        <w:textAlignment w:val="auto"/>
        <w:outlineLvl w:val="9"/>
        <w:rPr>
          <w:rStyle w:val="7"/>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无</w:t>
      </w:r>
    </w:p>
    <w:p w14:paraId="7B6107C8">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Style w:val="7"/>
          <w:rFonts w:hint="eastAsia" w:ascii="方正楷体_GBK" w:hAnsi="方正楷体_GBK" w:eastAsia="方正楷体_GBK" w:cs="方正楷体_GBK"/>
          <w:b w:val="0"/>
          <w:bCs w:val="0"/>
          <w:sz w:val="32"/>
          <w:szCs w:val="32"/>
        </w:rPr>
        <w:t>（三）重点绩效评价结果</w:t>
      </w:r>
    </w:p>
    <w:p w14:paraId="0AD435BB">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Style w:val="7"/>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z w:val="32"/>
          <w:szCs w:val="32"/>
        </w:rPr>
        <w:t>无</w:t>
      </w:r>
    </w:p>
    <w:p w14:paraId="70FC41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六、专业名词解释</w:t>
      </w:r>
    </w:p>
    <w:p w14:paraId="5A289F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（一）财政拨款收入：</w:t>
      </w:r>
      <w:r>
        <w:rPr>
          <w:rFonts w:hint="eastAsia" w:ascii="方正仿宋_GBK" w:hAnsi="方正仿宋_GBK" w:eastAsia="方正仿宋_GBK" w:cs="方正仿宋_GBK"/>
          <w:sz w:val="32"/>
          <w:szCs w:val="32"/>
        </w:rPr>
        <w:t>指本年度从本级财政部门取得的财政拨款，包括一般公共预算财政拨款和政府性基金预算财政拨款。</w:t>
      </w:r>
    </w:p>
    <w:p w14:paraId="3E343C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（二）事业收入：</w:t>
      </w:r>
      <w:r>
        <w:rPr>
          <w:rFonts w:hint="eastAsia" w:ascii="方正仿宋_GBK" w:hAnsi="方正仿宋_GBK" w:eastAsia="方正仿宋_GBK" w:cs="方正仿宋_GBK"/>
          <w:sz w:val="32"/>
          <w:szCs w:val="32"/>
        </w:rPr>
        <w:t>指事业单位开展专业业务活动及其辅助活动取得的现金流入；事业单位收到的财政专户实际核拨的教育收费等资金在此反映。</w:t>
      </w:r>
    </w:p>
    <w:p w14:paraId="38AE1B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（三）经营收入：</w:t>
      </w:r>
      <w:r>
        <w:rPr>
          <w:rFonts w:hint="eastAsia" w:ascii="方正仿宋_GBK" w:hAnsi="方正仿宋_GBK" w:eastAsia="方正仿宋_GBK" w:cs="方正仿宋_GBK"/>
          <w:sz w:val="32"/>
          <w:szCs w:val="32"/>
        </w:rPr>
        <w:t>指事业单位在专业业务活动及其辅助活动之外开展非独立核算经营活动取得的现金流入。</w:t>
      </w:r>
    </w:p>
    <w:p w14:paraId="25D367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（四）其他收入：</w:t>
      </w:r>
      <w:r>
        <w:rPr>
          <w:rFonts w:hint="eastAsia" w:ascii="方正仿宋_GBK" w:hAnsi="方正仿宋_GBK" w:eastAsia="方正仿宋_GBK" w:cs="方正仿宋_GBK"/>
          <w:sz w:val="32"/>
          <w:szCs w:val="32"/>
        </w:rPr>
        <w:t>指单位取得的除“财政拨款 收入”、“事业收入”、“经营收入”等以外的收入，包括未纳入财政预算或财政专户管理的投资收益、银行存款利息收入、租金收入、捐赠收入，现金盘盈收入、 存货盘盈收入、收回已核销的应收及预付款项、无法偿付的应付及预收款项等。各单位从本级财政部门以外的同级单位取得的经费、从非本级财政部门取得的经费， 以及行政单位收到的财政专户管理资金反映在本项内。</w:t>
      </w:r>
    </w:p>
    <w:p w14:paraId="4035A5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（五）用事业基金弥补收支差额：</w:t>
      </w:r>
      <w:r>
        <w:rPr>
          <w:rFonts w:hint="eastAsia" w:ascii="方正仿宋_GBK" w:hAnsi="方正仿宋_GBK" w:eastAsia="方正仿宋_GBK" w:cs="方正仿宋_GBK"/>
          <w:sz w:val="32"/>
          <w:szCs w:val="32"/>
        </w:rPr>
        <w:t>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14:paraId="0D94A3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（六）年初结转和结余：</w:t>
      </w:r>
      <w:r>
        <w:rPr>
          <w:rFonts w:hint="eastAsia" w:ascii="方正仿宋_GBK" w:hAnsi="方正仿宋_GBK" w:eastAsia="方正仿宋_GBK" w:cs="方正仿宋_GBK"/>
          <w:sz w:val="32"/>
          <w:szCs w:val="32"/>
        </w:rPr>
        <w:t>指单位上年结转本年使用的基本支出结转、项目支出结转和结余、经营结余。</w:t>
      </w:r>
    </w:p>
    <w:p w14:paraId="65A7AA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（七）结余分配：</w:t>
      </w:r>
      <w:r>
        <w:rPr>
          <w:rFonts w:hint="eastAsia" w:ascii="方正仿宋_GBK" w:hAnsi="方正仿宋_GBK" w:eastAsia="方正仿宋_GBK" w:cs="方正仿宋_GBK"/>
          <w:sz w:val="32"/>
          <w:szCs w:val="32"/>
        </w:rPr>
        <w:t>指单位按照国家有关规定，缴纳所得税、提取专用基金、转入事业基金等当年结余的分配情况。</w:t>
      </w:r>
    </w:p>
    <w:p w14:paraId="1B7A8F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（八）年末结转和结余：</w:t>
      </w:r>
      <w:r>
        <w:rPr>
          <w:rFonts w:hint="eastAsia" w:ascii="方正仿宋_GBK" w:hAnsi="方正仿宋_GBK" w:eastAsia="方正仿宋_GBK" w:cs="方正仿宋_GBK"/>
          <w:sz w:val="32"/>
          <w:szCs w:val="32"/>
        </w:rPr>
        <w:t>指单位结转下年的基本支出结转、项目支出结转和结余、经营结余。</w:t>
      </w:r>
    </w:p>
    <w:p w14:paraId="3011D0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（九）基本支出：</w:t>
      </w:r>
      <w:r>
        <w:rPr>
          <w:rFonts w:hint="eastAsia" w:ascii="方正仿宋_GBK" w:hAnsi="方正仿宋_GBK" w:eastAsia="方正仿宋_GBK" w:cs="方正仿宋_GBK"/>
          <w:sz w:val="32"/>
          <w:szCs w:val="32"/>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447E24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（十）项目支出：</w:t>
      </w:r>
      <w:r>
        <w:rPr>
          <w:rFonts w:hint="eastAsia" w:ascii="方正仿宋_GBK" w:hAnsi="方正仿宋_GBK" w:eastAsia="方正仿宋_GBK" w:cs="方正仿宋_GBK"/>
          <w:sz w:val="32"/>
          <w:szCs w:val="32"/>
        </w:rPr>
        <w:t>指在基本支出之外为完成特定行政任务和事业发展目标所发生的支出。</w:t>
      </w:r>
    </w:p>
    <w:p w14:paraId="26CFE8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（十一）经营支出：</w:t>
      </w:r>
      <w:r>
        <w:rPr>
          <w:rFonts w:hint="eastAsia" w:ascii="方正仿宋_GBK" w:hAnsi="方正仿宋_GBK" w:eastAsia="方正仿宋_GBK" w:cs="方正仿宋_GBK"/>
          <w:sz w:val="32"/>
          <w:szCs w:val="32"/>
        </w:rPr>
        <w:t>指事业单位在专业业务活动及其辅助活动之外开展非独立核算经营活动发生的支出。</w:t>
      </w:r>
    </w:p>
    <w:p w14:paraId="445199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（十二）“三公”经费：</w:t>
      </w:r>
      <w:r>
        <w:rPr>
          <w:rFonts w:hint="eastAsia" w:ascii="方正仿宋_GBK" w:hAnsi="方正仿宋_GBK" w:eastAsia="方正仿宋_GBK" w:cs="方正仿宋_GBK"/>
          <w:sz w:val="32"/>
          <w:szCs w:val="32"/>
        </w:rPr>
        <w:t xml:space="preserve"> 指用一般公共预算财政拨款安排的因公出国（境）费、公务用车购置及运行维护费、公务接待费。其中，因公出国（境）费反映单位公务出国（境）的国际旅费、国 外城市间交通费、住宿费、伙食费、培训费、公杂费等支出；公务用车购置费反映单位公务用车购置支出（含车辆购置税）；公务用车运行维护费反映单位按规定保 留的公务用车燃料费、维修费、过路过桥费、保险费、安全奖励费用等支出；公务接待费反映单位按规定开支的各类公务接待（含外宾接待）支出。</w:t>
      </w:r>
    </w:p>
    <w:p w14:paraId="6A4CD3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（十三）机关运行经费：</w:t>
      </w:r>
      <w:r>
        <w:rPr>
          <w:rFonts w:hint="eastAsia" w:ascii="方正仿宋_GBK" w:hAnsi="方正仿宋_GBK" w:eastAsia="方正仿宋_GBK" w:cs="方正仿宋_GBK"/>
          <w:sz w:val="32"/>
          <w:szCs w:val="32"/>
        </w:rPr>
        <w:t>为保障行政单位（含 参照公务员法管理的事业单位）运行用于购买货物和服务等的各项公用经费，包括办公及印刷费、邮电费、差旅费、会议费、福利费、日常维护费、专用材料及一般 设备购置费、办公用房水电费、办公用房取暖费、办公用房物业管理费、公务用车运行维护费以及其他费用。</w:t>
      </w:r>
    </w:p>
    <w:p w14:paraId="49F644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（十四）工资福利支出（支出经济分类科目类级）：</w:t>
      </w:r>
      <w:r>
        <w:rPr>
          <w:rFonts w:hint="eastAsia" w:ascii="方正仿宋_GBK" w:hAnsi="方正仿宋_GBK" w:eastAsia="方正仿宋_GBK" w:cs="方正仿宋_GBK"/>
          <w:sz w:val="32"/>
          <w:szCs w:val="32"/>
        </w:rPr>
        <w:t>反映单位开支的在职职工和编制外长期聘用人员的各类劳动报酬，以及为上述人员缴纳的各项社会保险费等。</w:t>
      </w:r>
    </w:p>
    <w:p w14:paraId="15977C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（十五）商品和服务支出（支出经济分类科目类级）：</w:t>
      </w:r>
      <w:r>
        <w:rPr>
          <w:rFonts w:hint="eastAsia" w:ascii="方正仿宋_GBK" w:hAnsi="方正仿宋_GBK" w:eastAsia="方正仿宋_GBK" w:cs="方正仿宋_GBK"/>
          <w:sz w:val="32"/>
          <w:szCs w:val="32"/>
        </w:rPr>
        <w:t>反映单位购买商品和服务的支出（不包括用于购置固定资产的支出、战略性和应急储备支出）。</w:t>
      </w:r>
    </w:p>
    <w:p w14:paraId="1A6E69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（十六）对个人和家庭的补助（支出经济分类科目类级）：</w:t>
      </w:r>
      <w:r>
        <w:rPr>
          <w:rFonts w:hint="eastAsia" w:ascii="方正仿宋_GBK" w:hAnsi="方正仿宋_GBK" w:eastAsia="方正仿宋_GBK" w:cs="方正仿宋_GBK"/>
          <w:sz w:val="32"/>
          <w:szCs w:val="32"/>
        </w:rPr>
        <w:t>反映用于对个人和家庭的补助支出。</w:t>
      </w:r>
    </w:p>
    <w:p w14:paraId="1C845C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（十七）其他资本性支出（支出经济分类科目类级）：</w:t>
      </w:r>
      <w:r>
        <w:rPr>
          <w:rFonts w:hint="eastAsia" w:ascii="方正仿宋_GBK" w:hAnsi="方正仿宋_GBK" w:eastAsia="方正仿宋_GBK" w:cs="方正仿宋_GBK"/>
          <w:sz w:val="32"/>
          <w:szCs w:val="32"/>
        </w:rPr>
        <w:t>反映非各级发展与改革部门集中安排的用于购置固定资产、战略性和应急性储备、土地和无形资产，以及构建基础设施、大型修缮和财政支持企业更新改造所发生的支出。</w:t>
      </w:r>
    </w:p>
    <w:p w14:paraId="707D62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七、决算公开联系方式及信息反馈渠道</w:t>
      </w:r>
    </w:p>
    <w:p w14:paraId="60B8F9D2">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  本单位决算公开信息反馈和联系方式：023-59500500。</w:t>
      </w:r>
    </w:p>
    <w:p w14:paraId="066C0E01">
      <w:pPr>
        <w:pStyle w:val="4"/>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shd w:val="clear" w:color="auto" w:fill="FFFF00"/>
        </w:rPr>
      </w:pPr>
    </w:p>
    <w:p w14:paraId="28EA91AB">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p>
    <w:p w14:paraId="727B79EC">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方正仿宋_GBK" w:hAnsi="方正仿宋_GBK" w:eastAsia="方正仿宋_GBK" w:cs="方正仿宋_GBK"/>
          <w:b w:val="0"/>
          <w:bCs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 w:name="KSOFABDC8F89">
    <w:panose1 w:val="020B0604020202020204"/>
    <w:charset w:val="86"/>
    <w:family w:val="auto"/>
    <w:pitch w:val="default"/>
    <w:sig w:usb0="00000001" w:usb1="00000000" w:usb2="00000000" w:usb3="00000000" w:csb0="00040001" w:csb1="00000000"/>
  </w:font>
  <w:font w:name="KSOFD0355493">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4D5CB6"/>
    <w:rsid w:val="001532B5"/>
    <w:rsid w:val="00177247"/>
    <w:rsid w:val="0035451D"/>
    <w:rsid w:val="00553C83"/>
    <w:rsid w:val="00746769"/>
    <w:rsid w:val="00766B82"/>
    <w:rsid w:val="00902E79"/>
    <w:rsid w:val="00940244"/>
    <w:rsid w:val="00C94CB0"/>
    <w:rsid w:val="00CF2033"/>
    <w:rsid w:val="00D43F6A"/>
    <w:rsid w:val="00DF2F18"/>
    <w:rsid w:val="00E62FF2"/>
    <w:rsid w:val="054D5CB6"/>
    <w:rsid w:val="149D10A0"/>
    <w:rsid w:val="2F761867"/>
    <w:rsid w:val="2FA868A2"/>
    <w:rsid w:val="3F2750E9"/>
    <w:rsid w:val="49D720A4"/>
    <w:rsid w:val="55050D38"/>
    <w:rsid w:val="574E1EAD"/>
    <w:rsid w:val="59203D18"/>
    <w:rsid w:val="5AED6148"/>
    <w:rsid w:val="712522C2"/>
    <w:rsid w:val="73DA14D5"/>
    <w:rsid w:val="7AA1189A"/>
    <w:rsid w:val="7C527A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7">
    <w:name w:val="Strong"/>
    <w:qFormat/>
    <w:uiPriority w:val="22"/>
    <w:rPr>
      <w:b/>
      <w:bCs/>
    </w:rPr>
  </w:style>
  <w:style w:type="character" w:customStyle="1" w:styleId="8">
    <w:name w:val="页眉 Char"/>
    <w:basedOn w:val="6"/>
    <w:link w:val="3"/>
    <w:qFormat/>
    <w:uiPriority w:val="0"/>
    <w:rPr>
      <w:kern w:val="2"/>
      <w:sz w:val="18"/>
      <w:szCs w:val="18"/>
    </w:rPr>
  </w:style>
  <w:style w:type="character" w:customStyle="1" w:styleId="9">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12</Pages>
  <Words>5633</Words>
  <Characters>6242</Characters>
  <Lines>9</Lines>
  <Paragraphs>13</Paragraphs>
  <TotalTime>1</TotalTime>
  <ScaleCrop>false</ScaleCrop>
  <LinksUpToDate>false</LinksUpToDate>
  <CharactersWithSpaces>6281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2020-08-10T13:44:00Z</dcterms:created>
  <dc:creator>Administrator</dc:creator>
  <cp:lastModifiedBy>安然弱水</cp:lastModifiedBy>
  <dcterms:modified xsi:type="dcterms:W3CDTF">2026-08-20T03:19:39Z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eyJoZGlkIjoiM2VmN2NkNzlhZDllNTk4ZDQyYWY1YjAzNzZkNTk2YWEiLCJ1c2VySWQiOiIxMzAwNjA3NzU5In0=</vt:lpwstr>
  </property>
  <property fmtid="{D5CDD505-2E9C-101B-9397-08002B2CF9AE}" pid="4" name="ICV">
    <vt:lpwstr>53149CB3EC524A389862C0A9CF04E4E2_12</vt:lpwstr>
  </property>
</Properties>
</file>