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仿宋简体"/>
          <w:b/>
          <w:color w:val="000000" w:themeColor="text1"/>
          <w:sz w:val="44"/>
          <w:szCs w:val="44"/>
        </w:rPr>
      </w:pPr>
      <w:r>
        <w:rPr>
          <w:rFonts w:hint="eastAsia" w:eastAsia="方正小标宋_GBK"/>
          <w:color w:val="000000" w:themeColor="text1"/>
          <w:sz w:val="44"/>
          <w:szCs w:val="44"/>
        </w:rPr>
        <w:t>坪坝</w:t>
      </w:r>
      <w:r>
        <w:rPr>
          <w:rFonts w:eastAsia="方正小标宋_GBK"/>
          <w:color w:val="000000" w:themeColor="text1"/>
          <w:sz w:val="44"/>
          <w:szCs w:val="44"/>
        </w:rPr>
        <w:t>镇</w:t>
      </w:r>
      <w:r>
        <w:rPr>
          <w:rFonts w:hint="eastAsia" w:eastAsia="方正小标宋_GBK"/>
          <w:color w:val="000000" w:themeColor="text1"/>
          <w:sz w:val="44"/>
          <w:szCs w:val="44"/>
        </w:rPr>
        <w:t>人民政府</w:t>
      </w:r>
      <w:r>
        <w:rPr>
          <w:rFonts w:hint="eastAsia" w:eastAsia="方正小标宋_GBK"/>
          <w:color w:val="000000" w:themeColor="text1"/>
          <w:sz w:val="44"/>
          <w:szCs w:val="44"/>
          <w:lang w:eastAsia="zh-CN"/>
        </w:rPr>
        <w:t>2024</w:t>
      </w:r>
      <w:r>
        <w:rPr>
          <w:rFonts w:eastAsia="方正小标宋_GBK"/>
          <w:color w:val="000000" w:themeColor="text1"/>
          <w:sz w:val="44"/>
          <w:szCs w:val="44"/>
        </w:rPr>
        <w:t>年财政决算（草案）报告</w:t>
      </w:r>
    </w:p>
    <w:p>
      <w:pPr>
        <w:spacing w:line="560" w:lineRule="exact"/>
        <w:jc w:val="center"/>
        <w:rPr>
          <w:rFonts w:eastAsia="方正楷体_GBK"/>
          <w:spacing w:val="-20"/>
          <w:sz w:val="30"/>
          <w:szCs w:val="32"/>
        </w:rPr>
      </w:pPr>
      <w:r>
        <w:rPr>
          <w:rFonts w:hint="eastAsia" w:eastAsia="方正楷体_GBK"/>
          <w:spacing w:val="-20"/>
          <w:sz w:val="30"/>
          <w:szCs w:val="32"/>
        </w:rPr>
        <w:t>— 202</w:t>
      </w:r>
      <w:r>
        <w:rPr>
          <w:rFonts w:hint="eastAsia" w:eastAsia="方正楷体_GBK"/>
          <w:spacing w:val="-20"/>
          <w:sz w:val="30"/>
          <w:szCs w:val="32"/>
          <w:lang w:val="en-US" w:eastAsia="zh-CN"/>
        </w:rPr>
        <w:t>5</w:t>
      </w:r>
      <w:r>
        <w:rPr>
          <w:rFonts w:hint="eastAsia" w:eastAsia="方正楷体_GBK"/>
          <w:spacing w:val="-20"/>
          <w:sz w:val="30"/>
          <w:szCs w:val="32"/>
        </w:rPr>
        <w:t xml:space="preserve">年 </w:t>
      </w:r>
      <w:r>
        <w:rPr>
          <w:rFonts w:hint="eastAsia" w:eastAsia="方正楷体_GBK"/>
          <w:spacing w:val="-20"/>
          <w:sz w:val="30"/>
          <w:szCs w:val="32"/>
          <w:lang w:val="en-US" w:eastAsia="zh-CN"/>
        </w:rPr>
        <w:t>2</w:t>
      </w:r>
      <w:r>
        <w:rPr>
          <w:rFonts w:hint="eastAsia" w:eastAsia="方正楷体_GBK"/>
          <w:spacing w:val="-20"/>
          <w:sz w:val="30"/>
          <w:szCs w:val="32"/>
        </w:rPr>
        <w:t>月</w:t>
      </w:r>
      <w:r>
        <w:rPr>
          <w:rFonts w:hint="eastAsia" w:eastAsia="方正楷体_GBK"/>
          <w:spacing w:val="-20"/>
          <w:sz w:val="30"/>
          <w:szCs w:val="32"/>
          <w:lang w:val="en-US" w:eastAsia="zh-CN"/>
        </w:rPr>
        <w:t>15</w:t>
      </w:r>
      <w:r>
        <w:rPr>
          <w:rFonts w:hint="eastAsia" w:eastAsia="方正楷体_GBK"/>
          <w:spacing w:val="-20"/>
          <w:sz w:val="30"/>
          <w:szCs w:val="32"/>
        </w:rPr>
        <w:t>日在坪坝镇第十九届人民代表大会第</w:t>
      </w:r>
      <w:r>
        <w:rPr>
          <w:rFonts w:hint="eastAsia" w:eastAsia="方正楷体_GBK"/>
          <w:spacing w:val="-20"/>
          <w:sz w:val="30"/>
          <w:szCs w:val="32"/>
          <w:lang w:eastAsia="zh-CN"/>
        </w:rPr>
        <w:t>八</w:t>
      </w:r>
      <w:r>
        <w:rPr>
          <w:rFonts w:hint="eastAsia" w:eastAsia="方正楷体_GBK"/>
          <w:spacing w:val="-20"/>
          <w:sz w:val="30"/>
          <w:szCs w:val="32"/>
        </w:rPr>
        <w:t>次会议上</w:t>
      </w:r>
    </w:p>
    <w:p>
      <w:pPr>
        <w:spacing w:beforeLines="50" w:afterLines="50" w:line="560" w:lineRule="exact"/>
        <w:ind w:firstLine="600" w:firstLineChars="200"/>
        <w:jc w:val="center"/>
        <w:rPr>
          <w:rFonts w:hint="eastAsia" w:eastAsia="方正楷体_GBK"/>
          <w:color w:val="000000" w:themeColor="text1"/>
          <w:sz w:val="32"/>
          <w:szCs w:val="32"/>
          <w:lang w:eastAsia="zh-CN"/>
        </w:rPr>
      </w:pPr>
      <w:r>
        <w:rPr>
          <w:rFonts w:hint="eastAsia" w:eastAsia="方正楷体_GBK"/>
          <w:sz w:val="30"/>
          <w:szCs w:val="32"/>
        </w:rPr>
        <w:t xml:space="preserve">坪坝镇党委委员、组织委员  </w:t>
      </w:r>
      <w:r>
        <w:rPr>
          <w:rFonts w:hint="eastAsia" w:eastAsia="方正楷体_GBK"/>
          <w:sz w:val="30"/>
          <w:szCs w:val="32"/>
          <w:lang w:eastAsia="zh-CN"/>
        </w:rPr>
        <w:t>陈国珊</w:t>
      </w:r>
    </w:p>
    <w:p>
      <w:pPr>
        <w:pStyle w:val="14"/>
        <w:tabs>
          <w:tab w:val="center" w:pos="4153"/>
          <w:tab w:val="left" w:pos="7275"/>
        </w:tabs>
        <w:spacing w:line="560" w:lineRule="exact"/>
        <w:ind w:firstLine="0" w:firstLineChars="0"/>
        <w:rPr>
          <w:rFonts w:ascii="方正仿宋_GBK" w:eastAsia="方正仿宋_GBK"/>
          <w:color w:val="000000" w:themeColor="text1"/>
          <w:sz w:val="32"/>
          <w:szCs w:val="32"/>
        </w:rPr>
      </w:pPr>
      <w:r>
        <w:rPr>
          <w:rFonts w:hint="eastAsia" w:ascii="方正仿宋_GBK" w:eastAsia="方正仿宋_GBK"/>
          <w:color w:val="000000" w:themeColor="text1"/>
          <w:sz w:val="32"/>
          <w:szCs w:val="32"/>
        </w:rPr>
        <w:t>各位代表：</w:t>
      </w:r>
    </w:p>
    <w:p>
      <w:pPr>
        <w:pStyle w:val="14"/>
        <w:tabs>
          <w:tab w:val="center" w:pos="4153"/>
          <w:tab w:val="left" w:pos="7275"/>
        </w:tabs>
        <w:spacing w:line="560" w:lineRule="exact"/>
        <w:ind w:firstLine="640"/>
        <w:rPr>
          <w:rFonts w:ascii="方正仿宋_GBK" w:hAnsi="微软雅黑" w:eastAsia="方正仿宋_GBK"/>
          <w:color w:val="000000" w:themeColor="text1"/>
          <w:sz w:val="32"/>
          <w:szCs w:val="32"/>
        </w:rPr>
      </w:pPr>
      <w:r>
        <w:rPr>
          <w:rFonts w:hint="eastAsia" w:ascii="方正仿宋_GBK" w:hAnsi="微软雅黑" w:eastAsia="方正仿宋_GBK"/>
          <w:color w:val="000000" w:themeColor="text1"/>
          <w:sz w:val="32"/>
          <w:szCs w:val="32"/>
        </w:rPr>
        <w:t>受镇人民政府委托，我向大会报告坪坝</w:t>
      </w:r>
      <w:r>
        <w:rPr>
          <w:rFonts w:eastAsia="方正仿宋_GBK"/>
          <w:color w:val="000000" w:themeColor="text1"/>
          <w:sz w:val="32"/>
          <w:szCs w:val="32"/>
        </w:rPr>
        <w:t>镇</w:t>
      </w:r>
      <w:r>
        <w:rPr>
          <w:rFonts w:hint="eastAsia" w:eastAsia="方正仿宋_GBK"/>
          <w:color w:val="000000" w:themeColor="text1"/>
          <w:sz w:val="32"/>
          <w:szCs w:val="32"/>
          <w:lang w:eastAsia="zh-CN"/>
        </w:rPr>
        <w:t>2024</w:t>
      </w:r>
      <w:r>
        <w:rPr>
          <w:rFonts w:eastAsia="方正仿宋_GBK"/>
          <w:color w:val="000000" w:themeColor="text1"/>
          <w:sz w:val="32"/>
          <w:szCs w:val="32"/>
        </w:rPr>
        <w:t>年财政</w:t>
      </w:r>
      <w:r>
        <w:rPr>
          <w:rFonts w:hint="eastAsia" w:ascii="方正仿宋_GBK" w:hAnsi="微软雅黑" w:eastAsia="方正仿宋_GBK"/>
          <w:color w:val="000000" w:themeColor="text1"/>
          <w:sz w:val="32"/>
          <w:szCs w:val="32"/>
        </w:rPr>
        <w:t>决算草案，请予审议。</w:t>
      </w:r>
    </w:p>
    <w:p>
      <w:pPr>
        <w:pStyle w:val="16"/>
        <w:tabs>
          <w:tab w:val="center" w:pos="4153"/>
          <w:tab w:val="left" w:pos="7275"/>
        </w:tabs>
        <w:spacing w:line="600" w:lineRule="exact"/>
        <w:ind w:firstLine="640"/>
        <w:rPr>
          <w:rFonts w:eastAsia="方正黑体_GBK"/>
          <w:sz w:val="32"/>
          <w:szCs w:val="32"/>
        </w:rPr>
      </w:pPr>
      <w:r>
        <w:rPr>
          <w:rFonts w:eastAsia="方正黑体_GBK"/>
          <w:sz w:val="32"/>
          <w:szCs w:val="32"/>
        </w:rPr>
        <w:t>一、单位基本情况</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color w:val="000000" w:themeColor="text1"/>
          <w:sz w:val="32"/>
          <w:szCs w:val="32"/>
        </w:rPr>
        <w:t>（一）职能职责。</w:t>
      </w:r>
      <w:r>
        <w:rPr>
          <w:rFonts w:hint="eastAsia" w:ascii="方正仿宋_GBK" w:hAnsi="方正仿宋_GBK" w:eastAsia="方正仿宋_GBK" w:cs="方正仿宋_GBK"/>
          <w:sz w:val="32"/>
          <w:szCs w:val="32"/>
          <w:shd w:val="clear" w:color="auto" w:fill="FFFFFF"/>
        </w:rPr>
        <w:t>城口县坪坝镇人民政府是城口县委、县政府领导下的一个行政单位，负责全面规划和组织实施我辖区各项行政事业的发展工作，镇人民政府作为一级基层独立核算的全额拨款预算单位，具有领导、管理、执行、决策、协调、服务等职能，肩负着党在农村的方针政策和组织、推动各项工作的任务。</w:t>
      </w:r>
    </w:p>
    <w:p>
      <w:pPr>
        <w:spacing w:line="560" w:lineRule="exact"/>
        <w:ind w:firstLine="640" w:firstLineChars="200"/>
        <w:rPr>
          <w:rFonts w:ascii="方正仿宋_GBK" w:hAnsi="方正仿宋_GBK" w:eastAsia="方正仿宋_GBK" w:cs="方正仿宋_GBK"/>
          <w:color w:val="000000"/>
          <w:kern w:val="0"/>
          <w:sz w:val="31"/>
          <w:szCs w:val="31"/>
        </w:rPr>
      </w:pPr>
      <w:r>
        <w:rPr>
          <w:rFonts w:hint="eastAsia" w:ascii="方正楷体_GBK" w:hAnsi="方正楷体_GBK" w:eastAsia="方正楷体_GBK" w:cs="方正楷体_GBK"/>
          <w:color w:val="000000" w:themeColor="text1"/>
          <w:sz w:val="32"/>
          <w:szCs w:val="32"/>
        </w:rPr>
        <w:t>（二）</w:t>
      </w:r>
      <w:r>
        <w:rPr>
          <w:rFonts w:ascii="方正楷体_GBK" w:hAnsi="方正楷体_GBK" w:eastAsia="方正楷体_GBK" w:cs="方正楷体_GBK"/>
          <w:color w:val="000000" w:themeColor="text1"/>
          <w:sz w:val="32"/>
          <w:szCs w:val="32"/>
        </w:rPr>
        <w:t>机构</w:t>
      </w:r>
      <w:r>
        <w:rPr>
          <w:rFonts w:hint="eastAsia" w:ascii="方正楷体_GBK" w:hAnsi="方正楷体_GBK" w:eastAsia="方正楷体_GBK" w:cs="方正楷体_GBK"/>
          <w:color w:val="000000" w:themeColor="text1"/>
          <w:sz w:val="32"/>
          <w:szCs w:val="32"/>
        </w:rPr>
        <w:t>设置。</w:t>
      </w:r>
      <w:r>
        <w:rPr>
          <w:rFonts w:hint="eastAsia" w:ascii="方正仿宋_GBK" w:hAnsi="方正仿宋_GBK" w:eastAsia="方正仿宋_GBK" w:cs="方正仿宋_GBK"/>
          <w:color w:val="000000"/>
          <w:kern w:val="0"/>
          <w:sz w:val="31"/>
          <w:szCs w:val="31"/>
        </w:rPr>
        <w:t>单位内设八个办公室和五个站所，即党政办公室、党群办公室、乡村振兴办公室、经济发展办公室、民政和社会事务办公室、规划建设管理环保办公室、财政办公室、平安建设办公室、坪坝镇产业发展服务中心、</w:t>
      </w:r>
      <w:r>
        <w:rPr>
          <w:rFonts w:hint="eastAsia" w:eastAsia="方正仿宋_GBK"/>
          <w:sz w:val="32"/>
          <w:szCs w:val="32"/>
        </w:rPr>
        <w:t>坪坝镇新时代文明实践服务中心、坪坝镇便民服务中心、坪坝镇村镇建设服务中心、综合行政执法大队。</w:t>
      </w:r>
    </w:p>
    <w:p>
      <w:pPr>
        <w:widowControl/>
        <w:numPr>
          <w:ilvl w:val="0"/>
          <w:numId w:val="1"/>
        </w:numPr>
        <w:ind w:firstLine="640" w:firstLineChars="200"/>
        <w:jc w:val="left"/>
        <w:rPr>
          <w:rFonts w:ascii="方正仿宋_GBK" w:hAnsi="方正仿宋_GBK" w:eastAsia="方正仿宋_GBK" w:cs="方正仿宋_GBK"/>
          <w:color w:val="000000"/>
          <w:kern w:val="0"/>
          <w:sz w:val="31"/>
          <w:szCs w:val="31"/>
        </w:rPr>
      </w:pPr>
      <w:r>
        <w:rPr>
          <w:rFonts w:hint="eastAsia" w:ascii="方正楷体_GBK" w:hAnsi="方正楷体_GBK" w:eastAsia="方正楷体_GBK" w:cs="方正楷体_GBK"/>
          <w:color w:val="000000" w:themeColor="text1"/>
          <w:sz w:val="32"/>
          <w:szCs w:val="32"/>
        </w:rPr>
        <w:t>单位构成。</w:t>
      </w:r>
      <w:r>
        <w:rPr>
          <w:rFonts w:hint="eastAsia" w:ascii="方正仿宋_GBK" w:hAnsi="方正仿宋_GBK" w:eastAsia="方正仿宋_GBK" w:cs="方正仿宋_GBK"/>
          <w:color w:val="000000"/>
          <w:kern w:val="0"/>
          <w:sz w:val="31"/>
          <w:szCs w:val="31"/>
        </w:rPr>
        <w:t>本单位无下级预算单位。</w:t>
      </w:r>
    </w:p>
    <w:p>
      <w:pPr>
        <w:spacing w:line="560" w:lineRule="exact"/>
        <w:ind w:firstLine="640" w:firstLineChars="200"/>
        <w:rPr>
          <w:rFonts w:eastAsia="方正仿宋_GBK"/>
          <w:color w:val="000000" w:themeColor="text1"/>
          <w:kern w:val="0"/>
          <w:sz w:val="32"/>
          <w:szCs w:val="32"/>
        </w:rPr>
      </w:pPr>
      <w:r>
        <w:rPr>
          <w:rFonts w:hint="eastAsia" w:eastAsia="方正黑体_GBK"/>
          <w:color w:val="000000" w:themeColor="text1"/>
          <w:sz w:val="32"/>
          <w:szCs w:val="32"/>
        </w:rPr>
        <w:t>二、</w:t>
      </w:r>
      <w:r>
        <w:rPr>
          <w:rFonts w:eastAsia="方正黑体_GBK"/>
          <w:color w:val="000000" w:themeColor="text1"/>
          <w:sz w:val="32"/>
          <w:szCs w:val="32"/>
        </w:rPr>
        <w:t>决算情况</w:t>
      </w:r>
    </w:p>
    <w:p>
      <w:pPr>
        <w:pStyle w:val="6"/>
        <w:spacing w:before="0" w:beforeAutospacing="0" w:after="0" w:afterAutospacing="0" w:line="560" w:lineRule="exact"/>
        <w:ind w:firstLine="640" w:firstLineChars="200"/>
        <w:rPr>
          <w:rFonts w:hint="eastAsia" w:ascii="方正楷体_GBK" w:hAnsi="方正楷体_GBK" w:eastAsia="方正楷体_GBK" w:cs="方正楷体_GBK"/>
          <w:color w:val="000000" w:themeColor="text1"/>
          <w:kern w:val="2"/>
          <w:sz w:val="32"/>
          <w:szCs w:val="32"/>
        </w:rPr>
      </w:pPr>
      <w:r>
        <w:rPr>
          <w:rFonts w:ascii="方正楷体_GBK" w:hAnsi="方正楷体_GBK" w:eastAsia="方正楷体_GBK" w:cs="方正楷体_GBK"/>
          <w:color w:val="000000" w:themeColor="text1"/>
          <w:kern w:val="2"/>
          <w:sz w:val="32"/>
          <w:szCs w:val="32"/>
        </w:rPr>
        <w:t>（一）收入支出决算总体情况</w:t>
      </w:r>
      <w:r>
        <w:rPr>
          <w:rFonts w:hint="eastAsia" w:ascii="方正楷体_GBK" w:hAnsi="方正楷体_GBK" w:eastAsia="方正楷体_GBK" w:cs="方正楷体_GBK"/>
          <w:color w:val="000000" w:themeColor="text1"/>
          <w:kern w:val="2"/>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hint="eastAsia" w:ascii="方正黑体_GBK" w:hAnsi="Times New Roman" w:eastAsia="方正黑体_GBK" w:cs="Times New Roman"/>
          <w:b w:val="0"/>
          <w:bCs w:val="0"/>
          <w:color w:val="000000" w:themeColor="text1"/>
          <w:sz w:val="32"/>
          <w:szCs w:val="32"/>
        </w:rPr>
        <w:t>1.总体情况。</w:t>
      </w:r>
      <w:r>
        <w:rPr>
          <w:rFonts w:hint="eastAsia" w:ascii="Times New Roman" w:hAnsi="Times New Roman" w:eastAsia="方正仿宋_GBK" w:cs="Times New Roman"/>
          <w:color w:val="000000" w:themeColor="text1"/>
          <w:sz w:val="32"/>
          <w:szCs w:val="32"/>
        </w:rPr>
        <w:t>全镇</w:t>
      </w:r>
      <w:r>
        <w:rPr>
          <w:rFonts w:ascii="Times New Roman" w:hAnsi="Times New Roman" w:eastAsia="方正仿宋_GBK" w:cs="Times New Roman"/>
          <w:color w:val="000000" w:themeColor="text1"/>
          <w:sz w:val="32"/>
          <w:szCs w:val="32"/>
        </w:rPr>
        <w:t>收入总计</w:t>
      </w:r>
      <w:r>
        <w:rPr>
          <w:rStyle w:val="15"/>
          <w:rFonts w:hint="eastAsia" w:eastAsia="方正仿宋_GBK"/>
          <w:color w:val="000000" w:themeColor="text1"/>
          <w:sz w:val="32"/>
          <w:szCs w:val="32"/>
          <w:lang w:val="en-US"/>
        </w:rPr>
        <w:t>2794.39</w:t>
      </w:r>
      <w:r>
        <w:rPr>
          <w:rFonts w:ascii="Times New Roman" w:hAnsi="Times New Roman" w:eastAsia="方正仿宋_GBK" w:cs="Times New Roman"/>
          <w:color w:val="000000" w:themeColor="text1"/>
          <w:sz w:val="32"/>
          <w:szCs w:val="32"/>
        </w:rPr>
        <w:t>万元，支出总计</w:t>
      </w:r>
      <w:r>
        <w:rPr>
          <w:rStyle w:val="15"/>
          <w:rFonts w:hint="eastAsia" w:eastAsia="方正仿宋_GBK"/>
          <w:color w:val="000000" w:themeColor="text1"/>
          <w:sz w:val="32"/>
          <w:szCs w:val="32"/>
          <w:lang w:val="en-US"/>
        </w:rPr>
        <w:t>2794.39</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rPr>
        <w:t>，</w:t>
      </w:r>
      <w:r>
        <w:rPr>
          <w:rStyle w:val="9"/>
          <w:rFonts w:ascii="Times New Roman" w:hAnsi="Times New Roman" w:eastAsia="方正仿宋_GBK" w:cs="Times New Roman"/>
          <w:b w:val="0"/>
          <w:bCs w:val="0"/>
          <w:color w:val="000000" w:themeColor="text1"/>
          <w:sz w:val="32"/>
          <w:szCs w:val="32"/>
        </w:rPr>
        <w:t>收支较上年决算数</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206.8</w:t>
      </w:r>
      <w:r>
        <w:rPr>
          <w:rStyle w:val="9"/>
          <w:rFonts w:ascii="Times New Roman" w:hAnsi="Times New Roman" w:eastAsia="方正仿宋_GBK" w:cs="Times New Roman"/>
          <w:b w:val="0"/>
          <w:bCs w:val="0"/>
          <w:color w:val="000000" w:themeColor="text1"/>
          <w:sz w:val="32"/>
          <w:szCs w:val="32"/>
        </w:rPr>
        <w:t>万元、</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6.89</w:t>
      </w:r>
      <w:r>
        <w:rPr>
          <w:rStyle w:val="9"/>
          <w:rFonts w:ascii="Times New Roman" w:hAnsi="Times New Roman" w:eastAsia="方正仿宋_GBK" w:cs="Times New Roman"/>
          <w:b w:val="0"/>
          <w:bCs w:val="0"/>
          <w:color w:val="000000" w:themeColor="text1"/>
          <w:sz w:val="32"/>
          <w:szCs w:val="32"/>
        </w:rPr>
        <w:t>%。</w:t>
      </w:r>
    </w:p>
    <w:p>
      <w:pPr>
        <w:pStyle w:val="6"/>
        <w:spacing w:before="0" w:beforeAutospacing="0" w:after="0" w:afterAutospacing="0" w:line="560" w:lineRule="exact"/>
        <w:ind w:firstLine="640" w:firstLineChars="200"/>
        <w:rPr>
          <w:rStyle w:val="9"/>
          <w:rFonts w:ascii="Times New Roman" w:hAnsi="Times New Roman" w:eastAsia="方正仿宋_GBK" w:cs="Times New Roman"/>
          <w:b w:val="0"/>
          <w:bCs w:val="0"/>
          <w:color w:val="000000" w:themeColor="text1"/>
          <w:sz w:val="32"/>
          <w:szCs w:val="32"/>
        </w:rPr>
      </w:pPr>
      <w:r>
        <w:rPr>
          <w:rStyle w:val="9"/>
          <w:rFonts w:ascii="方正黑体_GBK" w:hAnsi="Times New Roman" w:eastAsia="方正黑体_GBK" w:cs="Times New Roman"/>
          <w:b w:val="0"/>
          <w:bCs w:val="0"/>
          <w:color w:val="000000" w:themeColor="text1"/>
          <w:sz w:val="32"/>
          <w:szCs w:val="32"/>
        </w:rPr>
        <w:t>2.收入情况。</w:t>
      </w:r>
      <w:r>
        <w:rPr>
          <w:rStyle w:val="9"/>
          <w:rFonts w:hint="eastAsia" w:ascii="Times New Roman" w:hAnsi="Times New Roman" w:eastAsia="方正仿宋_GBK" w:cs="Times New Roman"/>
          <w:b w:val="0"/>
          <w:bCs w:val="0"/>
          <w:color w:val="000000" w:themeColor="text1"/>
          <w:sz w:val="32"/>
          <w:szCs w:val="32"/>
        </w:rPr>
        <w:t>全镇总</w:t>
      </w:r>
      <w:r>
        <w:rPr>
          <w:rStyle w:val="9"/>
          <w:rFonts w:ascii="Times New Roman" w:hAnsi="Times New Roman" w:eastAsia="方正仿宋_GBK" w:cs="Times New Roman"/>
          <w:b w:val="0"/>
          <w:bCs w:val="0"/>
          <w:color w:val="000000" w:themeColor="text1"/>
          <w:sz w:val="32"/>
          <w:szCs w:val="32"/>
        </w:rPr>
        <w:t>收入合计</w:t>
      </w:r>
      <w:r>
        <w:rPr>
          <w:rStyle w:val="15"/>
          <w:rFonts w:hint="eastAsia" w:eastAsia="方正仿宋_GBK"/>
          <w:color w:val="000000" w:themeColor="text1"/>
          <w:sz w:val="32"/>
          <w:szCs w:val="32"/>
          <w:lang w:val="en-US"/>
        </w:rPr>
        <w:t>2794.39</w:t>
      </w:r>
      <w:r>
        <w:rPr>
          <w:rStyle w:val="9"/>
          <w:rFonts w:ascii="Times New Roman" w:hAnsi="Times New Roman" w:eastAsia="方正仿宋_GBK" w:cs="Times New Roman"/>
          <w:b w:val="0"/>
          <w:bCs w:val="0"/>
          <w:color w:val="000000" w:themeColor="text1"/>
          <w:sz w:val="32"/>
          <w:szCs w:val="32"/>
        </w:rPr>
        <w:t>万元，较上年决算数</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206.8</w:t>
      </w:r>
      <w:r>
        <w:rPr>
          <w:rStyle w:val="9"/>
          <w:rFonts w:ascii="Times New Roman" w:hAnsi="Times New Roman" w:eastAsia="方正仿宋_GBK" w:cs="Times New Roman"/>
          <w:b w:val="0"/>
          <w:bCs w:val="0"/>
          <w:color w:val="000000" w:themeColor="text1"/>
          <w:sz w:val="32"/>
          <w:szCs w:val="32"/>
        </w:rPr>
        <w:t>万元，</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6.89</w:t>
      </w:r>
      <w:r>
        <w:rPr>
          <w:rStyle w:val="9"/>
          <w:rFonts w:ascii="Times New Roman" w:hAnsi="Times New Roman" w:eastAsia="方正仿宋_GBK" w:cs="Times New Roman"/>
          <w:b w:val="0"/>
          <w:bCs w:val="0"/>
          <w:color w:val="000000" w:themeColor="text1"/>
          <w:sz w:val="32"/>
          <w:szCs w:val="32"/>
        </w:rPr>
        <w:t>%，主要原因是</w:t>
      </w:r>
      <w:r>
        <w:rPr>
          <w:rStyle w:val="9"/>
          <w:rFonts w:hint="eastAsia" w:ascii="Times New Roman" w:hAnsi="Times New Roman" w:eastAsia="方正仿宋_GBK" w:cs="Times New Roman"/>
          <w:b w:val="0"/>
          <w:bCs w:val="0"/>
          <w:color w:val="000000" w:themeColor="text1"/>
          <w:sz w:val="32"/>
          <w:szCs w:val="32"/>
          <w:lang w:eastAsia="zh-CN"/>
        </w:rPr>
        <w:t>依据财政口径往来资金不计入收入，相比</w:t>
      </w:r>
      <w:r>
        <w:rPr>
          <w:rStyle w:val="9"/>
          <w:rFonts w:hint="eastAsia" w:ascii="Times New Roman" w:hAnsi="Times New Roman" w:eastAsia="方正仿宋_GBK" w:cs="Times New Roman"/>
          <w:b w:val="0"/>
          <w:bCs w:val="0"/>
          <w:color w:val="000000" w:themeColor="text1"/>
          <w:sz w:val="32"/>
          <w:szCs w:val="32"/>
          <w:lang w:val="en-US" w:eastAsia="zh-CN"/>
        </w:rPr>
        <w:t>2023年减少了其他收入项</w:t>
      </w:r>
      <w:r>
        <w:rPr>
          <w:rStyle w:val="9"/>
          <w:rFonts w:ascii="Times New Roman" w:hAnsi="Times New Roman" w:eastAsia="方正仿宋_GBK" w:cs="Times New Roman"/>
          <w:b w:val="0"/>
          <w:bCs w:val="0"/>
          <w:color w:val="000000" w:themeColor="text1"/>
          <w:sz w:val="32"/>
          <w:szCs w:val="32"/>
        </w:rPr>
        <w:t>。其中：财政拨款收入</w:t>
      </w:r>
      <w:r>
        <w:rPr>
          <w:rStyle w:val="15"/>
          <w:rFonts w:hint="eastAsia" w:eastAsia="方正仿宋_GBK"/>
          <w:color w:val="000000" w:themeColor="text1"/>
          <w:sz w:val="32"/>
          <w:szCs w:val="32"/>
          <w:lang w:val="en-US"/>
        </w:rPr>
        <w:t>2794.39</w:t>
      </w:r>
      <w:r>
        <w:rPr>
          <w:rStyle w:val="9"/>
          <w:rFonts w:ascii="Times New Roman" w:hAnsi="Times New Roman" w:eastAsia="方正仿宋_GBK" w:cs="Times New Roman"/>
          <w:b w:val="0"/>
          <w:bCs w:val="0"/>
          <w:color w:val="000000" w:themeColor="text1"/>
          <w:sz w:val="32"/>
          <w:szCs w:val="32"/>
        </w:rPr>
        <w:t>万元，占100%。</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方正黑体_GBK" w:hAnsi="Times New Roman" w:eastAsia="方正黑体_GBK" w:cs="Times New Roman"/>
          <w:b w:val="0"/>
          <w:bCs w:val="0"/>
          <w:color w:val="000000" w:themeColor="text1"/>
          <w:sz w:val="32"/>
          <w:szCs w:val="32"/>
        </w:rPr>
        <w:t>3.支出情况。</w:t>
      </w:r>
      <w:r>
        <w:rPr>
          <w:rFonts w:hint="eastAsia" w:ascii="Times New Roman" w:hAnsi="Times New Roman" w:eastAsia="方正仿宋_GBK" w:cs="Times New Roman"/>
          <w:color w:val="000000" w:themeColor="text1"/>
          <w:sz w:val="32"/>
          <w:szCs w:val="32"/>
        </w:rPr>
        <w:t>全镇总</w:t>
      </w:r>
      <w:r>
        <w:rPr>
          <w:rFonts w:ascii="Times New Roman" w:hAnsi="Times New Roman" w:eastAsia="方正仿宋_GBK" w:cs="Times New Roman"/>
          <w:color w:val="000000" w:themeColor="text1"/>
          <w:sz w:val="32"/>
          <w:szCs w:val="32"/>
        </w:rPr>
        <w:t>支出合计</w:t>
      </w:r>
      <w:r>
        <w:rPr>
          <w:rStyle w:val="15"/>
          <w:rFonts w:hint="eastAsia" w:eastAsia="方正仿宋_GBK"/>
          <w:color w:val="000000" w:themeColor="text1"/>
          <w:sz w:val="32"/>
          <w:szCs w:val="32"/>
          <w:lang w:val="en-US"/>
        </w:rPr>
        <w:t>2794.39</w:t>
      </w:r>
      <w:r>
        <w:rPr>
          <w:rStyle w:val="9"/>
          <w:rFonts w:hint="eastAsia" w:ascii="Times New Roman" w:hAnsi="Times New Roman" w:eastAsia="方正仿宋_GBK" w:cs="Times New Roman"/>
          <w:b w:val="0"/>
          <w:bCs w:val="0"/>
          <w:color w:val="000000" w:themeColor="text1"/>
          <w:sz w:val="32"/>
          <w:szCs w:val="32"/>
        </w:rPr>
        <w:t>万</w:t>
      </w:r>
      <w:r>
        <w:rPr>
          <w:rFonts w:ascii="Times New Roman" w:hAnsi="Times New Roman" w:eastAsia="方正仿宋_GBK" w:cs="Times New Roman"/>
          <w:color w:val="000000" w:themeColor="text1"/>
          <w:sz w:val="32"/>
          <w:szCs w:val="32"/>
        </w:rPr>
        <w:t>元</w:t>
      </w:r>
      <w:r>
        <w:rPr>
          <w:rStyle w:val="9"/>
          <w:rFonts w:ascii="Times New Roman" w:hAnsi="Times New Roman" w:eastAsia="方正仿宋_GBK" w:cs="Times New Roman"/>
          <w:b w:val="0"/>
          <w:bCs w:val="0"/>
          <w:color w:val="000000" w:themeColor="text1"/>
          <w:sz w:val="32"/>
          <w:szCs w:val="32"/>
        </w:rPr>
        <w:t>，较上年决算</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206.8</w:t>
      </w:r>
      <w:r>
        <w:rPr>
          <w:rStyle w:val="9"/>
          <w:rFonts w:ascii="Times New Roman" w:hAnsi="Times New Roman" w:eastAsia="方正仿宋_GBK" w:cs="Times New Roman"/>
          <w:b w:val="0"/>
          <w:bCs w:val="0"/>
          <w:color w:val="000000" w:themeColor="text1"/>
          <w:sz w:val="32"/>
          <w:szCs w:val="32"/>
        </w:rPr>
        <w:t>万元，</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6.89</w:t>
      </w:r>
      <w:r>
        <w:rPr>
          <w:rStyle w:val="9"/>
          <w:rFonts w:ascii="Times New Roman" w:hAnsi="Times New Roman" w:eastAsia="方正仿宋_GBK" w:cs="Times New Roman"/>
          <w:b w:val="0"/>
          <w:bCs w:val="0"/>
          <w:color w:val="000000" w:themeColor="text1"/>
          <w:sz w:val="32"/>
          <w:szCs w:val="32"/>
        </w:rPr>
        <w:t>%，主要原因是</w:t>
      </w:r>
      <w:r>
        <w:rPr>
          <w:rStyle w:val="9"/>
          <w:rFonts w:hint="eastAsia" w:ascii="Times New Roman" w:hAnsi="Times New Roman" w:eastAsia="方正仿宋_GBK" w:cs="Times New Roman"/>
          <w:b w:val="0"/>
          <w:bCs w:val="0"/>
          <w:color w:val="000000" w:themeColor="text1"/>
          <w:sz w:val="32"/>
          <w:szCs w:val="32"/>
          <w:lang w:eastAsia="zh-CN"/>
        </w:rPr>
        <w:t>减少了城乡社区</w:t>
      </w:r>
      <w:r>
        <w:rPr>
          <w:rStyle w:val="9"/>
          <w:rFonts w:hint="eastAsia" w:ascii="Times New Roman" w:hAnsi="Times New Roman" w:eastAsia="方正仿宋_GBK" w:cs="Times New Roman"/>
          <w:b w:val="0"/>
          <w:bCs w:val="0"/>
          <w:color w:val="000000" w:themeColor="text1"/>
          <w:sz w:val="32"/>
          <w:szCs w:val="32"/>
        </w:rPr>
        <w:t>支出</w:t>
      </w:r>
      <w:r>
        <w:rPr>
          <w:rStyle w:val="9"/>
          <w:rFonts w:hint="eastAsia" w:ascii="Times New Roman" w:hAnsi="Times New Roman" w:eastAsia="方正仿宋_GBK" w:cs="Times New Roman"/>
          <w:b w:val="0"/>
          <w:bCs w:val="0"/>
          <w:color w:val="000000" w:themeColor="text1"/>
          <w:sz w:val="32"/>
          <w:szCs w:val="32"/>
          <w:lang w:eastAsia="zh-CN"/>
        </w:rPr>
        <w:t>和农林水支出</w:t>
      </w:r>
      <w:r>
        <w:rPr>
          <w:rStyle w:val="9"/>
          <w:rFonts w:ascii="Times New Roman" w:hAnsi="Times New Roman" w:eastAsia="方正仿宋_GBK" w:cs="Times New Roman"/>
          <w:b w:val="0"/>
          <w:bCs w:val="0"/>
          <w:color w:val="000000" w:themeColor="text1"/>
          <w:sz w:val="32"/>
          <w:szCs w:val="32"/>
        </w:rPr>
        <w:t>。其中：基本</w:t>
      </w:r>
      <w:r>
        <w:rPr>
          <w:rStyle w:val="9"/>
          <w:rFonts w:hint="eastAsia" w:ascii="Times New Roman" w:hAnsi="Times New Roman" w:eastAsia="方正仿宋_GBK" w:cs="Times New Roman"/>
          <w:b w:val="0"/>
          <w:bCs w:val="0"/>
          <w:color w:val="000000" w:themeColor="text1"/>
          <w:sz w:val="32"/>
          <w:szCs w:val="32"/>
        </w:rPr>
        <w:t>支出</w:t>
      </w:r>
      <w:r>
        <w:rPr>
          <w:rStyle w:val="9"/>
          <w:rFonts w:hint="eastAsia" w:ascii="Times New Roman" w:hAnsi="Times New Roman" w:eastAsia="方正仿宋_GBK" w:cs="Times New Roman"/>
          <w:b w:val="0"/>
          <w:bCs w:val="0"/>
          <w:color w:val="000000" w:themeColor="text1"/>
          <w:sz w:val="32"/>
          <w:szCs w:val="32"/>
          <w:lang w:val="en-US" w:eastAsia="zh-CN"/>
        </w:rPr>
        <w:t>1028.15</w:t>
      </w:r>
      <w:r>
        <w:rPr>
          <w:rStyle w:val="9"/>
          <w:rFonts w:ascii="Times New Roman" w:hAnsi="Times New Roman" w:eastAsia="方正仿宋_GBK" w:cs="Times New Roman"/>
          <w:b w:val="0"/>
          <w:bCs w:val="0"/>
          <w:color w:val="000000" w:themeColor="text1"/>
          <w:sz w:val="32"/>
          <w:szCs w:val="32"/>
        </w:rPr>
        <w:t>万元，占</w:t>
      </w:r>
      <w:r>
        <w:rPr>
          <w:rStyle w:val="9"/>
          <w:rFonts w:hint="eastAsia" w:ascii="Times New Roman" w:hAnsi="Times New Roman" w:eastAsia="方正仿宋_GBK" w:cs="Times New Roman"/>
          <w:b w:val="0"/>
          <w:bCs w:val="0"/>
          <w:color w:val="000000" w:themeColor="text1"/>
          <w:sz w:val="32"/>
          <w:szCs w:val="32"/>
          <w:lang w:val="en-US" w:eastAsia="zh-CN"/>
        </w:rPr>
        <w:t>36.79</w:t>
      </w:r>
      <w:r>
        <w:rPr>
          <w:rStyle w:val="9"/>
          <w:rFonts w:ascii="Times New Roman" w:hAnsi="Times New Roman" w:eastAsia="方正仿宋_GBK" w:cs="Times New Roman"/>
          <w:b w:val="0"/>
          <w:bCs w:val="0"/>
          <w:color w:val="000000" w:themeColor="text1"/>
          <w:sz w:val="32"/>
          <w:szCs w:val="32"/>
        </w:rPr>
        <w:t>%</w:t>
      </w:r>
      <w:r>
        <w:rPr>
          <w:rStyle w:val="9"/>
          <w:rFonts w:hint="eastAsia" w:ascii="Times New Roman" w:hAnsi="Times New Roman" w:eastAsia="方正仿宋_GBK" w:cs="Times New Roman"/>
          <w:b w:val="0"/>
          <w:bCs w:val="0"/>
          <w:color w:val="000000" w:themeColor="text1"/>
          <w:sz w:val="32"/>
          <w:szCs w:val="32"/>
        </w:rPr>
        <w:t>，较上年</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143.45</w:t>
      </w:r>
      <w:r>
        <w:rPr>
          <w:rStyle w:val="9"/>
          <w:rFonts w:hint="eastAsia" w:ascii="Times New Roman" w:hAnsi="Times New Roman" w:eastAsia="方正仿宋_GBK" w:cs="Times New Roman"/>
          <w:b w:val="0"/>
          <w:bCs w:val="0"/>
          <w:color w:val="000000" w:themeColor="text1"/>
          <w:sz w:val="32"/>
          <w:szCs w:val="32"/>
        </w:rPr>
        <w:t>万元，</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12.24</w:t>
      </w:r>
      <w:r>
        <w:rPr>
          <w:rStyle w:val="9"/>
          <w:rFonts w:hint="eastAsia" w:ascii="Times New Roman" w:hAnsi="Times New Roman" w:eastAsia="方正仿宋_GBK" w:cs="Times New Roman"/>
          <w:b w:val="0"/>
          <w:bCs w:val="0"/>
          <w:color w:val="000000" w:themeColor="text1"/>
          <w:sz w:val="32"/>
          <w:szCs w:val="32"/>
        </w:rPr>
        <w:t>%</w:t>
      </w:r>
      <w:r>
        <w:rPr>
          <w:rStyle w:val="9"/>
          <w:rFonts w:ascii="Times New Roman" w:hAnsi="Times New Roman" w:eastAsia="方正仿宋_GBK" w:cs="Times New Roman"/>
          <w:b w:val="0"/>
          <w:bCs w:val="0"/>
          <w:color w:val="000000" w:themeColor="text1"/>
          <w:sz w:val="32"/>
          <w:szCs w:val="32"/>
        </w:rPr>
        <w:t>；项目支出</w:t>
      </w:r>
      <w:r>
        <w:rPr>
          <w:rStyle w:val="9"/>
          <w:rFonts w:hint="eastAsia" w:ascii="Times New Roman" w:hAnsi="Times New Roman" w:eastAsia="方正仿宋_GBK" w:cs="Times New Roman"/>
          <w:b w:val="0"/>
          <w:bCs w:val="0"/>
          <w:color w:val="000000" w:themeColor="text1"/>
          <w:sz w:val="32"/>
          <w:szCs w:val="32"/>
          <w:lang w:val="en-US" w:eastAsia="zh-CN"/>
        </w:rPr>
        <w:t>1766.24</w:t>
      </w:r>
      <w:r>
        <w:rPr>
          <w:rStyle w:val="9"/>
          <w:rFonts w:ascii="Times New Roman" w:hAnsi="Times New Roman" w:eastAsia="方正仿宋_GBK" w:cs="Times New Roman"/>
          <w:b w:val="0"/>
          <w:bCs w:val="0"/>
          <w:color w:val="000000" w:themeColor="text1"/>
          <w:sz w:val="32"/>
          <w:szCs w:val="32"/>
        </w:rPr>
        <w:t>万元，占</w:t>
      </w:r>
      <w:r>
        <w:rPr>
          <w:rStyle w:val="9"/>
          <w:rFonts w:hint="eastAsia" w:ascii="Times New Roman" w:hAnsi="Times New Roman" w:eastAsia="方正仿宋_GBK" w:cs="Times New Roman"/>
          <w:b w:val="0"/>
          <w:bCs w:val="0"/>
          <w:color w:val="000000" w:themeColor="text1"/>
          <w:sz w:val="32"/>
          <w:szCs w:val="32"/>
          <w:lang w:val="en-US" w:eastAsia="zh-CN"/>
        </w:rPr>
        <w:t>63.21</w:t>
      </w:r>
      <w:r>
        <w:rPr>
          <w:rStyle w:val="9"/>
          <w:rFonts w:ascii="Times New Roman" w:hAnsi="Times New Roman" w:eastAsia="方正仿宋_GBK" w:cs="Times New Roman"/>
          <w:b w:val="0"/>
          <w:bCs w:val="0"/>
          <w:color w:val="000000" w:themeColor="text1"/>
          <w:sz w:val="32"/>
          <w:szCs w:val="32"/>
        </w:rPr>
        <w:t>%</w:t>
      </w:r>
      <w:r>
        <w:rPr>
          <w:rStyle w:val="9"/>
          <w:rFonts w:hint="eastAsia" w:ascii="Times New Roman" w:hAnsi="Times New Roman" w:eastAsia="方正仿宋_GBK" w:cs="Times New Roman"/>
          <w:b w:val="0"/>
          <w:bCs w:val="0"/>
          <w:color w:val="000000" w:themeColor="text1"/>
          <w:sz w:val="32"/>
          <w:szCs w:val="32"/>
        </w:rPr>
        <w:t>，较上年</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63.35</w:t>
      </w:r>
      <w:r>
        <w:rPr>
          <w:rStyle w:val="9"/>
          <w:rFonts w:hint="eastAsia" w:ascii="Times New Roman" w:hAnsi="Times New Roman" w:eastAsia="方正仿宋_GBK" w:cs="Times New Roman"/>
          <w:b w:val="0"/>
          <w:bCs w:val="0"/>
          <w:color w:val="000000" w:themeColor="text1"/>
          <w:sz w:val="32"/>
          <w:szCs w:val="32"/>
        </w:rPr>
        <w:t>万元，</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3.46</w:t>
      </w:r>
      <w:r>
        <w:rPr>
          <w:rStyle w:val="9"/>
          <w:rFonts w:hint="eastAsia" w:ascii="Times New Roman" w:hAnsi="Times New Roman" w:eastAsia="方正仿宋_GBK" w:cs="Times New Roman"/>
          <w:b w:val="0"/>
          <w:bCs w:val="0"/>
          <w:color w:val="000000" w:themeColor="text1"/>
          <w:sz w:val="32"/>
          <w:szCs w:val="32"/>
        </w:rPr>
        <w:t>%</w:t>
      </w:r>
      <w:r>
        <w:rPr>
          <w:rStyle w:val="9"/>
          <w:rFonts w:ascii="Times New Roman" w:hAnsi="Times New Roman" w:eastAsia="方正仿宋_GBK" w:cs="Times New Roman"/>
          <w:b w:val="0"/>
          <w:bCs w:val="0"/>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hint="eastAsia" w:ascii="方正黑体_GBK" w:hAnsi="Times New Roman" w:eastAsia="方正黑体_GBK" w:cs="Times New Roman"/>
          <w:b w:val="0"/>
          <w:bCs w:val="0"/>
          <w:color w:val="000000" w:themeColor="text1"/>
          <w:sz w:val="32"/>
          <w:szCs w:val="32"/>
        </w:rPr>
        <w:t>4.结转结余情况。</w:t>
      </w:r>
      <w:r>
        <w:rPr>
          <w:rFonts w:hint="eastAsia" w:ascii="Times New Roman" w:hAnsi="Times New Roman" w:eastAsia="方正仿宋_GBK" w:cs="Times New Roman"/>
          <w:color w:val="000000" w:themeColor="text1"/>
          <w:sz w:val="32"/>
          <w:szCs w:val="32"/>
          <w:lang w:eastAsia="zh-CN"/>
        </w:rPr>
        <w:t>2024</w:t>
      </w:r>
      <w:r>
        <w:rPr>
          <w:rFonts w:ascii="Times New Roman" w:hAnsi="Times New Roman" w:eastAsia="方正仿宋_GBK" w:cs="Times New Roman"/>
          <w:color w:val="000000" w:themeColor="text1"/>
          <w:sz w:val="32"/>
          <w:szCs w:val="32"/>
        </w:rPr>
        <w:t>年年末无结转结余。</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Times New Roman" w:hAnsi="Times New Roman" w:eastAsia="方正楷体_GBK" w:cs="Times New Roman"/>
          <w:b w:val="0"/>
          <w:bCs w:val="0"/>
          <w:color w:val="000000" w:themeColor="text1"/>
          <w:sz w:val="32"/>
          <w:szCs w:val="32"/>
        </w:rPr>
        <w:t>（二）财政拨款收入支出决算总体情况</w:t>
      </w:r>
      <w:r>
        <w:rPr>
          <w:rStyle w:val="9"/>
          <w:rFonts w:hint="eastAsia" w:ascii="Times New Roman" w:hAnsi="Times New Roman" w:eastAsia="方正楷体_GBK" w:cs="Times New Roman"/>
          <w:b w:val="0"/>
          <w:bCs w:val="0"/>
          <w:color w:val="000000" w:themeColor="text1"/>
          <w:sz w:val="32"/>
          <w:szCs w:val="32"/>
        </w:rPr>
        <w:t>。</w:t>
      </w:r>
      <w:r>
        <w:rPr>
          <w:rFonts w:ascii="Times New Roman" w:hAnsi="Times New Roman" w:eastAsia="方正仿宋_GBK" w:cs="Times New Roman"/>
          <w:color w:val="000000" w:themeColor="text1"/>
          <w:sz w:val="32"/>
          <w:szCs w:val="32"/>
        </w:rPr>
        <w:t>财政拨款收、支总计</w:t>
      </w:r>
      <w:r>
        <w:rPr>
          <w:rStyle w:val="15"/>
          <w:rFonts w:hint="eastAsia" w:eastAsia="方正仿宋_GBK"/>
          <w:color w:val="000000" w:themeColor="text1"/>
          <w:sz w:val="32"/>
          <w:szCs w:val="32"/>
          <w:lang w:val="en-US"/>
        </w:rPr>
        <w:t>2794.39</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与</w:t>
      </w:r>
      <w:r>
        <w:rPr>
          <w:rFonts w:hint="eastAsia" w:ascii="Times New Roman" w:hAnsi="Times New Roman" w:eastAsia="方正仿宋_GBK" w:cs="Times New Roman"/>
          <w:color w:val="000000" w:themeColor="text1"/>
          <w:sz w:val="32"/>
          <w:szCs w:val="32"/>
          <w:lang w:eastAsia="zh-CN"/>
        </w:rPr>
        <w:t>2023</w:t>
      </w:r>
      <w:r>
        <w:rPr>
          <w:rFonts w:ascii="Times New Roman" w:hAnsi="Times New Roman" w:eastAsia="方正仿宋_GBK" w:cs="Times New Roman"/>
          <w:color w:val="000000" w:themeColor="text1"/>
          <w:sz w:val="32"/>
          <w:szCs w:val="32"/>
        </w:rPr>
        <w:t>年相比，财政拨款收、支总计各</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206.8</w:t>
      </w:r>
      <w:r>
        <w:rPr>
          <w:rFonts w:ascii="Times New Roman" w:hAnsi="Times New Roman" w:eastAsia="方正仿宋_GBK" w:cs="Times New Roman"/>
          <w:color w:val="000000" w:themeColor="text1"/>
          <w:sz w:val="32"/>
          <w:szCs w:val="32"/>
        </w:rPr>
        <w:t>万元，</w:t>
      </w:r>
      <w:r>
        <w:rPr>
          <w:rStyle w:val="9"/>
          <w:rFonts w:hint="eastAsia" w:ascii="Times New Roman" w:hAnsi="Times New Roman" w:eastAsia="方正仿宋_GBK" w:cs="Times New Roman"/>
          <w:b w:val="0"/>
          <w:bCs w:val="0"/>
          <w:color w:val="000000" w:themeColor="text1"/>
          <w:sz w:val="32"/>
          <w:szCs w:val="32"/>
          <w:lang w:eastAsia="zh-CN"/>
        </w:rPr>
        <w:t>减少</w:t>
      </w:r>
      <w:r>
        <w:rPr>
          <w:rStyle w:val="9"/>
          <w:rFonts w:hint="eastAsia" w:ascii="Times New Roman" w:hAnsi="Times New Roman" w:eastAsia="方正仿宋_GBK" w:cs="Times New Roman"/>
          <w:b w:val="0"/>
          <w:bCs w:val="0"/>
          <w:color w:val="000000" w:themeColor="text1"/>
          <w:sz w:val="32"/>
          <w:szCs w:val="32"/>
          <w:lang w:val="en-US" w:eastAsia="zh-CN"/>
        </w:rPr>
        <w:t>6.89</w:t>
      </w:r>
      <w:r>
        <w:rPr>
          <w:rStyle w:val="9"/>
          <w:rFonts w:ascii="Times New Roman" w:hAnsi="Times New Roman" w:eastAsia="方正仿宋_GBK" w:cs="Times New Roman"/>
          <w:b w:val="0"/>
          <w:bCs w:val="0"/>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主要原因是本年度</w:t>
      </w:r>
      <w:r>
        <w:rPr>
          <w:rStyle w:val="9"/>
          <w:rFonts w:hint="eastAsia" w:ascii="Times New Roman" w:hAnsi="Times New Roman" w:eastAsia="方正仿宋_GBK" w:cs="Times New Roman"/>
          <w:b w:val="0"/>
          <w:bCs w:val="0"/>
          <w:color w:val="000000" w:themeColor="text1"/>
          <w:sz w:val="32"/>
          <w:szCs w:val="32"/>
          <w:lang w:eastAsia="zh-CN"/>
        </w:rPr>
        <w:t>减少了城乡社区和农林水相关收支</w:t>
      </w:r>
      <w:r>
        <w:rPr>
          <w:rFonts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Times New Roman" w:hAnsi="Times New Roman" w:eastAsia="方正楷体_GBK" w:cs="Times New Roman"/>
          <w:b w:val="0"/>
          <w:bCs w:val="0"/>
          <w:color w:val="000000" w:themeColor="text1"/>
          <w:sz w:val="32"/>
          <w:szCs w:val="32"/>
        </w:rPr>
        <w:t>（三）一般公共预算财政拨款</w:t>
      </w:r>
      <w:r>
        <w:rPr>
          <w:rStyle w:val="9"/>
          <w:rFonts w:hint="eastAsia" w:ascii="Times New Roman" w:hAnsi="Times New Roman" w:eastAsia="方正楷体_GBK" w:cs="Times New Roman"/>
          <w:b w:val="0"/>
          <w:bCs w:val="0"/>
          <w:color w:val="000000" w:themeColor="text1"/>
          <w:sz w:val="32"/>
          <w:szCs w:val="32"/>
        </w:rPr>
        <w:t>收入</w:t>
      </w:r>
      <w:r>
        <w:rPr>
          <w:rStyle w:val="9"/>
          <w:rFonts w:ascii="Times New Roman" w:hAnsi="Times New Roman" w:eastAsia="方正楷体_GBK" w:cs="Times New Roman"/>
          <w:b w:val="0"/>
          <w:bCs w:val="0"/>
          <w:color w:val="000000" w:themeColor="text1"/>
          <w:sz w:val="32"/>
          <w:szCs w:val="32"/>
        </w:rPr>
        <w:t>支出决算情况</w:t>
      </w:r>
      <w:r>
        <w:rPr>
          <w:rStyle w:val="9"/>
          <w:rFonts w:hint="eastAsia" w:ascii="Times New Roman" w:hAnsi="Times New Roman" w:eastAsia="方正楷体_GBK" w:cs="Times New Roman"/>
          <w:b w:val="0"/>
          <w:bCs w:val="0"/>
          <w:color w:val="000000" w:themeColor="text1"/>
          <w:sz w:val="32"/>
          <w:szCs w:val="32"/>
        </w:rPr>
        <w:t>。</w:t>
      </w:r>
      <w:r>
        <w:rPr>
          <w:rStyle w:val="9"/>
          <w:rFonts w:ascii="方正黑体_GBK" w:hAnsi="Times New Roman" w:eastAsia="方正黑体_GBK" w:cs="Times New Roman"/>
          <w:b w:val="0"/>
          <w:bCs w:val="0"/>
          <w:color w:val="000000" w:themeColor="text1"/>
          <w:sz w:val="32"/>
          <w:szCs w:val="32"/>
        </w:rPr>
        <w:t>1.收入情况。</w:t>
      </w:r>
      <w:r>
        <w:rPr>
          <w:rFonts w:ascii="Times New Roman" w:hAnsi="Times New Roman" w:eastAsia="方正仿宋_GBK" w:cs="Times New Roman"/>
          <w:color w:val="000000" w:themeColor="text1"/>
          <w:sz w:val="32"/>
          <w:szCs w:val="32"/>
        </w:rPr>
        <w:t>一般公共预算财政拨款收入</w:t>
      </w:r>
      <w:r>
        <w:rPr>
          <w:rStyle w:val="15"/>
          <w:rFonts w:hint="eastAsia" w:eastAsia="方正仿宋_GBK"/>
          <w:color w:val="000000" w:themeColor="text1"/>
          <w:sz w:val="32"/>
          <w:szCs w:val="32"/>
          <w:lang w:val="en-US"/>
        </w:rPr>
        <w:t>2794.39</w:t>
      </w:r>
      <w:r>
        <w:rPr>
          <w:rFonts w:ascii="Times New Roman" w:hAnsi="Times New Roman" w:eastAsia="方正仿宋_GBK" w:cs="Times New Roman"/>
          <w:color w:val="000000" w:themeColor="text1"/>
          <w:sz w:val="32"/>
          <w:szCs w:val="32"/>
        </w:rPr>
        <w:t>万元，较上年决算数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387.5</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16.1</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lang w:eastAsia="zh-CN"/>
        </w:rPr>
        <w:t>增加了一般公共服务支出方面的</w:t>
      </w:r>
      <w:r>
        <w:rPr>
          <w:rFonts w:hint="eastAsia" w:ascii="Times New Roman" w:hAnsi="Times New Roman" w:eastAsia="方正仿宋_GBK" w:cs="Times New Roman"/>
          <w:color w:val="000000" w:themeColor="text1"/>
          <w:sz w:val="32"/>
          <w:szCs w:val="32"/>
        </w:rPr>
        <w:t>预算拨款</w:t>
      </w:r>
      <w:r>
        <w:rPr>
          <w:rFonts w:ascii="Times New Roman" w:hAnsi="Times New Roman" w:eastAsia="方正仿宋_GBK" w:cs="Times New Roman"/>
          <w:color w:val="000000" w:themeColor="text1"/>
          <w:sz w:val="32"/>
          <w:szCs w:val="32"/>
        </w:rPr>
        <w:t>。较年初预算数增加</w:t>
      </w:r>
      <w:r>
        <w:rPr>
          <w:rFonts w:hint="eastAsia" w:ascii="Times New Roman" w:hAnsi="Times New Roman" w:eastAsia="方正仿宋_GBK" w:cs="Times New Roman"/>
          <w:color w:val="000000" w:themeColor="text1"/>
          <w:sz w:val="32"/>
          <w:szCs w:val="32"/>
          <w:lang w:val="en-US" w:eastAsia="zh-CN"/>
        </w:rPr>
        <w:t>1282.65</w:t>
      </w:r>
      <w:r>
        <w:rPr>
          <w:rFonts w:ascii="Times New Roman" w:hAnsi="Times New Roman" w:eastAsia="方正仿宋_GBK" w:cs="Times New Roman"/>
          <w:color w:val="000000" w:themeColor="text1"/>
          <w:sz w:val="32"/>
          <w:szCs w:val="32"/>
        </w:rPr>
        <w:t>万元，增长</w:t>
      </w:r>
      <w:r>
        <w:rPr>
          <w:rFonts w:hint="eastAsia" w:ascii="Times New Roman" w:hAnsi="Times New Roman" w:eastAsia="方正仿宋_GBK" w:cs="Times New Roman"/>
          <w:color w:val="000000" w:themeColor="text1"/>
          <w:sz w:val="32"/>
          <w:szCs w:val="32"/>
          <w:lang w:val="en-US" w:eastAsia="zh-CN"/>
        </w:rPr>
        <w:t>84.85</w:t>
      </w:r>
      <w:r>
        <w:rPr>
          <w:rFonts w:ascii="Times New Roman" w:hAnsi="Times New Roman" w:eastAsia="方正仿宋_GBK" w:cs="Times New Roman"/>
          <w:color w:val="000000" w:themeColor="text1"/>
          <w:sz w:val="32"/>
          <w:szCs w:val="32"/>
        </w:rPr>
        <w:t>%。主要原因是年中追加安排</w:t>
      </w:r>
      <w:r>
        <w:rPr>
          <w:rFonts w:hint="eastAsia" w:ascii="Times New Roman" w:hAnsi="Times New Roman" w:eastAsia="方正仿宋_GBK" w:cs="Times New Roman"/>
          <w:color w:val="000000" w:themeColor="text1"/>
          <w:sz w:val="32"/>
          <w:szCs w:val="32"/>
        </w:rPr>
        <w:t>文化旅游体育与传媒</w:t>
      </w:r>
      <w:r>
        <w:rPr>
          <w:rFonts w:hint="eastAsia" w:ascii="Times New Roman" w:hAnsi="Times New Roman" w:eastAsia="方正仿宋_GBK" w:cs="Times New Roman"/>
          <w:color w:val="000000" w:themeColor="text1"/>
          <w:sz w:val="32"/>
          <w:szCs w:val="32"/>
          <w:lang w:eastAsia="zh-CN"/>
        </w:rPr>
        <w:t>、节能环保、农林水方面的相关预算拨款</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方正黑体_GBK" w:hAnsi="Times New Roman" w:eastAsia="方正黑体_GBK" w:cs="Times New Roman"/>
          <w:b w:val="0"/>
          <w:bCs w:val="0"/>
          <w:color w:val="000000" w:themeColor="text1"/>
          <w:sz w:val="32"/>
          <w:szCs w:val="32"/>
        </w:rPr>
        <w:t>2.支出情况。</w:t>
      </w:r>
      <w:r>
        <w:rPr>
          <w:rFonts w:ascii="Times New Roman" w:hAnsi="Times New Roman" w:eastAsia="方正仿宋_GBK" w:cs="Times New Roman"/>
          <w:color w:val="000000" w:themeColor="text1"/>
          <w:sz w:val="32"/>
          <w:szCs w:val="32"/>
        </w:rPr>
        <w:t>一般公共预算财政拨款支出</w:t>
      </w:r>
      <w:r>
        <w:rPr>
          <w:rStyle w:val="15"/>
          <w:rFonts w:hint="eastAsia" w:eastAsia="方正仿宋_GBK"/>
          <w:color w:val="000000" w:themeColor="text1"/>
          <w:sz w:val="32"/>
          <w:szCs w:val="32"/>
          <w:lang w:val="en-US"/>
        </w:rPr>
        <w:t>2794.39</w:t>
      </w:r>
      <w:r>
        <w:rPr>
          <w:rFonts w:ascii="Times New Roman" w:hAnsi="Times New Roman" w:eastAsia="方正仿宋_GBK" w:cs="Times New Roman"/>
          <w:color w:val="000000" w:themeColor="text1"/>
          <w:sz w:val="32"/>
          <w:szCs w:val="32"/>
        </w:rPr>
        <w:t>万元，较上年决算数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387.5</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16.1</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主要原因</w:t>
      </w:r>
      <w:r>
        <w:rPr>
          <w:rFonts w:hint="eastAsia" w:ascii="Times New Roman" w:hAnsi="Times New Roman" w:eastAsia="方正仿宋_GBK" w:cs="Times New Roman"/>
          <w:color w:val="000000" w:themeColor="text1"/>
          <w:sz w:val="32"/>
          <w:szCs w:val="32"/>
          <w:lang w:eastAsia="zh-CN"/>
        </w:rPr>
        <w:t>增加了一般公共服务支出方面的</w:t>
      </w:r>
      <w:r>
        <w:rPr>
          <w:rFonts w:hint="eastAsia" w:ascii="Times New Roman" w:hAnsi="Times New Roman" w:eastAsia="方正仿宋_GBK" w:cs="Times New Roman"/>
          <w:color w:val="000000" w:themeColor="text1"/>
          <w:sz w:val="32"/>
          <w:szCs w:val="32"/>
        </w:rPr>
        <w:t>预算拨款</w:t>
      </w:r>
      <w:r>
        <w:rPr>
          <w:rFonts w:ascii="Times New Roman" w:hAnsi="Times New Roman" w:eastAsia="方正仿宋_GBK" w:cs="Times New Roman"/>
          <w:color w:val="000000" w:themeColor="text1"/>
          <w:sz w:val="32"/>
          <w:szCs w:val="32"/>
        </w:rPr>
        <w:t>。较年初预算数增加</w:t>
      </w:r>
      <w:r>
        <w:rPr>
          <w:rFonts w:hint="eastAsia" w:ascii="Times New Roman" w:hAnsi="Times New Roman" w:eastAsia="方正仿宋_GBK" w:cs="Times New Roman"/>
          <w:color w:val="000000" w:themeColor="text1"/>
          <w:sz w:val="32"/>
          <w:szCs w:val="32"/>
          <w:lang w:val="en-US" w:eastAsia="zh-CN"/>
        </w:rPr>
        <w:t>1282.65</w:t>
      </w:r>
      <w:r>
        <w:rPr>
          <w:rFonts w:ascii="Times New Roman" w:hAnsi="Times New Roman" w:eastAsia="方正仿宋_GBK" w:cs="Times New Roman"/>
          <w:color w:val="000000" w:themeColor="text1"/>
          <w:sz w:val="32"/>
          <w:szCs w:val="32"/>
        </w:rPr>
        <w:t>万元，增长</w:t>
      </w:r>
      <w:r>
        <w:rPr>
          <w:rFonts w:hint="eastAsia" w:ascii="Times New Roman" w:hAnsi="Times New Roman" w:eastAsia="方正仿宋_GBK" w:cs="Times New Roman"/>
          <w:color w:val="000000" w:themeColor="text1"/>
          <w:sz w:val="32"/>
          <w:szCs w:val="32"/>
          <w:lang w:val="en-US" w:eastAsia="zh-CN"/>
        </w:rPr>
        <w:t>84.85</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主要原因是年中追加安排</w:t>
      </w:r>
      <w:r>
        <w:rPr>
          <w:rFonts w:hint="eastAsia" w:ascii="Times New Roman" w:hAnsi="Times New Roman" w:eastAsia="方正仿宋_GBK" w:cs="Times New Roman"/>
          <w:color w:val="000000" w:themeColor="text1"/>
          <w:sz w:val="32"/>
          <w:szCs w:val="32"/>
        </w:rPr>
        <w:t>文化旅游体育与传媒</w:t>
      </w:r>
      <w:r>
        <w:rPr>
          <w:rFonts w:hint="eastAsia" w:ascii="Times New Roman" w:hAnsi="Times New Roman" w:eastAsia="方正仿宋_GBK" w:cs="Times New Roman"/>
          <w:color w:val="000000" w:themeColor="text1"/>
          <w:sz w:val="32"/>
          <w:szCs w:val="32"/>
          <w:lang w:eastAsia="zh-CN"/>
        </w:rPr>
        <w:t>、节能环保、农林水方面的</w:t>
      </w:r>
      <w:r>
        <w:rPr>
          <w:rFonts w:hint="eastAsia" w:ascii="Times New Roman" w:hAnsi="Times New Roman" w:eastAsia="方正仿宋_GBK" w:cs="Times New Roman"/>
          <w:color w:val="000000" w:themeColor="text1"/>
          <w:sz w:val="32"/>
          <w:szCs w:val="32"/>
        </w:rPr>
        <w:t>支出。</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方正黑体_GBK" w:hAnsi="Times New Roman" w:eastAsia="方正黑体_GBK" w:cs="Times New Roman"/>
          <w:b w:val="0"/>
          <w:bCs w:val="0"/>
          <w:color w:val="000000" w:themeColor="text1"/>
          <w:sz w:val="32"/>
          <w:szCs w:val="32"/>
        </w:rPr>
        <w:t>3.结转结余情况。</w:t>
      </w:r>
      <w:r>
        <w:rPr>
          <w:rFonts w:hint="eastAsia" w:ascii="Times New Roman" w:hAnsi="Times New Roman" w:eastAsia="方正仿宋_GBK" w:cs="Times New Roman"/>
          <w:color w:val="000000" w:themeColor="text1"/>
          <w:sz w:val="32"/>
          <w:szCs w:val="32"/>
          <w:lang w:eastAsia="zh-CN"/>
        </w:rPr>
        <w:t>2024</w:t>
      </w:r>
      <w:r>
        <w:rPr>
          <w:rFonts w:ascii="Times New Roman" w:hAnsi="Times New Roman" w:eastAsia="方正仿宋_GBK" w:cs="Times New Roman"/>
          <w:color w:val="000000" w:themeColor="text1"/>
          <w:sz w:val="32"/>
          <w:szCs w:val="32"/>
        </w:rPr>
        <w:t>年末无一般公共预算财政拨款结转结余。</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方正黑体_GBK" w:hAnsi="Times New Roman" w:eastAsia="方正黑体_GBK" w:cs="Times New Roman"/>
          <w:b w:val="0"/>
          <w:bCs w:val="0"/>
          <w:color w:val="000000" w:themeColor="text1"/>
          <w:sz w:val="32"/>
          <w:szCs w:val="32"/>
        </w:rPr>
        <w:t>4.比较情况。</w:t>
      </w:r>
      <w:r>
        <w:rPr>
          <w:rFonts w:ascii="Times New Roman" w:hAnsi="Times New Roman" w:eastAsia="方正仿宋_GBK" w:cs="Times New Roman"/>
          <w:color w:val="000000" w:themeColor="text1"/>
          <w:sz w:val="32"/>
          <w:szCs w:val="32"/>
        </w:rPr>
        <w:t>一般公共预算财政拨款支出主要用于以下几个方面：</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（1）一般公共服务支出</w:t>
      </w:r>
      <w:r>
        <w:rPr>
          <w:rFonts w:hint="eastAsia" w:ascii="Times New Roman" w:hAnsi="Times New Roman" w:eastAsia="方正仿宋_GBK" w:cs="Times New Roman"/>
          <w:color w:val="000000" w:themeColor="text1"/>
          <w:sz w:val="32"/>
          <w:szCs w:val="32"/>
          <w:lang w:val="en-US" w:eastAsia="zh-CN"/>
        </w:rPr>
        <w:t>882.68</w:t>
      </w:r>
      <w:r>
        <w:rPr>
          <w:rFonts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31.59</w:t>
      </w:r>
      <w:r>
        <w:rPr>
          <w:rFonts w:ascii="Times New Roman" w:hAnsi="Times New Roman" w:eastAsia="方正仿宋_GBK" w:cs="Times New Roman"/>
          <w:color w:val="000000" w:themeColor="text1"/>
          <w:sz w:val="32"/>
          <w:szCs w:val="32"/>
        </w:rPr>
        <w:t>%，较</w:t>
      </w:r>
      <w:r>
        <w:rPr>
          <w:rFonts w:hint="eastAsia" w:ascii="Times New Roman" w:hAnsi="Times New Roman" w:eastAsia="方正仿宋_GBK" w:cs="Times New Roman"/>
          <w:color w:val="000000" w:themeColor="text1"/>
          <w:sz w:val="32"/>
          <w:szCs w:val="32"/>
        </w:rPr>
        <w:t>年初预算数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47.12</w:t>
      </w:r>
      <w:r>
        <w:rPr>
          <w:rFonts w:hint="eastAsia"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5.64</w:t>
      </w:r>
      <w:r>
        <w:rPr>
          <w:rFonts w:hint="eastAsia"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lang w:eastAsia="zh-CN"/>
        </w:rPr>
        <w:t>年中追加了非税等公用经费的支出</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（2）</w:t>
      </w:r>
      <w:r>
        <w:rPr>
          <w:rFonts w:hint="eastAsia" w:ascii="Times New Roman" w:hAnsi="Times New Roman" w:eastAsia="方正仿宋_GBK" w:cs="Times New Roman"/>
          <w:color w:val="000000" w:themeColor="text1"/>
          <w:sz w:val="32"/>
          <w:szCs w:val="32"/>
          <w:lang w:eastAsia="zh-CN"/>
        </w:rPr>
        <w:t>节能环保</w:t>
      </w:r>
      <w:r>
        <w:rPr>
          <w:rFonts w:hint="eastAsia" w:ascii="Times New Roman" w:hAnsi="Times New Roman" w:eastAsia="方正仿宋_GBK" w:cs="Times New Roman"/>
          <w:color w:val="000000" w:themeColor="text1"/>
          <w:sz w:val="32"/>
          <w:szCs w:val="32"/>
        </w:rPr>
        <w:t>支出</w:t>
      </w:r>
      <w:r>
        <w:rPr>
          <w:rFonts w:hint="eastAsia" w:ascii="Times New Roman" w:hAnsi="Times New Roman" w:eastAsia="方正仿宋_GBK" w:cs="Times New Roman"/>
          <w:color w:val="000000" w:themeColor="text1"/>
          <w:sz w:val="32"/>
          <w:szCs w:val="32"/>
          <w:lang w:val="en-US" w:eastAsia="zh-CN"/>
        </w:rPr>
        <w:t>1.8</w:t>
      </w:r>
      <w:r>
        <w:rPr>
          <w:rFonts w:hint="eastAsia"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0.06</w:t>
      </w:r>
      <w:r>
        <w:rPr>
          <w:rFonts w:hint="eastAsia" w:ascii="Times New Roman" w:hAnsi="Times New Roman" w:eastAsia="方正仿宋_GBK" w:cs="Times New Roman"/>
          <w:color w:val="000000" w:themeColor="text1"/>
          <w:sz w:val="32"/>
          <w:szCs w:val="32"/>
        </w:rPr>
        <w:t>%，较年初预算数增加</w:t>
      </w:r>
      <w:r>
        <w:rPr>
          <w:rFonts w:hint="eastAsia" w:ascii="Times New Roman" w:hAnsi="Times New Roman" w:eastAsia="方正仿宋_GBK" w:cs="Times New Roman"/>
          <w:color w:val="000000" w:themeColor="text1"/>
          <w:sz w:val="32"/>
          <w:szCs w:val="32"/>
          <w:lang w:val="en-US" w:eastAsia="zh-CN"/>
        </w:rPr>
        <w:t>1.8万元，主要原因是该笔支出为年中追加安排的中央农村环境整治资金</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3</w:t>
      </w:r>
      <w:r>
        <w:rPr>
          <w:rFonts w:ascii="Times New Roman" w:hAnsi="Times New Roman" w:eastAsia="方正仿宋_GBK" w:cs="Times New Roman"/>
          <w:color w:val="000000" w:themeColor="text1"/>
          <w:sz w:val="32"/>
          <w:szCs w:val="32"/>
        </w:rPr>
        <w:t>）文化旅游体育与传媒支出</w:t>
      </w:r>
      <w:r>
        <w:rPr>
          <w:rFonts w:hint="eastAsia" w:ascii="Times New Roman" w:hAnsi="Times New Roman" w:eastAsia="方正仿宋_GBK" w:cs="Times New Roman"/>
          <w:color w:val="000000" w:themeColor="text1"/>
          <w:sz w:val="32"/>
          <w:szCs w:val="32"/>
          <w:lang w:val="en-US" w:eastAsia="zh-CN"/>
        </w:rPr>
        <w:t>21.58</w:t>
      </w:r>
      <w:r>
        <w:rPr>
          <w:rFonts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0.77</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较年初预算数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9.48</w:t>
      </w:r>
      <w:r>
        <w:rPr>
          <w:rFonts w:hint="eastAsia"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78.35</w:t>
      </w:r>
      <w:r>
        <w:rPr>
          <w:rFonts w:hint="eastAsia"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lang w:eastAsia="zh-CN"/>
        </w:rPr>
        <w:t>年中追加安排了文化免费开放资金的相关支出</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 xml:space="preserve"> </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4</w:t>
      </w:r>
      <w:r>
        <w:rPr>
          <w:rFonts w:ascii="Times New Roman" w:hAnsi="Times New Roman" w:eastAsia="方正仿宋_GBK" w:cs="Times New Roman"/>
          <w:color w:val="000000" w:themeColor="text1"/>
          <w:sz w:val="32"/>
          <w:szCs w:val="32"/>
        </w:rPr>
        <w:t>）社会保障与就业支出</w:t>
      </w:r>
      <w:r>
        <w:rPr>
          <w:rFonts w:hint="eastAsia" w:ascii="Times New Roman" w:hAnsi="Times New Roman" w:eastAsia="方正仿宋_GBK" w:cs="Times New Roman"/>
          <w:color w:val="000000" w:themeColor="text1"/>
          <w:sz w:val="32"/>
          <w:szCs w:val="32"/>
          <w:lang w:val="en-US" w:eastAsia="zh-CN"/>
        </w:rPr>
        <w:t>267.65</w:t>
      </w:r>
      <w:r>
        <w:rPr>
          <w:rFonts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9.58</w:t>
      </w:r>
      <w:r>
        <w:rPr>
          <w:rFonts w:ascii="Times New Roman" w:hAnsi="Times New Roman" w:eastAsia="方正仿宋_GBK" w:cs="Times New Roman"/>
          <w:color w:val="000000" w:themeColor="text1"/>
          <w:sz w:val="32"/>
          <w:szCs w:val="32"/>
        </w:rPr>
        <w:t>%，较</w:t>
      </w:r>
      <w:r>
        <w:rPr>
          <w:rFonts w:hint="eastAsia" w:ascii="Times New Roman" w:hAnsi="Times New Roman" w:eastAsia="方正仿宋_GBK" w:cs="Times New Roman"/>
          <w:color w:val="000000" w:themeColor="text1"/>
          <w:sz w:val="32"/>
          <w:szCs w:val="32"/>
        </w:rPr>
        <w:t>年初预算数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14.1</w:t>
      </w:r>
      <w:r>
        <w:rPr>
          <w:rFonts w:hint="eastAsia"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5.56</w:t>
      </w:r>
      <w:r>
        <w:rPr>
          <w:rFonts w:hint="eastAsia"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lang w:eastAsia="zh-CN"/>
        </w:rPr>
        <w:t>年中相关事业站所结构调整，人员存在调动</w:t>
      </w:r>
      <w:r>
        <w:rPr>
          <w:rFonts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5</w:t>
      </w:r>
      <w:r>
        <w:rPr>
          <w:rFonts w:ascii="Times New Roman" w:hAnsi="Times New Roman" w:eastAsia="方正仿宋_GBK" w:cs="Times New Roman"/>
          <w:color w:val="000000" w:themeColor="text1"/>
          <w:sz w:val="32"/>
          <w:szCs w:val="32"/>
        </w:rPr>
        <w:t>）卫生健康支出</w:t>
      </w:r>
      <w:r>
        <w:rPr>
          <w:rFonts w:hint="eastAsia" w:ascii="Times New Roman" w:hAnsi="Times New Roman" w:eastAsia="方正仿宋_GBK" w:cs="Times New Roman"/>
          <w:color w:val="000000" w:themeColor="text1"/>
          <w:sz w:val="32"/>
          <w:szCs w:val="32"/>
          <w:lang w:val="en-US" w:eastAsia="zh-CN"/>
        </w:rPr>
        <w:t>50.58</w:t>
      </w:r>
      <w:r>
        <w:rPr>
          <w:rFonts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1.81</w:t>
      </w:r>
      <w:r>
        <w:rPr>
          <w:rFonts w:ascii="Times New Roman" w:hAnsi="Times New Roman" w:eastAsia="方正仿宋_GBK" w:cs="Times New Roman"/>
          <w:color w:val="000000" w:themeColor="text1"/>
          <w:sz w:val="32"/>
          <w:szCs w:val="32"/>
        </w:rPr>
        <w:t>%，较</w:t>
      </w:r>
      <w:r>
        <w:rPr>
          <w:rFonts w:hint="eastAsia" w:ascii="Times New Roman" w:hAnsi="Times New Roman" w:eastAsia="方正仿宋_GBK" w:cs="Times New Roman"/>
          <w:color w:val="000000" w:themeColor="text1"/>
          <w:sz w:val="32"/>
          <w:szCs w:val="32"/>
        </w:rPr>
        <w:t>年初预算数减少了</w:t>
      </w:r>
      <w:r>
        <w:rPr>
          <w:rFonts w:hint="eastAsia" w:ascii="Times New Roman" w:hAnsi="Times New Roman" w:eastAsia="方正仿宋_GBK" w:cs="Times New Roman"/>
          <w:color w:val="000000" w:themeColor="text1"/>
          <w:sz w:val="32"/>
          <w:szCs w:val="32"/>
          <w:lang w:val="en-US" w:eastAsia="zh-CN"/>
        </w:rPr>
        <w:t>0.29</w:t>
      </w:r>
      <w:r>
        <w:rPr>
          <w:rFonts w:hint="eastAsia" w:ascii="Times New Roman" w:hAnsi="Times New Roman" w:eastAsia="方正仿宋_GBK" w:cs="Times New Roman"/>
          <w:color w:val="000000" w:themeColor="text1"/>
          <w:sz w:val="32"/>
          <w:szCs w:val="32"/>
        </w:rPr>
        <w:t>万元，减少</w:t>
      </w:r>
      <w:r>
        <w:rPr>
          <w:rFonts w:hint="eastAsia" w:ascii="Times New Roman" w:hAnsi="Times New Roman" w:eastAsia="方正仿宋_GBK" w:cs="Times New Roman"/>
          <w:color w:val="000000" w:themeColor="text1"/>
          <w:sz w:val="32"/>
          <w:szCs w:val="32"/>
          <w:lang w:val="en-US" w:eastAsia="zh-CN"/>
        </w:rPr>
        <w:t>0.57</w:t>
      </w:r>
      <w:r>
        <w:rPr>
          <w:rFonts w:hint="eastAsia"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lang w:eastAsia="zh-CN"/>
        </w:rPr>
        <w:t>年中相关事业站所结构调整，人员存在调动</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（6）</w:t>
      </w:r>
      <w:r>
        <w:rPr>
          <w:rFonts w:ascii="Times New Roman" w:hAnsi="Times New Roman" w:eastAsia="方正仿宋_GBK" w:cs="Times New Roman"/>
          <w:color w:val="000000" w:themeColor="text1"/>
          <w:sz w:val="32"/>
          <w:szCs w:val="32"/>
        </w:rPr>
        <w:t>城乡社区支出</w:t>
      </w:r>
      <w:r>
        <w:rPr>
          <w:rFonts w:hint="eastAsia" w:ascii="Times New Roman" w:hAnsi="Times New Roman" w:eastAsia="方正仿宋_GBK" w:cs="Times New Roman"/>
          <w:color w:val="000000" w:themeColor="text1"/>
          <w:sz w:val="32"/>
          <w:szCs w:val="32"/>
          <w:lang w:val="en-US" w:eastAsia="zh-CN"/>
        </w:rPr>
        <w:t>2.71</w:t>
      </w:r>
      <w:r>
        <w:rPr>
          <w:rFonts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0.1</w:t>
      </w:r>
      <w:r>
        <w:rPr>
          <w:rFonts w:ascii="Times New Roman" w:hAnsi="Times New Roman" w:eastAsia="方正仿宋_GBK" w:cs="Times New Roman"/>
          <w:color w:val="000000" w:themeColor="text1"/>
          <w:sz w:val="32"/>
          <w:szCs w:val="32"/>
        </w:rPr>
        <w:t>%，较</w:t>
      </w:r>
      <w:r>
        <w:rPr>
          <w:rFonts w:hint="eastAsia" w:ascii="Times New Roman" w:hAnsi="Times New Roman" w:eastAsia="方正仿宋_GBK" w:cs="Times New Roman"/>
          <w:color w:val="000000" w:themeColor="text1"/>
          <w:sz w:val="32"/>
          <w:szCs w:val="32"/>
        </w:rPr>
        <w:t>年初预算数</w:t>
      </w:r>
      <w:r>
        <w:rPr>
          <w:rFonts w:hint="eastAsia" w:ascii="Times New Roman" w:hAnsi="Times New Roman" w:eastAsia="方正仿宋_GBK" w:cs="Times New Roman"/>
          <w:color w:val="000000" w:themeColor="text1"/>
          <w:sz w:val="32"/>
          <w:szCs w:val="32"/>
          <w:lang w:eastAsia="zh-CN"/>
        </w:rPr>
        <w:t>无变化</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7</w:t>
      </w:r>
      <w:r>
        <w:rPr>
          <w:rFonts w:ascii="Times New Roman" w:hAnsi="Times New Roman" w:eastAsia="方正仿宋_GBK" w:cs="Times New Roman"/>
          <w:color w:val="000000" w:themeColor="text1"/>
          <w:sz w:val="32"/>
          <w:szCs w:val="32"/>
        </w:rPr>
        <w:t>）农林水支出</w:t>
      </w:r>
      <w:r>
        <w:rPr>
          <w:rFonts w:hint="eastAsia" w:ascii="Times New Roman" w:hAnsi="Times New Roman" w:eastAsia="方正仿宋_GBK" w:cs="Times New Roman"/>
          <w:color w:val="000000" w:themeColor="text1"/>
          <w:sz w:val="32"/>
          <w:szCs w:val="32"/>
          <w:lang w:val="en-US" w:eastAsia="zh-CN"/>
        </w:rPr>
        <w:t>1477.67</w:t>
      </w:r>
      <w:r>
        <w:rPr>
          <w:rFonts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52.88</w:t>
      </w:r>
      <w:r>
        <w:rPr>
          <w:rFonts w:ascii="Times New Roman" w:hAnsi="Times New Roman" w:eastAsia="方正仿宋_GBK" w:cs="Times New Roman"/>
          <w:color w:val="000000" w:themeColor="text1"/>
          <w:sz w:val="32"/>
          <w:szCs w:val="32"/>
        </w:rPr>
        <w:t>%，较</w:t>
      </w:r>
      <w:r>
        <w:rPr>
          <w:rFonts w:hint="eastAsia" w:ascii="Times New Roman" w:hAnsi="Times New Roman" w:eastAsia="方正仿宋_GBK" w:cs="Times New Roman"/>
          <w:color w:val="000000" w:themeColor="text1"/>
          <w:sz w:val="32"/>
          <w:szCs w:val="32"/>
        </w:rPr>
        <w:t>年初预算数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1177.32</w:t>
      </w:r>
      <w:r>
        <w:rPr>
          <w:rFonts w:hint="eastAsia"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391.98</w:t>
      </w:r>
      <w:r>
        <w:rPr>
          <w:rFonts w:hint="eastAsia"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lang w:eastAsia="zh-CN"/>
        </w:rPr>
        <w:t>年中追加安排了数项衔接资金及城口县坪坝镇2024年巴渝和美乡村示范村达标村创建项目、城口县2024年坪坝镇农村旧房提升项目、城口县2024年坪坝镇猪肉精深加工项目、城口县2024年猪肉加工新产品开发项目等项目资金支出</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8</w:t>
      </w:r>
      <w:r>
        <w:rPr>
          <w:rFonts w:ascii="Times New Roman" w:hAnsi="Times New Roman" w:eastAsia="方正仿宋_GBK" w:cs="Times New Roman"/>
          <w:color w:val="000000" w:themeColor="text1"/>
          <w:sz w:val="32"/>
          <w:szCs w:val="32"/>
        </w:rPr>
        <w:t>）住房保障支出</w:t>
      </w:r>
      <w:r>
        <w:rPr>
          <w:rFonts w:hint="eastAsia" w:ascii="Times New Roman" w:hAnsi="Times New Roman" w:eastAsia="方正仿宋_GBK" w:cs="Times New Roman"/>
          <w:color w:val="000000" w:themeColor="text1"/>
          <w:sz w:val="32"/>
          <w:szCs w:val="32"/>
          <w:lang w:val="en-US" w:eastAsia="zh-CN"/>
        </w:rPr>
        <w:t>56.43</w:t>
      </w:r>
      <w:r>
        <w:rPr>
          <w:rFonts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2.02</w:t>
      </w:r>
      <w:r>
        <w:rPr>
          <w:rFonts w:ascii="Times New Roman" w:hAnsi="Times New Roman" w:eastAsia="方正仿宋_GBK" w:cs="Times New Roman"/>
          <w:color w:val="000000" w:themeColor="text1"/>
          <w:sz w:val="32"/>
          <w:szCs w:val="32"/>
        </w:rPr>
        <w:t>%，较</w:t>
      </w:r>
      <w:r>
        <w:rPr>
          <w:rFonts w:hint="eastAsia" w:ascii="Times New Roman" w:hAnsi="Times New Roman" w:eastAsia="方正仿宋_GBK" w:cs="Times New Roman"/>
          <w:color w:val="000000" w:themeColor="text1"/>
          <w:sz w:val="32"/>
          <w:szCs w:val="32"/>
        </w:rPr>
        <w:t>年初预算数</w:t>
      </w:r>
      <w:r>
        <w:rPr>
          <w:rFonts w:hint="eastAsia" w:ascii="Times New Roman" w:hAnsi="Times New Roman" w:eastAsia="方正仿宋_GBK" w:cs="Times New Roman"/>
          <w:color w:val="000000" w:themeColor="text1"/>
          <w:sz w:val="32"/>
          <w:szCs w:val="32"/>
          <w:lang w:eastAsia="zh-CN"/>
        </w:rPr>
        <w:t>减少</w:t>
      </w:r>
      <w:r>
        <w:rPr>
          <w:rFonts w:hint="eastAsia" w:ascii="Times New Roman" w:hAnsi="Times New Roman" w:eastAsia="方正仿宋_GBK" w:cs="Times New Roman"/>
          <w:color w:val="000000" w:themeColor="text1"/>
          <w:sz w:val="32"/>
          <w:szCs w:val="32"/>
          <w:lang w:val="en-US" w:eastAsia="zh-CN"/>
        </w:rPr>
        <w:t>0.19万元，主要原因是人员变动</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（9）</w:t>
      </w:r>
      <w:r>
        <w:rPr>
          <w:rFonts w:hint="eastAsia" w:ascii="Times New Roman" w:hAnsi="Times New Roman" w:eastAsia="方正仿宋_GBK" w:cs="Times New Roman"/>
          <w:color w:val="000000" w:themeColor="text1"/>
          <w:sz w:val="32"/>
          <w:szCs w:val="32"/>
          <w:lang w:eastAsia="zh-CN"/>
        </w:rPr>
        <w:t>商业服务业等</w:t>
      </w:r>
      <w:r>
        <w:rPr>
          <w:rFonts w:hint="eastAsia" w:ascii="Times New Roman" w:hAnsi="Times New Roman" w:eastAsia="方正仿宋_GBK" w:cs="Times New Roman"/>
          <w:color w:val="000000" w:themeColor="text1"/>
          <w:sz w:val="32"/>
          <w:szCs w:val="32"/>
        </w:rPr>
        <w:t>支出</w:t>
      </w:r>
      <w:r>
        <w:rPr>
          <w:rFonts w:hint="eastAsia" w:ascii="Times New Roman" w:hAnsi="Times New Roman" w:eastAsia="方正仿宋_GBK" w:cs="Times New Roman"/>
          <w:color w:val="000000" w:themeColor="text1"/>
          <w:sz w:val="32"/>
          <w:szCs w:val="32"/>
          <w:lang w:val="en-US" w:eastAsia="zh-CN"/>
        </w:rPr>
        <w:t>30</w:t>
      </w:r>
      <w:r>
        <w:rPr>
          <w:rFonts w:hint="eastAsia" w:ascii="Times New Roman" w:hAnsi="Times New Roman" w:eastAsia="方正仿宋_GBK" w:cs="Times New Roman"/>
          <w:color w:val="000000" w:themeColor="text1"/>
          <w:sz w:val="32"/>
          <w:szCs w:val="32"/>
        </w:rPr>
        <w:t>万元，占</w:t>
      </w:r>
      <w:r>
        <w:rPr>
          <w:rFonts w:hint="eastAsia" w:ascii="Times New Roman" w:hAnsi="Times New Roman" w:eastAsia="方正仿宋_GBK" w:cs="Times New Roman"/>
          <w:color w:val="000000" w:themeColor="text1"/>
          <w:sz w:val="32"/>
          <w:szCs w:val="32"/>
          <w:lang w:val="en-US" w:eastAsia="zh-CN"/>
        </w:rPr>
        <w:t>1.07</w:t>
      </w:r>
      <w:r>
        <w:rPr>
          <w:rFonts w:hint="eastAsia" w:ascii="Times New Roman" w:hAnsi="Times New Roman" w:eastAsia="方正仿宋_GBK" w:cs="Times New Roman"/>
          <w:color w:val="000000" w:themeColor="text1"/>
          <w:sz w:val="32"/>
          <w:szCs w:val="32"/>
        </w:rPr>
        <w:t>%，较年初预算数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30</w:t>
      </w:r>
      <w:r>
        <w:rPr>
          <w:rFonts w:hint="eastAsia"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100</w:t>
      </w:r>
      <w:r>
        <w:rPr>
          <w:rFonts w:hint="eastAsia"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lang w:eastAsia="zh-CN"/>
        </w:rPr>
        <w:t>该笔支出为年中追加安排的城口县坪坝镇商贸中心改造项目资金支出</w:t>
      </w:r>
      <w:r>
        <w:rPr>
          <w:rFonts w:hint="eastAsia"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10</w:t>
      </w:r>
      <w:r>
        <w:rPr>
          <w:rFonts w:ascii="Times New Roman" w:hAnsi="Times New Roman" w:eastAsia="方正仿宋_GBK" w:cs="Times New Roman"/>
          <w:color w:val="000000" w:themeColor="text1"/>
          <w:sz w:val="32"/>
          <w:szCs w:val="32"/>
        </w:rPr>
        <w:t>）灾害防治及应急管理支出</w:t>
      </w:r>
      <w:r>
        <w:rPr>
          <w:rFonts w:hint="eastAsia" w:ascii="Times New Roman" w:hAnsi="Times New Roman" w:eastAsia="方正仿宋_GBK" w:cs="Times New Roman"/>
          <w:color w:val="000000" w:themeColor="text1"/>
          <w:sz w:val="32"/>
          <w:szCs w:val="32"/>
          <w:lang w:val="en-US" w:eastAsia="zh-CN"/>
        </w:rPr>
        <w:t>3.29</w:t>
      </w:r>
      <w:r>
        <w:rPr>
          <w:rFonts w:hint="eastAsia" w:ascii="Times New Roman" w:hAnsi="Times New Roman" w:eastAsia="方正仿宋_GBK" w:cs="Times New Roman"/>
          <w:color w:val="000000" w:themeColor="text1"/>
          <w:sz w:val="32"/>
          <w:szCs w:val="32"/>
        </w:rPr>
        <w:t>万元</w:t>
      </w:r>
      <w:r>
        <w:rPr>
          <w:rFonts w:ascii="Times New Roman" w:hAnsi="Times New Roman" w:eastAsia="方正仿宋_GBK" w:cs="Times New Roman"/>
          <w:color w:val="000000" w:themeColor="text1"/>
          <w:sz w:val="32"/>
          <w:szCs w:val="32"/>
        </w:rPr>
        <w:t>，占</w:t>
      </w:r>
      <w:r>
        <w:rPr>
          <w:rFonts w:hint="eastAsia" w:ascii="Times New Roman" w:hAnsi="Times New Roman" w:eastAsia="方正仿宋_GBK" w:cs="Times New Roman"/>
          <w:color w:val="000000" w:themeColor="text1"/>
          <w:sz w:val="32"/>
          <w:szCs w:val="32"/>
          <w:lang w:val="en-US" w:eastAsia="zh-CN"/>
        </w:rPr>
        <w:t>0.12</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较年初预算数</w:t>
      </w:r>
      <w:r>
        <w:rPr>
          <w:rFonts w:hint="eastAsia" w:ascii="Times New Roman" w:hAnsi="Times New Roman" w:eastAsia="方正仿宋_GBK" w:cs="Times New Roman"/>
          <w:color w:val="000000" w:themeColor="text1"/>
          <w:sz w:val="32"/>
          <w:szCs w:val="32"/>
          <w:lang w:eastAsia="zh-CN"/>
        </w:rPr>
        <w:t>增加</w:t>
      </w:r>
      <w:r>
        <w:rPr>
          <w:rFonts w:hint="eastAsia" w:ascii="Times New Roman" w:hAnsi="Times New Roman" w:eastAsia="方正仿宋_GBK" w:cs="Times New Roman"/>
          <w:color w:val="000000" w:themeColor="text1"/>
          <w:sz w:val="32"/>
          <w:szCs w:val="32"/>
          <w:lang w:val="en-US" w:eastAsia="zh-CN"/>
        </w:rPr>
        <w:t>3.28万元，主要原因是该笔支出为年中追加安排的2023年和2024年中央自然灾害救灾补助资金支出</w:t>
      </w:r>
      <w:r>
        <w:rPr>
          <w:rFonts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Times New Roman" w:hAnsi="Times New Roman" w:eastAsia="方正楷体_GBK" w:cs="Times New Roman"/>
          <w:b w:val="0"/>
          <w:bCs w:val="0"/>
          <w:color w:val="000000" w:themeColor="text1"/>
          <w:sz w:val="32"/>
          <w:szCs w:val="32"/>
        </w:rPr>
        <w:t>（四）一般公共预算财政拨款基本支出决算情况</w:t>
      </w:r>
      <w:r>
        <w:rPr>
          <w:rStyle w:val="9"/>
          <w:rFonts w:hint="eastAsia" w:ascii="Times New Roman" w:hAnsi="Times New Roman" w:eastAsia="方正楷体_GBK" w:cs="Times New Roman"/>
          <w:b w:val="0"/>
          <w:bCs w:val="0"/>
          <w:color w:val="000000" w:themeColor="text1"/>
          <w:sz w:val="32"/>
          <w:szCs w:val="32"/>
        </w:rPr>
        <w:t>。</w:t>
      </w:r>
      <w:r>
        <w:rPr>
          <w:rFonts w:ascii="Times New Roman" w:hAnsi="Times New Roman" w:eastAsia="方正仿宋_GBK" w:cs="Times New Roman"/>
          <w:color w:val="000000" w:themeColor="text1"/>
          <w:sz w:val="32"/>
          <w:szCs w:val="32"/>
        </w:rPr>
        <w:t>一般公共财政拨款基本支出</w:t>
      </w:r>
      <w:r>
        <w:rPr>
          <w:rFonts w:hint="eastAsia" w:ascii="Times New Roman" w:hAnsi="Times New Roman" w:eastAsia="方正仿宋_GBK" w:cs="Times New Roman"/>
          <w:color w:val="000000" w:themeColor="text1"/>
          <w:sz w:val="32"/>
          <w:szCs w:val="32"/>
          <w:lang w:val="en-US" w:eastAsia="zh-CN"/>
        </w:rPr>
        <w:t>1028.15</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其中</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人员经费</w:t>
      </w:r>
      <w:r>
        <w:rPr>
          <w:rFonts w:hint="eastAsia" w:ascii="Times New Roman" w:hAnsi="Times New Roman" w:eastAsia="方正仿宋_GBK" w:cs="Times New Roman"/>
          <w:color w:val="000000" w:themeColor="text1"/>
          <w:sz w:val="32"/>
          <w:szCs w:val="32"/>
          <w:lang w:val="en-US" w:eastAsia="zh-CN"/>
        </w:rPr>
        <w:t>894.75</w:t>
      </w:r>
      <w:r>
        <w:rPr>
          <w:rFonts w:ascii="Times New Roman" w:hAnsi="Times New Roman" w:eastAsia="方正仿宋_GBK" w:cs="Times New Roman"/>
          <w:color w:val="000000" w:themeColor="text1"/>
          <w:sz w:val="32"/>
          <w:szCs w:val="32"/>
        </w:rPr>
        <w:t>万元，较上年决算数</w:t>
      </w:r>
      <w:r>
        <w:rPr>
          <w:rFonts w:hint="eastAsia" w:ascii="Times New Roman" w:hAnsi="Times New Roman" w:eastAsia="方正仿宋_GBK" w:cs="Times New Roman"/>
          <w:color w:val="000000" w:themeColor="text1"/>
          <w:sz w:val="32"/>
          <w:szCs w:val="32"/>
        </w:rPr>
        <w:t>减少</w:t>
      </w:r>
      <w:r>
        <w:rPr>
          <w:rFonts w:hint="eastAsia" w:ascii="Times New Roman" w:hAnsi="Times New Roman" w:eastAsia="方正仿宋_GBK" w:cs="Times New Roman"/>
          <w:color w:val="000000" w:themeColor="text1"/>
          <w:sz w:val="32"/>
          <w:szCs w:val="32"/>
          <w:lang w:val="en-US" w:eastAsia="zh-CN"/>
        </w:rPr>
        <w:t>101.51</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rPr>
        <w:t>减少</w:t>
      </w:r>
      <w:r>
        <w:rPr>
          <w:rFonts w:hint="eastAsia" w:ascii="Times New Roman" w:hAnsi="Times New Roman" w:eastAsia="方正仿宋_GBK" w:cs="Times New Roman"/>
          <w:color w:val="000000" w:themeColor="text1"/>
          <w:sz w:val="32"/>
          <w:szCs w:val="32"/>
          <w:lang w:val="en-US" w:eastAsia="zh-CN"/>
        </w:rPr>
        <w:t>10.19</w:t>
      </w:r>
      <w:r>
        <w:rPr>
          <w:rFonts w:ascii="Times New Roman" w:hAnsi="Times New Roman" w:eastAsia="方正仿宋_GBK" w:cs="Times New Roman"/>
          <w:color w:val="000000" w:themeColor="text1"/>
          <w:sz w:val="32"/>
          <w:szCs w:val="32"/>
        </w:rPr>
        <w:t>%，主要原因是政策性福利待遇调整</w:t>
      </w:r>
      <w:r>
        <w:rPr>
          <w:rFonts w:hint="eastAsia" w:ascii="Times New Roman" w:hAnsi="Times New Roman" w:eastAsia="方正仿宋_GBK" w:cs="Times New Roman"/>
          <w:color w:val="000000" w:themeColor="text1"/>
          <w:sz w:val="32"/>
          <w:szCs w:val="32"/>
        </w:rPr>
        <w:t>、人员增减变化</w:t>
      </w:r>
      <w:r>
        <w:rPr>
          <w:rFonts w:hint="eastAsia" w:ascii="Times New Roman" w:hAnsi="Times New Roman" w:eastAsia="方正仿宋_GBK" w:cs="Times New Roman"/>
          <w:color w:val="000000" w:themeColor="text1"/>
          <w:sz w:val="32"/>
          <w:szCs w:val="32"/>
          <w:lang w:eastAsia="zh-CN"/>
        </w:rPr>
        <w:t>及年底事业编制人员超额绩效等人员经费尚未发放</w:t>
      </w:r>
      <w:r>
        <w:rPr>
          <w:rFonts w:ascii="Times New Roman" w:hAnsi="Times New Roman" w:eastAsia="方正仿宋_GBK" w:cs="Times New Roman"/>
          <w:color w:val="000000" w:themeColor="text1"/>
          <w:sz w:val="32"/>
          <w:szCs w:val="32"/>
        </w:rPr>
        <w:t>。人员经费用途主要包括基本工资、津贴补贴、奖金、伙食补助费、绩效工资、社会保障缴费、住房公积金、医疗费以及其他工资福利支出。公用经费</w:t>
      </w:r>
      <w:r>
        <w:rPr>
          <w:rFonts w:hint="eastAsia" w:ascii="Times New Roman" w:hAnsi="Times New Roman" w:eastAsia="方正仿宋_GBK" w:cs="Times New Roman"/>
          <w:color w:val="000000" w:themeColor="text1"/>
          <w:sz w:val="32"/>
          <w:szCs w:val="32"/>
          <w:lang w:val="en-US" w:eastAsia="zh-CN"/>
        </w:rPr>
        <w:t>133.4</w:t>
      </w:r>
      <w:r>
        <w:rPr>
          <w:rFonts w:ascii="Times New Roman" w:hAnsi="Times New Roman" w:eastAsia="方正仿宋_GBK" w:cs="Times New Roman"/>
          <w:color w:val="000000" w:themeColor="text1"/>
          <w:sz w:val="32"/>
          <w:szCs w:val="32"/>
        </w:rPr>
        <w:t>万元，较上年决算数</w:t>
      </w:r>
      <w:r>
        <w:rPr>
          <w:rFonts w:hint="eastAsia" w:ascii="Times New Roman" w:hAnsi="Times New Roman" w:eastAsia="方正仿宋_GBK" w:cs="Times New Roman"/>
          <w:color w:val="000000" w:themeColor="text1"/>
          <w:sz w:val="32"/>
          <w:szCs w:val="32"/>
          <w:lang w:eastAsia="zh-CN"/>
        </w:rPr>
        <w:t>减少</w:t>
      </w:r>
      <w:r>
        <w:rPr>
          <w:rFonts w:hint="eastAsia" w:ascii="Times New Roman" w:hAnsi="Times New Roman" w:eastAsia="方正仿宋_GBK" w:cs="Times New Roman"/>
          <w:color w:val="000000" w:themeColor="text1"/>
          <w:sz w:val="32"/>
          <w:szCs w:val="32"/>
          <w:lang w:val="en-US" w:eastAsia="zh-CN"/>
        </w:rPr>
        <w:t>41.94</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lang w:eastAsia="zh-CN"/>
        </w:rPr>
        <w:t>减少</w:t>
      </w:r>
      <w:r>
        <w:rPr>
          <w:rFonts w:hint="eastAsia" w:ascii="Times New Roman" w:hAnsi="Times New Roman" w:eastAsia="方正仿宋_GBK" w:cs="Times New Roman"/>
          <w:color w:val="000000" w:themeColor="text1"/>
          <w:sz w:val="32"/>
          <w:szCs w:val="32"/>
          <w:lang w:val="en-US" w:eastAsia="zh-CN"/>
        </w:rPr>
        <w:t>23.92</w:t>
      </w:r>
      <w:r>
        <w:rPr>
          <w:rFonts w:ascii="Times New Roman" w:hAnsi="Times New Roman" w:eastAsia="方正仿宋_GBK" w:cs="Times New Roman"/>
          <w:color w:val="000000" w:themeColor="text1"/>
          <w:sz w:val="32"/>
          <w:szCs w:val="32"/>
        </w:rPr>
        <w:t>%，主要原因</w:t>
      </w:r>
      <w:r>
        <w:rPr>
          <w:rFonts w:hint="eastAsia" w:ascii="Times New Roman" w:hAnsi="Times New Roman" w:eastAsia="方正仿宋_GBK" w:cs="Times New Roman"/>
          <w:color w:val="000000" w:themeColor="text1"/>
          <w:sz w:val="32"/>
          <w:szCs w:val="32"/>
        </w:rPr>
        <w:t>是</w:t>
      </w:r>
      <w:r>
        <w:rPr>
          <w:rFonts w:ascii="Times New Roman" w:hAnsi="Times New Roman" w:eastAsia="方正仿宋_GBK" w:cs="Times New Roman"/>
          <w:color w:val="000000" w:themeColor="text1"/>
          <w:sz w:val="32"/>
          <w:szCs w:val="32"/>
        </w:rPr>
        <w:t>办公费</w:t>
      </w:r>
      <w:r>
        <w:rPr>
          <w:rFonts w:hint="eastAsia" w:ascii="Times New Roman" w:hAnsi="Times New Roman" w:eastAsia="方正仿宋_GBK" w:cs="Times New Roman"/>
          <w:color w:val="000000" w:themeColor="text1"/>
          <w:sz w:val="32"/>
          <w:szCs w:val="32"/>
        </w:rPr>
        <w:t>、其他费用</w:t>
      </w:r>
      <w:r>
        <w:rPr>
          <w:rFonts w:ascii="Times New Roman" w:hAnsi="Times New Roman" w:eastAsia="方正仿宋_GBK" w:cs="Times New Roman"/>
          <w:color w:val="000000" w:themeColor="text1"/>
          <w:sz w:val="32"/>
          <w:szCs w:val="32"/>
        </w:rPr>
        <w:t>等</w:t>
      </w:r>
      <w:r>
        <w:rPr>
          <w:rFonts w:hint="eastAsia" w:ascii="Times New Roman" w:hAnsi="Times New Roman" w:eastAsia="方正仿宋_GBK" w:cs="Times New Roman"/>
          <w:color w:val="000000" w:themeColor="text1"/>
          <w:sz w:val="32"/>
          <w:szCs w:val="32"/>
        </w:rPr>
        <w:t>运转</w:t>
      </w:r>
      <w:r>
        <w:rPr>
          <w:rFonts w:ascii="Times New Roman" w:hAnsi="Times New Roman" w:eastAsia="方正仿宋_GBK" w:cs="Times New Roman"/>
          <w:color w:val="000000" w:themeColor="text1"/>
          <w:sz w:val="32"/>
          <w:szCs w:val="32"/>
        </w:rPr>
        <w:t>支出</w:t>
      </w:r>
      <w:r>
        <w:rPr>
          <w:rFonts w:hint="eastAsia" w:ascii="Times New Roman" w:hAnsi="Times New Roman" w:eastAsia="方正仿宋_GBK" w:cs="Times New Roman"/>
          <w:color w:val="000000" w:themeColor="text1"/>
          <w:sz w:val="32"/>
          <w:szCs w:val="32"/>
          <w:lang w:eastAsia="zh-CN"/>
        </w:rPr>
        <w:t>减少</w:t>
      </w:r>
      <w:r>
        <w:rPr>
          <w:rFonts w:ascii="Times New Roman" w:hAnsi="Times New Roman" w:eastAsia="方正仿宋_GBK" w:cs="Times New Roman"/>
          <w:color w:val="000000" w:themeColor="text1"/>
          <w:sz w:val="32"/>
          <w:szCs w:val="32"/>
        </w:rPr>
        <w:t>。公用经费用途主要包括办公费、手续费、电费、邮电费、差旅费、维修（护）费、会议费、培训费、劳务费、工会经费、公务接待费、公务用车运行维护费以及其他交通费用等。</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Times New Roman" w:hAnsi="Times New Roman" w:eastAsia="方正楷体_GBK" w:cs="Times New Roman"/>
          <w:b w:val="0"/>
          <w:bCs w:val="0"/>
          <w:color w:val="000000" w:themeColor="text1"/>
          <w:sz w:val="32"/>
          <w:szCs w:val="32"/>
        </w:rPr>
        <w:t>（五）政府性基金预算收支决算情况</w:t>
      </w:r>
      <w:r>
        <w:rPr>
          <w:rStyle w:val="9"/>
          <w:rFonts w:hint="eastAsia" w:ascii="Times New Roman" w:hAnsi="Times New Roman" w:eastAsia="方正楷体_GBK" w:cs="Times New Roman"/>
          <w:b w:val="0"/>
          <w:bCs w:val="0"/>
          <w:color w:val="000000" w:themeColor="text1"/>
          <w:sz w:val="32"/>
          <w:szCs w:val="32"/>
        </w:rPr>
        <w:t>。</w:t>
      </w:r>
      <w:r>
        <w:rPr>
          <w:rFonts w:ascii="Times New Roman" w:hAnsi="Times New Roman" w:eastAsia="方正仿宋_GBK" w:cs="Times New Roman"/>
          <w:color w:val="000000" w:themeColor="text1"/>
          <w:sz w:val="32"/>
          <w:szCs w:val="32"/>
        </w:rPr>
        <w:t>政府性基金预算财政拨款年初结转结余0万元，年末结转结余0万元。</w:t>
      </w:r>
      <w:r>
        <w:rPr>
          <w:rFonts w:hint="eastAsia" w:ascii="Times New Roman" w:hAnsi="Times New Roman" w:eastAsia="方正仿宋_GBK" w:cs="Times New Roman"/>
          <w:color w:val="000000" w:themeColor="text1"/>
          <w:sz w:val="32"/>
          <w:szCs w:val="32"/>
        </w:rPr>
        <w:t>当年</w:t>
      </w:r>
      <w:r>
        <w:rPr>
          <w:rFonts w:ascii="Times New Roman" w:hAnsi="Times New Roman" w:eastAsia="方正仿宋_GBK" w:cs="Times New Roman"/>
          <w:color w:val="000000" w:themeColor="text1"/>
          <w:sz w:val="32"/>
          <w:szCs w:val="32"/>
        </w:rPr>
        <w:t>收入</w:t>
      </w:r>
      <w:r>
        <w:rPr>
          <w:rFonts w:hint="eastAsia" w:ascii="Times New Roman" w:hAnsi="Times New Roman" w:eastAsia="方正仿宋_GBK" w:cs="Times New Roman"/>
          <w:color w:val="000000" w:themeColor="text1"/>
          <w:sz w:val="32"/>
          <w:szCs w:val="32"/>
          <w:lang w:val="en-US" w:eastAsia="zh-CN"/>
        </w:rPr>
        <w:t>0</w:t>
      </w:r>
      <w:r>
        <w:rPr>
          <w:rFonts w:ascii="Times New Roman" w:hAnsi="Times New Roman" w:eastAsia="方正仿宋_GBK" w:cs="Times New Roman"/>
          <w:color w:val="000000" w:themeColor="text1"/>
          <w:sz w:val="32"/>
          <w:szCs w:val="32"/>
        </w:rPr>
        <w:t>万元，较上年决算数</w:t>
      </w:r>
      <w:r>
        <w:rPr>
          <w:rFonts w:hint="eastAsia" w:ascii="Times New Roman" w:hAnsi="Times New Roman" w:eastAsia="方正仿宋_GBK" w:cs="Times New Roman"/>
          <w:color w:val="000000" w:themeColor="text1"/>
          <w:sz w:val="32"/>
          <w:szCs w:val="32"/>
          <w:lang w:eastAsia="zh-CN"/>
        </w:rPr>
        <w:t>减少</w:t>
      </w:r>
      <w:r>
        <w:rPr>
          <w:rFonts w:hint="eastAsia" w:ascii="Times New Roman" w:hAnsi="Times New Roman" w:eastAsia="方正仿宋_GBK" w:cs="Times New Roman"/>
          <w:color w:val="000000" w:themeColor="text1"/>
          <w:sz w:val="32"/>
          <w:szCs w:val="32"/>
        </w:rPr>
        <w:t>389.25</w:t>
      </w:r>
      <w:r>
        <w:rPr>
          <w:rFonts w:ascii="Times New Roman" w:hAnsi="Times New Roman" w:eastAsia="方正仿宋_GBK" w:cs="Times New Roman"/>
          <w:color w:val="000000" w:themeColor="text1"/>
          <w:sz w:val="32"/>
          <w:szCs w:val="32"/>
        </w:rPr>
        <w:t>万元，主要原因是</w:t>
      </w:r>
      <w:r>
        <w:rPr>
          <w:rFonts w:hint="eastAsia" w:ascii="Times New Roman" w:hAnsi="Times New Roman" w:eastAsia="方正仿宋_GBK" w:cs="Times New Roman"/>
          <w:color w:val="000000" w:themeColor="text1"/>
          <w:sz w:val="32"/>
          <w:szCs w:val="32"/>
          <w:lang w:eastAsia="zh-CN"/>
        </w:rPr>
        <w:t>本年无政府性基金预算安排</w:t>
      </w:r>
      <w:bookmarkStart w:id="0" w:name="_GoBack"/>
      <w:bookmarkEnd w:id="0"/>
      <w:r>
        <w:rPr>
          <w:rFonts w:ascii="Times New Roman" w:hAnsi="Times New Roman" w:eastAsia="方正仿宋_GBK" w:cs="Times New Roman"/>
          <w:color w:val="000000" w:themeColor="text1"/>
          <w:sz w:val="32"/>
          <w:szCs w:val="32"/>
        </w:rPr>
        <w:t>。本年支出</w:t>
      </w:r>
      <w:r>
        <w:rPr>
          <w:rFonts w:hint="eastAsia" w:ascii="Times New Roman" w:hAnsi="Times New Roman" w:eastAsia="方正仿宋_GBK" w:cs="Times New Roman"/>
          <w:color w:val="000000" w:themeColor="text1"/>
          <w:sz w:val="32"/>
          <w:szCs w:val="32"/>
          <w:lang w:val="en-US" w:eastAsia="zh-CN"/>
        </w:rPr>
        <w:t>0</w:t>
      </w:r>
      <w:r>
        <w:rPr>
          <w:rFonts w:ascii="Times New Roman" w:hAnsi="Times New Roman" w:eastAsia="方正仿宋_GBK" w:cs="Times New Roman"/>
          <w:color w:val="000000" w:themeColor="text1"/>
          <w:sz w:val="32"/>
          <w:szCs w:val="32"/>
        </w:rPr>
        <w:t>万元，较上年决算数</w:t>
      </w:r>
      <w:r>
        <w:rPr>
          <w:rFonts w:hint="eastAsia" w:ascii="Times New Roman" w:hAnsi="Times New Roman" w:eastAsia="方正仿宋_GBK" w:cs="Times New Roman"/>
          <w:color w:val="000000" w:themeColor="text1"/>
          <w:sz w:val="32"/>
          <w:szCs w:val="32"/>
          <w:lang w:eastAsia="zh-CN"/>
        </w:rPr>
        <w:t>减少</w:t>
      </w:r>
      <w:r>
        <w:rPr>
          <w:rFonts w:hint="eastAsia" w:ascii="Times New Roman" w:hAnsi="Times New Roman" w:eastAsia="方正仿宋_GBK" w:cs="Times New Roman"/>
          <w:color w:val="000000" w:themeColor="text1"/>
          <w:sz w:val="32"/>
          <w:szCs w:val="32"/>
        </w:rPr>
        <w:t>389.25</w:t>
      </w:r>
      <w:r>
        <w:rPr>
          <w:rFonts w:ascii="Times New Roman" w:hAnsi="Times New Roman" w:eastAsia="方正仿宋_GBK" w:cs="Times New Roman"/>
          <w:color w:val="000000" w:themeColor="text1"/>
          <w:sz w:val="32"/>
          <w:szCs w:val="32"/>
        </w:rPr>
        <w:t>万元，主要原因是</w:t>
      </w:r>
      <w:r>
        <w:rPr>
          <w:rFonts w:hint="eastAsia" w:ascii="Times New Roman" w:hAnsi="Times New Roman" w:eastAsia="方正仿宋_GBK" w:cs="Times New Roman"/>
          <w:color w:val="000000" w:themeColor="text1"/>
          <w:sz w:val="32"/>
          <w:szCs w:val="32"/>
          <w:lang w:eastAsia="zh-CN"/>
        </w:rPr>
        <w:t>本年无政府性基金预算安排</w:t>
      </w:r>
      <w:r>
        <w:rPr>
          <w:rFonts w:ascii="Times New Roman" w:hAnsi="Times New Roman" w:eastAsia="方正仿宋_GBK" w:cs="Times New Roman"/>
          <w:color w:val="000000" w:themeColor="text1"/>
          <w:sz w:val="32"/>
          <w:szCs w:val="32"/>
        </w:rPr>
        <w:t>。</w:t>
      </w:r>
    </w:p>
    <w:p>
      <w:pPr>
        <w:spacing w:line="560" w:lineRule="exact"/>
        <w:ind w:firstLine="640" w:firstLineChars="200"/>
        <w:rPr>
          <w:rFonts w:ascii="方正黑体_GBK" w:eastAsia="方正黑体_GBK"/>
          <w:color w:val="000000" w:themeColor="text1"/>
          <w:sz w:val="30"/>
          <w:szCs w:val="30"/>
        </w:rPr>
      </w:pPr>
      <w:r>
        <w:rPr>
          <w:rFonts w:hint="eastAsia" w:ascii="方正黑体_GBK" w:eastAsia="方正黑体_GBK"/>
          <w:color w:val="000000" w:themeColor="text1"/>
          <w:sz w:val="32"/>
          <w:szCs w:val="32"/>
        </w:rPr>
        <w:t>三、“三公”经费情况</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Times New Roman" w:hAnsi="Times New Roman" w:eastAsia="方正楷体_GBK" w:cs="Times New Roman"/>
          <w:b w:val="0"/>
          <w:bCs w:val="0"/>
          <w:color w:val="000000" w:themeColor="text1"/>
          <w:sz w:val="32"/>
          <w:szCs w:val="32"/>
        </w:rPr>
        <w:t>（一）</w:t>
      </w:r>
      <w:r>
        <w:rPr>
          <w:rStyle w:val="9"/>
          <w:rFonts w:hint="eastAsia" w:ascii="方正楷体_GBK" w:hAnsi="Times New Roman" w:eastAsia="方正楷体_GBK" w:cs="Times New Roman"/>
          <w:b w:val="0"/>
          <w:bCs w:val="0"/>
          <w:color w:val="000000" w:themeColor="text1"/>
          <w:sz w:val="32"/>
          <w:szCs w:val="32"/>
        </w:rPr>
        <w:t>总体情</w:t>
      </w:r>
      <w:r>
        <w:rPr>
          <w:rStyle w:val="9"/>
          <w:rFonts w:ascii="Times New Roman" w:hAnsi="Times New Roman" w:eastAsia="方正楷体_GBK" w:cs="Times New Roman"/>
          <w:b w:val="0"/>
          <w:bCs w:val="0"/>
          <w:color w:val="000000" w:themeColor="text1"/>
          <w:sz w:val="32"/>
          <w:szCs w:val="32"/>
        </w:rPr>
        <w:t>况</w:t>
      </w:r>
      <w:r>
        <w:rPr>
          <w:rStyle w:val="9"/>
          <w:rFonts w:hint="eastAsia" w:ascii="Times New Roman" w:hAnsi="Times New Roman" w:eastAsia="方正楷体_GBK" w:cs="Times New Roman"/>
          <w:b w:val="0"/>
          <w:bCs w:val="0"/>
          <w:color w:val="000000" w:themeColor="text1"/>
          <w:sz w:val="32"/>
          <w:szCs w:val="32"/>
        </w:rPr>
        <w:t>。</w:t>
      </w:r>
      <w:r>
        <w:rPr>
          <w:rFonts w:hint="eastAsia" w:ascii="方正仿宋_GBK" w:hAnsi="Times New Roman" w:eastAsia="方正仿宋_GBK" w:cs="Times New Roman"/>
          <w:color w:val="000000" w:themeColor="text1"/>
          <w:sz w:val="32"/>
          <w:szCs w:val="32"/>
        </w:rPr>
        <w:t>“三公”经</w:t>
      </w:r>
      <w:r>
        <w:rPr>
          <w:rFonts w:ascii="Times New Roman" w:hAnsi="Times New Roman" w:eastAsia="方正仿宋_GBK" w:cs="Times New Roman"/>
          <w:color w:val="000000" w:themeColor="text1"/>
          <w:sz w:val="32"/>
          <w:szCs w:val="32"/>
        </w:rPr>
        <w:t>费支出共计</w:t>
      </w:r>
      <w:r>
        <w:rPr>
          <w:rFonts w:hint="eastAsia" w:ascii="Times New Roman" w:hAnsi="Times New Roman" w:eastAsia="方正仿宋_GBK" w:cs="Times New Roman"/>
          <w:color w:val="000000" w:themeColor="text1"/>
          <w:sz w:val="32"/>
          <w:szCs w:val="32"/>
        </w:rPr>
        <w:t>7.5</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rPr>
        <w:t>较年初预算数减少1.5万元，减少16.67%。</w:t>
      </w:r>
      <w:r>
        <w:rPr>
          <w:rFonts w:ascii="Times New Roman" w:hAnsi="Times New Roman" w:eastAsia="方正仿宋_GBK" w:cs="Times New Roman"/>
          <w:color w:val="000000" w:themeColor="text1"/>
          <w:sz w:val="32"/>
          <w:szCs w:val="32"/>
        </w:rPr>
        <w:t>较上年支出数</w:t>
      </w:r>
      <w:r>
        <w:rPr>
          <w:rFonts w:hint="eastAsia" w:ascii="Times New Roman" w:hAnsi="Times New Roman" w:eastAsia="方正仿宋_GBK" w:cs="Times New Roman"/>
          <w:color w:val="000000" w:themeColor="text1"/>
          <w:sz w:val="32"/>
          <w:szCs w:val="32"/>
        </w:rPr>
        <w:t>增加5.06</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rPr>
        <w:t>同比增加31.16</w:t>
      </w:r>
      <w:r>
        <w:rPr>
          <w:rFonts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rPr>
        <w:t>本年公车使用频繁导致的公务用车运行维护费的增加</w:t>
      </w:r>
      <w:r>
        <w:rPr>
          <w:rFonts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ascii="Times New Roman" w:hAnsi="Times New Roman" w:eastAsia="方正楷体_GBK" w:cs="Times New Roman"/>
          <w:b w:val="0"/>
          <w:bCs w:val="0"/>
          <w:color w:val="000000" w:themeColor="text1"/>
          <w:sz w:val="32"/>
          <w:szCs w:val="32"/>
        </w:rPr>
        <w:t>（二）</w:t>
      </w:r>
      <w:r>
        <w:rPr>
          <w:rStyle w:val="9"/>
          <w:rFonts w:hint="eastAsia" w:ascii="方正楷体_GBK" w:hAnsi="Times New Roman" w:eastAsia="方正楷体_GBK" w:cs="Times New Roman"/>
          <w:b w:val="0"/>
          <w:bCs w:val="0"/>
          <w:color w:val="000000" w:themeColor="text1"/>
          <w:sz w:val="32"/>
          <w:szCs w:val="32"/>
        </w:rPr>
        <w:t>分项支出</w:t>
      </w:r>
      <w:r>
        <w:rPr>
          <w:rStyle w:val="9"/>
          <w:rFonts w:ascii="Times New Roman" w:hAnsi="Times New Roman" w:eastAsia="方正楷体_GBK" w:cs="Times New Roman"/>
          <w:b w:val="0"/>
          <w:bCs w:val="0"/>
          <w:color w:val="000000" w:themeColor="text1"/>
          <w:sz w:val="32"/>
          <w:szCs w:val="32"/>
        </w:rPr>
        <w:t>情况</w:t>
      </w:r>
      <w:r>
        <w:rPr>
          <w:rStyle w:val="9"/>
          <w:rFonts w:hint="eastAsia" w:ascii="Times New Roman" w:hAnsi="Times New Roman" w:eastAsia="方正楷体_GBK" w:cs="Times New Roman"/>
          <w:b w:val="0"/>
          <w:bCs w:val="0"/>
          <w:color w:val="000000" w:themeColor="text1"/>
          <w:sz w:val="32"/>
          <w:szCs w:val="32"/>
        </w:rPr>
        <w:t>。</w:t>
      </w:r>
      <w:r>
        <w:rPr>
          <w:rFonts w:ascii="Times New Roman" w:hAnsi="Times New Roman" w:eastAsia="方正仿宋_GBK" w:cs="Times New Roman"/>
          <w:color w:val="000000" w:themeColor="text1"/>
          <w:sz w:val="32"/>
          <w:szCs w:val="32"/>
        </w:rPr>
        <w:t>未发生因公出国（境）费用</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增加0万元，增长0%，费用支出与年初预算</w:t>
      </w:r>
      <w:r>
        <w:rPr>
          <w:rFonts w:hint="eastAsia" w:ascii="Times New Roman" w:hAnsi="Times New Roman" w:eastAsia="方正仿宋_GBK" w:cs="Times New Roman"/>
          <w:color w:val="000000" w:themeColor="text1"/>
          <w:sz w:val="32"/>
          <w:szCs w:val="32"/>
        </w:rPr>
        <w:t>、上年决算</w:t>
      </w:r>
      <w:r>
        <w:rPr>
          <w:rFonts w:ascii="Times New Roman" w:hAnsi="Times New Roman" w:eastAsia="方正仿宋_GBK" w:cs="Times New Roman"/>
          <w:color w:val="000000" w:themeColor="text1"/>
          <w:sz w:val="32"/>
          <w:szCs w:val="32"/>
        </w:rPr>
        <w:t>保持一致。未发生公务车购置</w:t>
      </w:r>
      <w:r>
        <w:rPr>
          <w:rFonts w:hint="eastAsia" w:ascii="Times New Roman" w:hAnsi="Times New Roman" w:eastAsia="方正仿宋_GBK" w:cs="Times New Roman"/>
          <w:color w:val="000000" w:themeColor="text1"/>
          <w:sz w:val="32"/>
          <w:szCs w:val="32"/>
        </w:rPr>
        <w:t>费用，</w:t>
      </w:r>
      <w:r>
        <w:rPr>
          <w:rFonts w:ascii="Times New Roman" w:hAnsi="Times New Roman" w:eastAsia="方正仿宋_GBK" w:cs="Times New Roman"/>
          <w:color w:val="000000" w:themeColor="text1"/>
          <w:sz w:val="32"/>
          <w:szCs w:val="32"/>
        </w:rPr>
        <w:t>增加0万元，增长0%，费用支出与年初预算</w:t>
      </w:r>
      <w:r>
        <w:rPr>
          <w:rFonts w:hint="eastAsia" w:ascii="Times New Roman" w:hAnsi="Times New Roman" w:eastAsia="方正仿宋_GBK" w:cs="Times New Roman"/>
          <w:color w:val="000000" w:themeColor="text1"/>
          <w:sz w:val="32"/>
          <w:szCs w:val="32"/>
        </w:rPr>
        <w:t>、上年决算</w:t>
      </w:r>
      <w:r>
        <w:rPr>
          <w:rFonts w:ascii="Times New Roman" w:hAnsi="Times New Roman" w:eastAsia="方正仿宋_GBK" w:cs="Times New Roman"/>
          <w:color w:val="000000" w:themeColor="text1"/>
          <w:sz w:val="32"/>
          <w:szCs w:val="32"/>
        </w:rPr>
        <w:t>保持一致。公务车运行维护费</w:t>
      </w:r>
      <w:r>
        <w:rPr>
          <w:rFonts w:hint="eastAsia" w:ascii="Times New Roman" w:hAnsi="Times New Roman" w:eastAsia="方正仿宋_GBK" w:cs="Times New Roman"/>
          <w:color w:val="000000" w:themeColor="text1"/>
          <w:sz w:val="32"/>
          <w:szCs w:val="32"/>
        </w:rPr>
        <w:t>6.82</w:t>
      </w:r>
      <w:r>
        <w:rPr>
          <w:rFonts w:ascii="Times New Roman" w:hAnsi="Times New Roman" w:eastAsia="方正仿宋_GBK" w:cs="Times New Roman"/>
          <w:color w:val="000000" w:themeColor="text1"/>
          <w:sz w:val="32"/>
          <w:szCs w:val="32"/>
        </w:rPr>
        <w:t>万元，主要用于公务出行、业务检查等工作所需车辆的燃料费、维修费、保险费等。费用支出较</w:t>
      </w:r>
      <w:r>
        <w:rPr>
          <w:rFonts w:hint="eastAsia" w:ascii="Times New Roman" w:hAnsi="Times New Roman" w:eastAsia="方正仿宋_GBK" w:cs="Times New Roman"/>
          <w:color w:val="000000" w:themeColor="text1"/>
          <w:sz w:val="32"/>
          <w:szCs w:val="32"/>
        </w:rPr>
        <w:t>年初预算数减少0.08万元，减少1.14%。较</w:t>
      </w:r>
      <w:r>
        <w:rPr>
          <w:rFonts w:ascii="Times New Roman" w:hAnsi="Times New Roman" w:eastAsia="方正仿宋_GBK" w:cs="Times New Roman"/>
          <w:color w:val="000000" w:themeColor="text1"/>
          <w:sz w:val="32"/>
          <w:szCs w:val="32"/>
        </w:rPr>
        <w:t>上年支出数</w:t>
      </w:r>
      <w:r>
        <w:rPr>
          <w:rFonts w:hint="eastAsia" w:ascii="Times New Roman" w:hAnsi="Times New Roman" w:eastAsia="方正仿宋_GBK" w:cs="Times New Roman"/>
          <w:color w:val="000000" w:themeColor="text1"/>
          <w:sz w:val="32"/>
          <w:szCs w:val="32"/>
        </w:rPr>
        <w:t>增加5.92</w:t>
      </w:r>
      <w:r>
        <w:rPr>
          <w:rFonts w:ascii="Times New Roman" w:hAnsi="Times New Roman" w:eastAsia="方正仿宋_GBK" w:cs="Times New Roman"/>
          <w:color w:val="000000" w:themeColor="text1"/>
          <w:sz w:val="32"/>
          <w:szCs w:val="32"/>
        </w:rPr>
        <w:t>万元，主要原因是</w:t>
      </w:r>
      <w:r>
        <w:rPr>
          <w:rFonts w:hint="eastAsia" w:ascii="Times New Roman" w:hAnsi="Times New Roman" w:eastAsia="方正仿宋_GBK" w:cs="Times New Roman"/>
          <w:color w:val="000000" w:themeColor="text1"/>
          <w:sz w:val="32"/>
          <w:szCs w:val="32"/>
        </w:rPr>
        <w:t>因本年公车使用频繁导致的公务用车运行维护费的增加</w:t>
      </w:r>
      <w:r>
        <w:rPr>
          <w:rFonts w:ascii="Times New Roman" w:hAnsi="Times New Roman" w:eastAsia="方正仿宋_GBK" w:cs="Times New Roman"/>
          <w:color w:val="000000" w:themeColor="text1"/>
          <w:sz w:val="32"/>
          <w:szCs w:val="32"/>
        </w:rPr>
        <w:t>。公务接待费</w:t>
      </w:r>
      <w:r>
        <w:rPr>
          <w:rFonts w:hint="eastAsia" w:ascii="Times New Roman" w:hAnsi="Times New Roman" w:eastAsia="方正仿宋_GBK" w:cs="Times New Roman"/>
          <w:color w:val="000000" w:themeColor="text1"/>
          <w:sz w:val="32"/>
          <w:szCs w:val="32"/>
        </w:rPr>
        <w:t>0.68</w:t>
      </w:r>
      <w:r>
        <w:rPr>
          <w:rFonts w:ascii="Times New Roman" w:hAnsi="Times New Roman" w:eastAsia="方正仿宋_GBK" w:cs="Times New Roman"/>
          <w:color w:val="000000" w:themeColor="text1"/>
          <w:sz w:val="32"/>
          <w:szCs w:val="32"/>
        </w:rPr>
        <w:t>万元，主要用于接待</w:t>
      </w:r>
      <w:r>
        <w:rPr>
          <w:rFonts w:hint="eastAsia" w:ascii="Times New Roman" w:hAnsi="Times New Roman" w:eastAsia="方正仿宋_GBK" w:cs="Times New Roman"/>
          <w:color w:val="000000" w:themeColor="text1"/>
          <w:sz w:val="32"/>
          <w:szCs w:val="32"/>
        </w:rPr>
        <w:t>有</w:t>
      </w:r>
      <w:r>
        <w:rPr>
          <w:rFonts w:ascii="Times New Roman" w:hAnsi="Times New Roman" w:eastAsia="方正仿宋_GBK" w:cs="Times New Roman"/>
          <w:color w:val="000000" w:themeColor="text1"/>
          <w:sz w:val="32"/>
          <w:szCs w:val="32"/>
        </w:rPr>
        <w:t>关</w:t>
      </w:r>
      <w:r>
        <w:rPr>
          <w:rFonts w:hint="eastAsia" w:ascii="Times New Roman" w:hAnsi="Times New Roman" w:eastAsia="方正仿宋_GBK" w:cs="Times New Roman"/>
          <w:color w:val="000000" w:themeColor="text1"/>
          <w:sz w:val="32"/>
          <w:szCs w:val="32"/>
        </w:rPr>
        <w:t>单位</w:t>
      </w:r>
      <w:r>
        <w:rPr>
          <w:rFonts w:ascii="Times New Roman" w:hAnsi="Times New Roman" w:eastAsia="方正仿宋_GBK" w:cs="Times New Roman"/>
          <w:color w:val="000000" w:themeColor="text1"/>
          <w:sz w:val="32"/>
          <w:szCs w:val="32"/>
        </w:rPr>
        <w:t>检查指导工作发生的接待支出。</w:t>
      </w:r>
      <w:r>
        <w:rPr>
          <w:rFonts w:hint="eastAsia" w:ascii="Times New Roman" w:hAnsi="Times New Roman" w:eastAsia="方正仿宋_GBK" w:cs="Times New Roman"/>
          <w:color w:val="000000" w:themeColor="text1"/>
          <w:sz w:val="32"/>
          <w:szCs w:val="32"/>
        </w:rPr>
        <w:t>较年初预算数减少1.32万元，减少66%。</w:t>
      </w:r>
      <w:r>
        <w:rPr>
          <w:rFonts w:ascii="Times New Roman" w:hAnsi="Times New Roman" w:eastAsia="方正仿宋_GBK" w:cs="Times New Roman"/>
          <w:color w:val="000000" w:themeColor="text1"/>
          <w:sz w:val="32"/>
          <w:szCs w:val="32"/>
        </w:rPr>
        <w:t>较上年支出数</w:t>
      </w:r>
      <w:r>
        <w:rPr>
          <w:rFonts w:hint="eastAsia" w:ascii="Times New Roman" w:hAnsi="Times New Roman" w:eastAsia="方正仿宋_GBK" w:cs="Times New Roman"/>
          <w:color w:val="000000" w:themeColor="text1"/>
          <w:sz w:val="32"/>
          <w:szCs w:val="32"/>
        </w:rPr>
        <w:t>减少0.87</w:t>
      </w:r>
      <w:r>
        <w:rPr>
          <w:rFonts w:ascii="Times New Roman" w:hAnsi="Times New Roman" w:eastAsia="方正仿宋_GBK" w:cs="Times New Roman"/>
          <w:color w:val="000000" w:themeColor="text1"/>
          <w:sz w:val="32"/>
          <w:szCs w:val="32"/>
        </w:rPr>
        <w:t>万元，</w:t>
      </w:r>
      <w:r>
        <w:rPr>
          <w:rFonts w:hint="eastAsia" w:ascii="Times New Roman" w:hAnsi="Times New Roman" w:eastAsia="方正仿宋_GBK" w:cs="Times New Roman"/>
          <w:color w:val="000000" w:themeColor="text1"/>
          <w:sz w:val="32"/>
          <w:szCs w:val="32"/>
        </w:rPr>
        <w:t>减少56.49</w:t>
      </w:r>
      <w:r>
        <w:rPr>
          <w:rFonts w:ascii="Times New Roman" w:hAnsi="Times New Roman" w:eastAsia="方正仿宋_GBK" w:cs="Times New Roman"/>
          <w:color w:val="000000" w:themeColor="text1"/>
          <w:sz w:val="32"/>
          <w:szCs w:val="32"/>
        </w:rPr>
        <w:t>%，主要原因是</w:t>
      </w:r>
      <w:r>
        <w:rPr>
          <w:rFonts w:hint="eastAsia" w:ascii="Times New Roman" w:hAnsi="Times New Roman" w:eastAsia="方正仿宋_GBK" w:cs="Times New Roman"/>
          <w:color w:val="000000" w:themeColor="text1"/>
          <w:sz w:val="32"/>
          <w:szCs w:val="32"/>
        </w:rPr>
        <w:t>严格按照“过紧日子”要求，控制相关接待支出</w:t>
      </w:r>
      <w:r>
        <w:rPr>
          <w:rFonts w:ascii="Times New Roman" w:hAnsi="Times New Roman" w:eastAsia="方正仿宋_GBK" w:cs="Times New Roman"/>
          <w:color w:val="000000" w:themeColor="text1"/>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Style w:val="9"/>
          <w:rFonts w:hint="eastAsia" w:ascii="方正楷体_GBK" w:hAnsi="Times New Roman" w:eastAsia="方正楷体_GBK" w:cs="Times New Roman"/>
          <w:b w:val="0"/>
          <w:bCs w:val="0"/>
          <w:color w:val="000000" w:themeColor="text1"/>
          <w:sz w:val="32"/>
          <w:szCs w:val="32"/>
        </w:rPr>
        <w:t>（三）实物量情</w:t>
      </w:r>
      <w:r>
        <w:rPr>
          <w:rStyle w:val="9"/>
          <w:rFonts w:ascii="Times New Roman" w:hAnsi="Times New Roman" w:eastAsia="方正楷体_GBK" w:cs="Times New Roman"/>
          <w:b w:val="0"/>
          <w:bCs w:val="0"/>
          <w:color w:val="000000" w:themeColor="text1"/>
          <w:sz w:val="32"/>
          <w:szCs w:val="32"/>
        </w:rPr>
        <w:t>况</w:t>
      </w:r>
      <w:r>
        <w:rPr>
          <w:rStyle w:val="9"/>
          <w:rFonts w:hint="eastAsia" w:ascii="Times New Roman" w:hAnsi="Times New Roman" w:eastAsia="方正楷体_GBK" w:cs="Times New Roman"/>
          <w:b w:val="0"/>
          <w:bCs w:val="0"/>
          <w:color w:val="000000" w:themeColor="text1"/>
          <w:sz w:val="32"/>
          <w:szCs w:val="32"/>
        </w:rPr>
        <w:t>。</w:t>
      </w:r>
      <w:r>
        <w:rPr>
          <w:rFonts w:ascii="Times New Roman" w:hAnsi="Times New Roman" w:eastAsia="方正仿宋_GBK" w:cs="Times New Roman"/>
          <w:color w:val="000000" w:themeColor="text1"/>
          <w:sz w:val="32"/>
          <w:szCs w:val="32"/>
        </w:rPr>
        <w:t>因公出国（境）共计0个团组，0人；公务用车购置0辆，公务车保有量为</w:t>
      </w:r>
      <w:r>
        <w:rPr>
          <w:rFonts w:hint="eastAsia" w:ascii="Times New Roman" w:hAnsi="Times New Roman" w:eastAsia="方正仿宋_GBK" w:cs="Times New Roman"/>
          <w:color w:val="000000" w:themeColor="text1"/>
          <w:sz w:val="32"/>
          <w:szCs w:val="32"/>
        </w:rPr>
        <w:t>2</w:t>
      </w:r>
      <w:r>
        <w:rPr>
          <w:rFonts w:ascii="Times New Roman" w:hAnsi="Times New Roman" w:eastAsia="方正仿宋_GBK" w:cs="Times New Roman"/>
          <w:color w:val="000000" w:themeColor="text1"/>
          <w:sz w:val="32"/>
          <w:szCs w:val="32"/>
        </w:rPr>
        <w:t>辆；国内公务接待</w:t>
      </w:r>
      <w:r>
        <w:rPr>
          <w:rFonts w:hint="eastAsia" w:ascii="Times New Roman" w:hAnsi="Times New Roman" w:eastAsia="方正仿宋_GBK" w:cs="Times New Roman"/>
          <w:color w:val="000000" w:themeColor="text1"/>
          <w:sz w:val="32"/>
          <w:szCs w:val="32"/>
        </w:rPr>
        <w:t>9</w:t>
      </w:r>
      <w:r>
        <w:rPr>
          <w:rFonts w:ascii="Times New Roman" w:hAnsi="Times New Roman" w:eastAsia="方正仿宋_GBK" w:cs="Times New Roman"/>
          <w:color w:val="000000" w:themeColor="text1"/>
          <w:sz w:val="32"/>
          <w:szCs w:val="32"/>
        </w:rPr>
        <w:t>批次</w:t>
      </w:r>
      <w:r>
        <w:rPr>
          <w:rFonts w:hint="eastAsia" w:ascii="Times New Roman" w:hAnsi="Times New Roman" w:eastAsia="方正仿宋_GBK" w:cs="Times New Roman"/>
          <w:color w:val="000000" w:themeColor="text1"/>
          <w:sz w:val="32"/>
          <w:szCs w:val="32"/>
        </w:rPr>
        <w:t>150</w:t>
      </w:r>
      <w:r>
        <w:rPr>
          <w:rFonts w:ascii="Times New Roman" w:hAnsi="Times New Roman" w:eastAsia="方正仿宋_GBK" w:cs="Times New Roman"/>
          <w:color w:val="000000" w:themeColor="text1"/>
          <w:sz w:val="32"/>
          <w:szCs w:val="32"/>
        </w:rPr>
        <w:t>人</w:t>
      </w:r>
      <w:r>
        <w:rPr>
          <w:rFonts w:hint="eastAsia" w:ascii="Times New Roman" w:hAnsi="Times New Roman" w:eastAsia="方正仿宋_GBK" w:cs="Times New Roman"/>
          <w:color w:val="000000" w:themeColor="text1"/>
          <w:sz w:val="32"/>
          <w:szCs w:val="32"/>
        </w:rPr>
        <w:t>，无</w:t>
      </w:r>
      <w:r>
        <w:rPr>
          <w:rFonts w:ascii="Times New Roman" w:hAnsi="Times New Roman" w:eastAsia="方正仿宋_GBK" w:cs="Times New Roman"/>
          <w:color w:val="000000" w:themeColor="text1"/>
          <w:sz w:val="32"/>
          <w:szCs w:val="32"/>
        </w:rPr>
        <w:t>国内外事</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国（境）外公务接待。人均接待费</w:t>
      </w:r>
      <w:r>
        <w:rPr>
          <w:rFonts w:hint="eastAsia" w:ascii="Times New Roman" w:hAnsi="Times New Roman" w:eastAsia="方正仿宋_GBK" w:cs="Times New Roman"/>
          <w:color w:val="000000" w:themeColor="text1"/>
          <w:sz w:val="32"/>
          <w:szCs w:val="32"/>
        </w:rPr>
        <w:t>45</w:t>
      </w:r>
      <w:r>
        <w:rPr>
          <w:rFonts w:ascii="Times New Roman" w:hAnsi="Times New Roman" w:eastAsia="方正仿宋_GBK" w:cs="Times New Roman"/>
          <w:color w:val="000000" w:themeColor="text1"/>
          <w:sz w:val="32"/>
          <w:szCs w:val="32"/>
        </w:rPr>
        <w:t xml:space="preserve">元，车均购置费0万元，车均维护费 </w:t>
      </w:r>
      <w:r>
        <w:rPr>
          <w:rFonts w:hint="eastAsia" w:ascii="Times New Roman" w:hAnsi="Times New Roman" w:eastAsia="方正仿宋_GBK" w:cs="Times New Roman"/>
          <w:color w:val="000000" w:themeColor="text1"/>
          <w:sz w:val="32"/>
          <w:szCs w:val="32"/>
        </w:rPr>
        <w:t>3.41</w:t>
      </w:r>
      <w:r>
        <w:rPr>
          <w:rFonts w:ascii="Times New Roman" w:hAnsi="Times New Roman" w:eastAsia="方正仿宋_GBK" w:cs="Times New Roman"/>
          <w:color w:val="000000" w:themeColor="text1"/>
          <w:sz w:val="32"/>
          <w:szCs w:val="32"/>
        </w:rPr>
        <w:t>万元。</w:t>
      </w:r>
    </w:p>
    <w:p>
      <w:pPr>
        <w:pStyle w:val="14"/>
        <w:tabs>
          <w:tab w:val="center" w:pos="4153"/>
          <w:tab w:val="left" w:pos="7275"/>
        </w:tabs>
        <w:spacing w:line="560" w:lineRule="exact"/>
        <w:ind w:firstLine="640"/>
        <w:rPr>
          <w:rFonts w:eastAsia="方正黑体_GBK"/>
          <w:color w:val="000000" w:themeColor="text1"/>
          <w:sz w:val="32"/>
          <w:szCs w:val="32"/>
        </w:rPr>
      </w:pPr>
      <w:r>
        <w:rPr>
          <w:rFonts w:eastAsia="方正黑体_GBK"/>
          <w:color w:val="000000" w:themeColor="text1"/>
          <w:sz w:val="32"/>
          <w:szCs w:val="32"/>
        </w:rPr>
        <w:t>四、其他需要说明的事项</w:t>
      </w:r>
    </w:p>
    <w:p>
      <w:pPr>
        <w:pStyle w:val="14"/>
        <w:tabs>
          <w:tab w:val="center" w:pos="4153"/>
          <w:tab w:val="left" w:pos="7275"/>
        </w:tabs>
        <w:spacing w:line="560" w:lineRule="exact"/>
        <w:ind w:firstLine="640"/>
        <w:rPr>
          <w:rFonts w:eastAsia="方正仿宋_GBK"/>
          <w:color w:val="000000" w:themeColor="text1"/>
          <w:kern w:val="0"/>
          <w:sz w:val="32"/>
          <w:szCs w:val="32"/>
        </w:rPr>
      </w:pPr>
      <w:r>
        <w:rPr>
          <w:rFonts w:eastAsia="方正楷体_GBK"/>
          <w:color w:val="000000" w:themeColor="text1"/>
          <w:sz w:val="32"/>
          <w:szCs w:val="32"/>
        </w:rPr>
        <w:t>（一）机关运行经费情况</w:t>
      </w:r>
      <w:r>
        <w:rPr>
          <w:rFonts w:hint="eastAsia" w:eastAsia="方正楷体_GBK"/>
          <w:color w:val="000000" w:themeColor="text1"/>
          <w:sz w:val="32"/>
          <w:szCs w:val="32"/>
        </w:rPr>
        <w:t>。</w:t>
      </w:r>
      <w:r>
        <w:rPr>
          <w:rFonts w:hint="eastAsia" w:eastAsia="方正仿宋_GBK"/>
          <w:color w:val="000000" w:themeColor="text1"/>
          <w:sz w:val="32"/>
          <w:szCs w:val="32"/>
        </w:rPr>
        <w:t>本年度乡镇为汇总录入单位，无机关运行经费。</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楷体_GBK" w:cs="Times New Roman"/>
          <w:color w:val="000000" w:themeColor="text1"/>
          <w:sz w:val="32"/>
          <w:szCs w:val="32"/>
        </w:rPr>
        <w:t>（二）国有资产占用情况</w:t>
      </w:r>
      <w:r>
        <w:rPr>
          <w:rFonts w:hint="eastAsia" w:ascii="Times New Roman" w:hAnsi="Times New Roman" w:eastAsia="方正楷体_GBK" w:cs="Times New Roman"/>
          <w:color w:val="000000" w:themeColor="text1"/>
          <w:sz w:val="32"/>
          <w:szCs w:val="32"/>
        </w:rPr>
        <w:t>。</w:t>
      </w:r>
      <w:r>
        <w:rPr>
          <w:rFonts w:ascii="Times New Roman" w:hAnsi="Times New Roman" w:eastAsia="方正仿宋_GBK" w:cs="Times New Roman"/>
          <w:color w:val="000000" w:themeColor="text1"/>
          <w:sz w:val="32"/>
          <w:szCs w:val="32"/>
        </w:rPr>
        <w:t>截至</w:t>
      </w:r>
      <w:r>
        <w:rPr>
          <w:rFonts w:hint="eastAsia" w:ascii="Times New Roman" w:hAnsi="Times New Roman" w:eastAsia="方正仿宋_GBK" w:cs="Times New Roman"/>
          <w:color w:val="000000" w:themeColor="text1"/>
          <w:sz w:val="32"/>
          <w:szCs w:val="32"/>
          <w:lang w:eastAsia="zh-CN"/>
        </w:rPr>
        <w:t>2024</w:t>
      </w:r>
      <w:r>
        <w:rPr>
          <w:rFonts w:ascii="Times New Roman" w:hAnsi="Times New Roman" w:eastAsia="方正仿宋_GBK" w:cs="Times New Roman"/>
          <w:color w:val="000000" w:themeColor="text1"/>
          <w:sz w:val="32"/>
          <w:szCs w:val="32"/>
        </w:rPr>
        <w:t>年12月31日，共有车辆</w:t>
      </w:r>
      <w:r>
        <w:rPr>
          <w:rFonts w:hint="eastAsia" w:ascii="Times New Roman" w:hAnsi="Times New Roman" w:eastAsia="方正仿宋_GBK" w:cs="Times New Roman"/>
          <w:color w:val="000000" w:themeColor="text1"/>
          <w:sz w:val="32"/>
          <w:szCs w:val="32"/>
        </w:rPr>
        <w:t>4</w:t>
      </w:r>
      <w:r>
        <w:rPr>
          <w:rFonts w:ascii="Times New Roman" w:hAnsi="Times New Roman" w:eastAsia="方正仿宋_GBK" w:cs="Times New Roman"/>
          <w:color w:val="000000" w:themeColor="text1"/>
          <w:sz w:val="32"/>
          <w:szCs w:val="32"/>
        </w:rPr>
        <w:t>辆，其中，应急保障用车</w:t>
      </w:r>
      <w:r>
        <w:rPr>
          <w:rFonts w:hint="eastAsia" w:ascii="Times New Roman" w:hAnsi="Times New Roman" w:eastAsia="方正仿宋_GBK" w:cs="Times New Roman"/>
          <w:color w:val="000000" w:themeColor="text1"/>
          <w:sz w:val="32"/>
          <w:szCs w:val="32"/>
        </w:rPr>
        <w:t>4</w:t>
      </w:r>
      <w:r>
        <w:rPr>
          <w:rFonts w:ascii="Times New Roman" w:hAnsi="Times New Roman" w:eastAsia="方正仿宋_GBK" w:cs="Times New Roman"/>
          <w:color w:val="000000" w:themeColor="text1"/>
          <w:sz w:val="32"/>
          <w:szCs w:val="32"/>
        </w:rPr>
        <w:t>辆，</w:t>
      </w:r>
      <w:r>
        <w:rPr>
          <w:rFonts w:hint="eastAsia" w:ascii="Times New Roman" w:hAnsi="Times New Roman" w:eastAsia="方正仿宋_GBK" w:cs="Times New Roman"/>
          <w:color w:val="000000" w:themeColor="text1"/>
          <w:sz w:val="32"/>
          <w:szCs w:val="32"/>
        </w:rPr>
        <w:t>无</w:t>
      </w:r>
      <w:r>
        <w:rPr>
          <w:rFonts w:ascii="Times New Roman" w:hAnsi="Times New Roman" w:eastAsia="方正仿宋_GBK" w:cs="Times New Roman"/>
          <w:color w:val="000000" w:themeColor="text1"/>
          <w:sz w:val="32"/>
          <w:szCs w:val="32"/>
        </w:rPr>
        <w:t>机要通信、执法执勤</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离退休干部</w:t>
      </w:r>
      <w:r>
        <w:rPr>
          <w:rFonts w:hint="eastAsia" w:ascii="Times New Roman" w:hAnsi="Times New Roman" w:eastAsia="方正仿宋_GBK" w:cs="Times New Roman"/>
          <w:color w:val="000000" w:themeColor="text1"/>
          <w:sz w:val="32"/>
          <w:szCs w:val="32"/>
        </w:rPr>
        <w:t>等其他</w:t>
      </w:r>
      <w:r>
        <w:rPr>
          <w:rFonts w:ascii="Times New Roman" w:hAnsi="Times New Roman" w:eastAsia="方正仿宋_GBK" w:cs="Times New Roman"/>
          <w:color w:val="000000" w:themeColor="text1"/>
          <w:sz w:val="32"/>
          <w:szCs w:val="32"/>
        </w:rPr>
        <w:t>用车</w:t>
      </w:r>
      <w:r>
        <w:rPr>
          <w:rFonts w:hint="eastAsia" w:ascii="Times New Roman" w:hAnsi="Times New Roman" w:eastAsia="方正仿宋_GBK" w:cs="Times New Roman"/>
          <w:color w:val="000000" w:themeColor="text1"/>
          <w:sz w:val="32"/>
          <w:szCs w:val="32"/>
        </w:rPr>
        <w:t>情况。</w:t>
      </w:r>
      <w:r>
        <w:rPr>
          <w:rFonts w:ascii="Times New Roman" w:hAnsi="Times New Roman" w:eastAsia="方正仿宋_GBK" w:cs="Times New Roman"/>
          <w:color w:val="000000" w:themeColor="text1"/>
          <w:sz w:val="32"/>
          <w:szCs w:val="32"/>
        </w:rPr>
        <w:t>单价50万元（含）以上通用设备0台（套），单价100万元（含）以上专用设备0台（套）。</w:t>
      </w:r>
    </w:p>
    <w:p>
      <w:pPr>
        <w:pStyle w:val="6"/>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楷体_GBK" w:cs="Times New Roman"/>
          <w:color w:val="000000" w:themeColor="text1"/>
          <w:sz w:val="32"/>
          <w:szCs w:val="32"/>
        </w:rPr>
        <w:t>（三）政府采购支出情况</w:t>
      </w:r>
      <w:r>
        <w:rPr>
          <w:rFonts w:hint="eastAsia" w:ascii="Times New Roman" w:hAnsi="Times New Roman" w:eastAsia="方正楷体_GBK" w:cs="Times New Roman"/>
          <w:color w:val="000000" w:themeColor="text1"/>
          <w:sz w:val="32"/>
          <w:szCs w:val="32"/>
        </w:rPr>
        <w:t>。</w:t>
      </w:r>
      <w:r>
        <w:rPr>
          <w:rFonts w:ascii="Times New Roman" w:hAnsi="Times New Roman" w:eastAsia="方正仿宋_GBK" w:cs="Times New Roman"/>
          <w:color w:val="000000" w:themeColor="text1"/>
          <w:sz w:val="32"/>
          <w:szCs w:val="32"/>
        </w:rPr>
        <w:t>政府采购支出总额</w:t>
      </w:r>
      <w:r>
        <w:rPr>
          <w:rFonts w:hint="eastAsia" w:ascii="Times New Roman" w:hAnsi="Times New Roman" w:eastAsia="方正仿宋_GBK" w:cs="Times New Roman"/>
          <w:color w:val="000000" w:themeColor="text1"/>
          <w:sz w:val="32"/>
          <w:szCs w:val="32"/>
        </w:rPr>
        <w:t>13.49</w:t>
      </w:r>
      <w:r>
        <w:rPr>
          <w:rFonts w:ascii="Times New Roman" w:hAnsi="Times New Roman" w:eastAsia="方正仿宋_GBK" w:cs="Times New Roman"/>
          <w:color w:val="000000" w:themeColor="text1"/>
          <w:sz w:val="32"/>
          <w:szCs w:val="32"/>
        </w:rPr>
        <w:t>万元，其中</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政府采购货物支出</w:t>
      </w:r>
      <w:r>
        <w:rPr>
          <w:rFonts w:hint="eastAsia" w:ascii="Times New Roman" w:hAnsi="Times New Roman" w:eastAsia="方正仿宋_GBK" w:cs="Times New Roman"/>
          <w:color w:val="000000" w:themeColor="text1"/>
          <w:sz w:val="32"/>
          <w:szCs w:val="32"/>
        </w:rPr>
        <w:t>13.49</w:t>
      </w:r>
      <w:r>
        <w:rPr>
          <w:rFonts w:ascii="Times New Roman" w:hAnsi="Times New Roman" w:eastAsia="方正仿宋_GBK" w:cs="Times New Roman"/>
          <w:color w:val="000000" w:themeColor="text1"/>
          <w:sz w:val="32"/>
          <w:szCs w:val="32"/>
        </w:rPr>
        <w:t>万元、政府采购工程支出0万元、政府采购服务支出0万元。</w:t>
      </w:r>
      <w:r>
        <w:rPr>
          <w:rFonts w:ascii="Times New Roman" w:hAnsi="Times New Roman" w:eastAsia="方正仿宋_GBK"/>
          <w:sz w:val="32"/>
          <w:szCs w:val="32"/>
        </w:rPr>
        <w:t>授予中小企业合同金额</w:t>
      </w:r>
      <w:r>
        <w:rPr>
          <w:rFonts w:hint="eastAsia" w:ascii="Times New Roman" w:hAnsi="Times New Roman" w:eastAsia="方正仿宋_GBK" w:cs="Times New Roman"/>
          <w:color w:val="000000" w:themeColor="text1"/>
          <w:sz w:val="32"/>
          <w:szCs w:val="32"/>
        </w:rPr>
        <w:t>13.49</w:t>
      </w:r>
      <w:r>
        <w:rPr>
          <w:rFonts w:ascii="Times New Roman" w:hAnsi="Times New Roman" w:eastAsia="方正仿宋_GBK"/>
          <w:sz w:val="32"/>
          <w:szCs w:val="32"/>
        </w:rPr>
        <w:t>万元，占政府采购支出总额的</w:t>
      </w:r>
      <w:r>
        <w:rPr>
          <w:rFonts w:hint="eastAsia" w:ascii="Times New Roman" w:hAnsi="Times New Roman" w:eastAsia="方正仿宋_GBK"/>
          <w:sz w:val="32"/>
          <w:szCs w:val="32"/>
        </w:rPr>
        <w:t>100</w:t>
      </w:r>
      <w:r>
        <w:rPr>
          <w:rFonts w:ascii="Times New Roman" w:hAnsi="Times New Roman" w:eastAsia="方正仿宋_GBK"/>
          <w:sz w:val="32"/>
          <w:szCs w:val="32"/>
        </w:rPr>
        <w:t>%，其中：授予小微企业合同金额</w:t>
      </w:r>
      <w:r>
        <w:rPr>
          <w:rFonts w:hint="eastAsia" w:ascii="Times New Roman" w:hAnsi="Times New Roman" w:eastAsia="方正仿宋_GBK" w:cs="Times New Roman"/>
          <w:color w:val="000000" w:themeColor="text1"/>
          <w:sz w:val="32"/>
          <w:szCs w:val="32"/>
        </w:rPr>
        <w:t>13.49</w:t>
      </w:r>
      <w:r>
        <w:rPr>
          <w:rFonts w:ascii="Times New Roman" w:hAnsi="Times New Roman" w:eastAsia="方正仿宋_GBK"/>
          <w:sz w:val="32"/>
          <w:szCs w:val="32"/>
        </w:rPr>
        <w:t>万元，占政府采购支出总额的</w:t>
      </w:r>
      <w:r>
        <w:rPr>
          <w:rFonts w:hint="eastAsia" w:ascii="Times New Roman" w:hAnsi="Times New Roman" w:eastAsia="方正仿宋_GBK"/>
          <w:sz w:val="32"/>
          <w:szCs w:val="32"/>
        </w:rPr>
        <w:t>100</w:t>
      </w:r>
      <w:r>
        <w:rPr>
          <w:rFonts w:ascii="Times New Roman" w:hAnsi="Times New Roman" w:eastAsia="方正仿宋_GBK"/>
          <w:sz w:val="32"/>
          <w:szCs w:val="32"/>
        </w:rPr>
        <w:t>%。</w:t>
      </w:r>
    </w:p>
    <w:p>
      <w:pPr>
        <w:spacing w:line="560" w:lineRule="exact"/>
        <w:ind w:firstLine="640" w:firstLineChars="200"/>
        <w:rPr>
          <w:rFonts w:eastAsia="方正仿宋_GBK"/>
          <w:b/>
          <w:color w:val="000000" w:themeColor="text1"/>
          <w:kern w:val="0"/>
          <w:sz w:val="32"/>
          <w:szCs w:val="32"/>
        </w:rPr>
      </w:pPr>
      <w:r>
        <w:rPr>
          <w:rFonts w:eastAsia="方正黑体_GBK"/>
          <w:color w:val="000000" w:themeColor="text1"/>
          <w:kern w:val="0"/>
          <w:sz w:val="32"/>
          <w:szCs w:val="32"/>
        </w:rPr>
        <w:t>五、预算绩效管理情况</w:t>
      </w:r>
    </w:p>
    <w:p>
      <w:pPr>
        <w:pStyle w:val="14"/>
        <w:tabs>
          <w:tab w:val="center" w:pos="4153"/>
          <w:tab w:val="left" w:pos="7275"/>
        </w:tabs>
        <w:spacing w:line="560" w:lineRule="exact"/>
        <w:ind w:firstLine="640"/>
        <w:rPr>
          <w:rFonts w:eastAsia="方正仿宋_GBK" w:cs="宋体"/>
          <w:color w:val="000000" w:themeColor="text1"/>
          <w:kern w:val="0"/>
          <w:sz w:val="32"/>
          <w:szCs w:val="32"/>
        </w:rPr>
      </w:pPr>
      <w:r>
        <w:rPr>
          <w:rFonts w:eastAsia="方正楷体_GBK"/>
          <w:color w:val="000000" w:themeColor="text1"/>
          <w:sz w:val="32"/>
          <w:szCs w:val="32"/>
        </w:rPr>
        <w:t>（一）预算绩效管理工作开展情况</w:t>
      </w:r>
      <w:r>
        <w:rPr>
          <w:rFonts w:hint="eastAsia" w:eastAsia="方正楷体_GBK"/>
          <w:color w:val="000000" w:themeColor="text1"/>
          <w:sz w:val="32"/>
          <w:szCs w:val="32"/>
        </w:rPr>
        <w:t>。</w:t>
      </w:r>
      <w:r>
        <w:rPr>
          <w:rFonts w:hint="eastAsia" w:eastAsia="方正仿宋_GBK" w:cs="宋体"/>
          <w:color w:val="000000" w:themeColor="text1"/>
          <w:kern w:val="0"/>
          <w:sz w:val="32"/>
          <w:szCs w:val="32"/>
        </w:rPr>
        <w:t>根据预算绩效管理要求，我镇对部门</w:t>
      </w:r>
      <w:r>
        <w:rPr>
          <w:rFonts w:eastAsia="方正仿宋_GBK" w:cs="宋体"/>
          <w:color w:val="000000" w:themeColor="text1"/>
          <w:kern w:val="0"/>
          <w:sz w:val="32"/>
          <w:szCs w:val="32"/>
        </w:rPr>
        <w:t>整体</w:t>
      </w:r>
      <w:r>
        <w:rPr>
          <w:rFonts w:hint="eastAsia" w:eastAsia="方正仿宋_GBK" w:cs="宋体"/>
          <w:color w:val="000000" w:themeColor="text1"/>
          <w:kern w:val="0"/>
          <w:sz w:val="32"/>
          <w:szCs w:val="32"/>
        </w:rPr>
        <w:t>和49个项目开展了绩效自评，其中，以填报目标自评表形式开展自评49项，涉及资金1957.51万元。从评价情况来看，该项目实施情况总体良好。有效的解决了群众生产生活出行问题，大幅的提高群众满意度。</w:t>
      </w:r>
    </w:p>
    <w:p>
      <w:pPr>
        <w:pStyle w:val="14"/>
        <w:numPr>
          <w:ilvl w:val="0"/>
          <w:numId w:val="2"/>
        </w:numPr>
        <w:tabs>
          <w:tab w:val="center" w:pos="4153"/>
          <w:tab w:val="left" w:pos="7275"/>
        </w:tabs>
        <w:spacing w:line="560" w:lineRule="exact"/>
        <w:ind w:firstLine="640"/>
        <w:rPr>
          <w:rFonts w:eastAsia="方正楷体_GBK"/>
          <w:color w:val="000000" w:themeColor="text1"/>
          <w:sz w:val="32"/>
          <w:szCs w:val="32"/>
        </w:rPr>
      </w:pPr>
      <w:r>
        <w:rPr>
          <w:rFonts w:eastAsia="方正楷体_GBK"/>
          <w:color w:val="000000" w:themeColor="text1"/>
          <w:sz w:val="32"/>
          <w:szCs w:val="32"/>
        </w:rPr>
        <w:t>绩效自评结果</w:t>
      </w:r>
    </w:p>
    <w:p>
      <w:pPr>
        <w:pStyle w:val="14"/>
        <w:tabs>
          <w:tab w:val="center" w:pos="4153"/>
          <w:tab w:val="left" w:pos="7275"/>
        </w:tabs>
        <w:spacing w:line="560" w:lineRule="exact"/>
        <w:ind w:firstLine="0" w:firstLineChars="0"/>
        <w:rPr>
          <w:rFonts w:eastAsia="方正楷体_GBK"/>
          <w:color w:val="000000" w:themeColor="text1"/>
          <w:sz w:val="32"/>
          <w:szCs w:val="32"/>
        </w:rPr>
      </w:pPr>
      <w:r>
        <w:rPr>
          <w:rFonts w:hint="eastAsia" w:eastAsia="方正楷体_GBK"/>
          <w:color w:val="000000" w:themeColor="text1"/>
          <w:sz w:val="32"/>
          <w:szCs w:val="32"/>
        </w:rPr>
        <w:t xml:space="preserve">    1.绩效目标自评表</w:t>
      </w:r>
    </w:p>
    <w:p>
      <w:pPr>
        <w:pStyle w:val="14"/>
        <w:tabs>
          <w:tab w:val="center" w:pos="4153"/>
          <w:tab w:val="left" w:pos="7275"/>
        </w:tabs>
        <w:spacing w:line="560" w:lineRule="exact"/>
        <w:ind w:firstLine="0" w:firstLineChars="0"/>
        <w:jc w:val="center"/>
        <w:rPr>
          <w:rFonts w:eastAsia="方正仿宋_GBK" w:cs="宋体"/>
          <w:color w:val="000000" w:themeColor="text1"/>
          <w:kern w:val="0"/>
          <w:sz w:val="32"/>
          <w:szCs w:val="32"/>
        </w:rPr>
      </w:pPr>
      <w:r>
        <w:rPr>
          <w:rFonts w:hint="eastAsia" w:eastAsia="方正小标宋_GBK" w:cs="宋体"/>
          <w:color w:val="000000" w:themeColor="text1"/>
          <w:kern w:val="0"/>
          <w:sz w:val="32"/>
          <w:szCs w:val="32"/>
        </w:rPr>
        <w:t>部门整体绩效自评表</w:t>
      </w:r>
    </w:p>
    <w:tbl>
      <w:tblPr>
        <w:tblStyle w:val="7"/>
        <w:tblW w:w="9993" w:type="dxa"/>
        <w:tblInd w:w="-318" w:type="dxa"/>
        <w:tblLayout w:type="fixed"/>
        <w:tblCellMar>
          <w:top w:w="0" w:type="dxa"/>
          <w:left w:w="108" w:type="dxa"/>
          <w:bottom w:w="0" w:type="dxa"/>
          <w:right w:w="108" w:type="dxa"/>
        </w:tblCellMar>
      </w:tblPr>
      <w:tblGrid>
        <w:gridCol w:w="792"/>
        <w:gridCol w:w="704"/>
        <w:gridCol w:w="278"/>
        <w:gridCol w:w="135"/>
        <w:gridCol w:w="199"/>
        <w:gridCol w:w="731"/>
        <w:gridCol w:w="876"/>
        <w:gridCol w:w="310"/>
        <w:gridCol w:w="700"/>
        <w:gridCol w:w="925"/>
        <w:gridCol w:w="78"/>
        <w:gridCol w:w="920"/>
        <w:gridCol w:w="1227"/>
        <w:gridCol w:w="59"/>
        <w:gridCol w:w="956"/>
        <w:gridCol w:w="1103"/>
      </w:tblGrid>
      <w:tr>
        <w:tblPrEx>
          <w:tblCellMar>
            <w:top w:w="0" w:type="dxa"/>
            <w:left w:w="108" w:type="dxa"/>
            <w:bottom w:w="0" w:type="dxa"/>
            <w:right w:w="108" w:type="dxa"/>
          </w:tblCellMar>
        </w:tblPrEx>
        <w:trPr>
          <w:trHeight w:val="575" w:hRule="atLeast"/>
        </w:trPr>
        <w:tc>
          <w:tcPr>
            <w:tcW w:w="79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主管</w:t>
            </w:r>
          </w:p>
          <w:p>
            <w:pPr>
              <w:widowControl/>
              <w:spacing w:line="240" w:lineRule="exact"/>
              <w:jc w:val="center"/>
              <w:rPr>
                <w:rFonts w:eastAsia="方正仿宋_GBK" w:cs="宋体"/>
                <w:color w:val="000000" w:themeColor="text1"/>
                <w:kern w:val="0"/>
                <w:szCs w:val="21"/>
              </w:rPr>
            </w:pPr>
            <w:r>
              <w:rPr>
                <w:rFonts w:hint="eastAsia" w:ascii="方正黑体_GBK" w:eastAsia="方正黑体_GBK" w:cs="宋体"/>
                <w:color w:val="000000" w:themeColor="text1"/>
                <w:kern w:val="0"/>
                <w:szCs w:val="21"/>
              </w:rPr>
              <w:t>部门</w:t>
            </w:r>
          </w:p>
        </w:tc>
        <w:tc>
          <w:tcPr>
            <w:tcW w:w="1117"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坪坝镇人民政府</w:t>
            </w:r>
          </w:p>
        </w:tc>
        <w:tc>
          <w:tcPr>
            <w:tcW w:w="930"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财政</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处室</w:t>
            </w:r>
          </w:p>
        </w:tc>
        <w:tc>
          <w:tcPr>
            <w:tcW w:w="1186"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预算科</w:t>
            </w:r>
          </w:p>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农业农村和产业发展科</w:t>
            </w:r>
          </w:p>
        </w:tc>
        <w:tc>
          <w:tcPr>
            <w:tcW w:w="16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自评总分（分）</w:t>
            </w:r>
          </w:p>
        </w:tc>
        <w:tc>
          <w:tcPr>
            <w:tcW w:w="4343" w:type="dxa"/>
            <w:gridSpan w:val="6"/>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95</w:t>
            </w:r>
          </w:p>
        </w:tc>
      </w:tr>
      <w:tr>
        <w:tblPrEx>
          <w:tblCellMar>
            <w:top w:w="0" w:type="dxa"/>
            <w:left w:w="108" w:type="dxa"/>
            <w:bottom w:w="0" w:type="dxa"/>
            <w:right w:w="108" w:type="dxa"/>
          </w:tblCellMar>
        </w:tblPrEx>
        <w:trPr>
          <w:trHeight w:val="575"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p>
        </w:tc>
        <w:tc>
          <w:tcPr>
            <w:tcW w:w="1117"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p>
        </w:tc>
        <w:tc>
          <w:tcPr>
            <w:tcW w:w="93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p>
        </w:tc>
        <w:tc>
          <w:tcPr>
            <w:tcW w:w="1186"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p>
        </w:tc>
        <w:tc>
          <w:tcPr>
            <w:tcW w:w="1625" w:type="dxa"/>
            <w:gridSpan w:val="2"/>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部门联系人</w:t>
            </w:r>
          </w:p>
        </w:tc>
        <w:tc>
          <w:tcPr>
            <w:tcW w:w="998" w:type="dxa"/>
            <w:gridSpan w:val="2"/>
            <w:tcBorders>
              <w:top w:val="nil"/>
              <w:left w:val="nil"/>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r>
              <w:rPr>
                <w:rFonts w:eastAsia="方正仿宋_GBK" w:cs="宋体"/>
                <w:color w:val="000000" w:themeColor="text1"/>
                <w:kern w:val="0"/>
                <w:szCs w:val="21"/>
              </w:rPr>
              <w:t>项目办</w:t>
            </w:r>
          </w:p>
        </w:tc>
        <w:tc>
          <w:tcPr>
            <w:tcW w:w="1227"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联系电话</w:t>
            </w:r>
          </w:p>
        </w:tc>
        <w:tc>
          <w:tcPr>
            <w:tcW w:w="2118"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59283004</w:t>
            </w:r>
          </w:p>
        </w:tc>
      </w:tr>
      <w:tr>
        <w:tblPrEx>
          <w:tblCellMar>
            <w:top w:w="0" w:type="dxa"/>
            <w:left w:w="108" w:type="dxa"/>
            <w:bottom w:w="0" w:type="dxa"/>
            <w:right w:w="108" w:type="dxa"/>
          </w:tblCellMar>
        </w:tblPrEx>
        <w:trPr>
          <w:trHeight w:val="575" w:hRule="atLeast"/>
        </w:trPr>
        <w:tc>
          <w:tcPr>
            <w:tcW w:w="7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部门预算执行情况</w:t>
            </w:r>
          </w:p>
        </w:tc>
        <w:tc>
          <w:tcPr>
            <w:tcW w:w="982" w:type="dxa"/>
            <w:gridSpan w:val="2"/>
            <w:vMerge w:val="restart"/>
            <w:tcBorders>
              <w:top w:val="nil"/>
              <w:left w:val="nil"/>
              <w:right w:val="nil"/>
            </w:tcBorders>
            <w:vAlign w:val="center"/>
          </w:tcPr>
          <w:p>
            <w:pPr>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预算</w:t>
            </w:r>
          </w:p>
          <w:p>
            <w:pPr>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资金</w:t>
            </w:r>
          </w:p>
          <w:p>
            <w:pPr>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（万元）</w:t>
            </w:r>
          </w:p>
        </w:tc>
        <w:tc>
          <w:tcPr>
            <w:tcW w:w="1065" w:type="dxa"/>
            <w:gridSpan w:val="3"/>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年初</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预算数</w:t>
            </w:r>
          </w:p>
        </w:tc>
        <w:tc>
          <w:tcPr>
            <w:tcW w:w="188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全年（调整）</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预算数</w:t>
            </w:r>
          </w:p>
        </w:tc>
        <w:tc>
          <w:tcPr>
            <w:tcW w:w="192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全年执行数</w:t>
            </w:r>
          </w:p>
        </w:tc>
        <w:tc>
          <w:tcPr>
            <w:tcW w:w="1227"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执行率</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w:t>
            </w:r>
          </w:p>
        </w:tc>
        <w:tc>
          <w:tcPr>
            <w:tcW w:w="1015" w:type="dxa"/>
            <w:gridSpan w:val="2"/>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执行率</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权重</w:t>
            </w:r>
          </w:p>
        </w:tc>
        <w:tc>
          <w:tcPr>
            <w:tcW w:w="1103"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执行率</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得分（分）</w:t>
            </w:r>
          </w:p>
        </w:tc>
      </w:tr>
      <w:tr>
        <w:tblPrEx>
          <w:tblCellMar>
            <w:top w:w="0" w:type="dxa"/>
            <w:left w:w="108" w:type="dxa"/>
            <w:bottom w:w="0" w:type="dxa"/>
            <w:right w:w="108" w:type="dxa"/>
          </w:tblCellMar>
        </w:tblPrEx>
        <w:trPr>
          <w:trHeight w:val="574" w:hRule="atLeast"/>
        </w:trPr>
        <w:tc>
          <w:tcPr>
            <w:tcW w:w="7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p>
        </w:tc>
        <w:tc>
          <w:tcPr>
            <w:tcW w:w="982" w:type="dxa"/>
            <w:gridSpan w:val="2"/>
            <w:vMerge w:val="continue"/>
            <w:tcBorders>
              <w:left w:val="nil"/>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p>
        </w:tc>
        <w:tc>
          <w:tcPr>
            <w:tcW w:w="1065" w:type="dxa"/>
            <w:gridSpan w:val="3"/>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1098.95</w:t>
            </w:r>
          </w:p>
        </w:tc>
        <w:tc>
          <w:tcPr>
            <w:tcW w:w="188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1957.51</w:t>
            </w:r>
          </w:p>
        </w:tc>
        <w:tc>
          <w:tcPr>
            <w:tcW w:w="192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1807.87</w:t>
            </w:r>
          </w:p>
        </w:tc>
        <w:tc>
          <w:tcPr>
            <w:tcW w:w="1227" w:type="dxa"/>
            <w:tcBorders>
              <w:top w:val="nil"/>
              <w:left w:val="nil"/>
              <w:bottom w:val="single" w:color="auto" w:sz="4" w:space="0"/>
              <w:right w:val="single" w:color="auto" w:sz="4" w:space="0"/>
            </w:tcBorders>
            <w:vAlign w:val="center"/>
          </w:tcPr>
          <w:p>
            <w:pPr>
              <w:widowControl/>
              <w:spacing w:line="240" w:lineRule="exact"/>
              <w:ind w:firstLine="210" w:firstLineChars="100"/>
              <w:jc w:val="center"/>
              <w:rPr>
                <w:rFonts w:eastAsia="方正仿宋_GBK" w:cs="宋体"/>
                <w:color w:val="000000" w:themeColor="text1"/>
                <w:kern w:val="0"/>
                <w:szCs w:val="21"/>
              </w:rPr>
            </w:pPr>
            <w:r>
              <w:rPr>
                <w:rFonts w:hint="eastAsia" w:eastAsia="方正仿宋_GBK" w:cs="宋体"/>
                <w:color w:val="000000" w:themeColor="text1"/>
                <w:kern w:val="0"/>
                <w:szCs w:val="21"/>
              </w:rPr>
              <w:t>92.36</w:t>
            </w:r>
          </w:p>
        </w:tc>
        <w:tc>
          <w:tcPr>
            <w:tcW w:w="1015" w:type="dxa"/>
            <w:gridSpan w:val="2"/>
            <w:tcBorders>
              <w:top w:val="nil"/>
              <w:left w:val="nil"/>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100%</w:t>
            </w:r>
          </w:p>
        </w:tc>
        <w:tc>
          <w:tcPr>
            <w:tcW w:w="1103" w:type="dxa"/>
            <w:tcBorders>
              <w:top w:val="nil"/>
              <w:left w:val="nil"/>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92</w:t>
            </w:r>
          </w:p>
        </w:tc>
      </w:tr>
      <w:tr>
        <w:tblPrEx>
          <w:tblCellMar>
            <w:top w:w="0" w:type="dxa"/>
            <w:left w:w="108" w:type="dxa"/>
            <w:bottom w:w="0" w:type="dxa"/>
            <w:right w:w="108" w:type="dxa"/>
          </w:tblCellMar>
        </w:tblPrEx>
        <w:trPr>
          <w:trHeight w:val="400" w:hRule="atLeast"/>
        </w:trPr>
        <w:tc>
          <w:tcPr>
            <w:tcW w:w="7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当年绩效目标</w:t>
            </w:r>
          </w:p>
        </w:tc>
        <w:tc>
          <w:tcPr>
            <w:tcW w:w="2047"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年初绩效目标</w:t>
            </w:r>
          </w:p>
        </w:tc>
        <w:tc>
          <w:tcPr>
            <w:tcW w:w="3809" w:type="dxa"/>
            <w:gridSpan w:val="6"/>
            <w:tcBorders>
              <w:top w:val="single" w:color="auto" w:sz="4" w:space="0"/>
              <w:left w:val="nil"/>
              <w:bottom w:val="single" w:color="auto" w:sz="4" w:space="0"/>
              <w:right w:val="single" w:color="000000"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全年（调整）绩效目标</w:t>
            </w:r>
          </w:p>
        </w:tc>
        <w:tc>
          <w:tcPr>
            <w:tcW w:w="334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全年目标实际完成情况</w:t>
            </w:r>
          </w:p>
        </w:tc>
      </w:tr>
      <w:tr>
        <w:tblPrEx>
          <w:tblCellMar>
            <w:top w:w="0" w:type="dxa"/>
            <w:left w:w="108" w:type="dxa"/>
            <w:bottom w:w="0" w:type="dxa"/>
            <w:right w:w="108" w:type="dxa"/>
          </w:tblCellMar>
        </w:tblPrEx>
        <w:trPr>
          <w:trHeight w:val="712" w:hRule="atLeast"/>
        </w:trPr>
        <w:tc>
          <w:tcPr>
            <w:tcW w:w="7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p>
        </w:tc>
        <w:tc>
          <w:tcPr>
            <w:tcW w:w="2047"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eastAsia="方正仿宋_GBK" w:cs="宋体"/>
                <w:color w:val="000000" w:themeColor="text1"/>
                <w:kern w:val="0"/>
                <w:szCs w:val="21"/>
              </w:rPr>
              <w:t>1.保障了乡镇运转以及人员待遇。2.村社区日常运转保障等。</w:t>
            </w:r>
            <w:r>
              <w:rPr>
                <w:rFonts w:hint="eastAsia" w:eastAsia="方正仿宋_GBK" w:cs="宋体"/>
                <w:color w:val="000000" w:themeColor="text1"/>
                <w:kern w:val="0"/>
                <w:szCs w:val="21"/>
              </w:rPr>
              <w:t>3.</w:t>
            </w:r>
            <w:r>
              <w:rPr>
                <w:rFonts w:eastAsia="方正仿宋_GBK" w:cs="宋体"/>
                <w:color w:val="000000" w:themeColor="text1"/>
                <w:kern w:val="0"/>
                <w:szCs w:val="21"/>
              </w:rPr>
              <w:t>加强综合治理，维护社会稳定，妥善处理突发性、群体性事件，调节和处理好各种利益矛盾和纠纷</w:t>
            </w:r>
            <w:r>
              <w:rPr>
                <w:rFonts w:hint="eastAsia" w:eastAsia="方正仿宋_GBK" w:cs="宋体"/>
                <w:color w:val="000000" w:themeColor="text1"/>
                <w:kern w:val="0"/>
                <w:szCs w:val="21"/>
              </w:rPr>
              <w:t>。</w:t>
            </w:r>
          </w:p>
        </w:tc>
        <w:tc>
          <w:tcPr>
            <w:tcW w:w="3809" w:type="dxa"/>
            <w:gridSpan w:val="6"/>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1.实施基础设施建设，便于群众出行，提高群众生活质量。2.规范政府财政项目支出行为，健全科学的决策、建设和监督管理制度，提高政府项目运行效益。</w:t>
            </w:r>
          </w:p>
        </w:tc>
        <w:tc>
          <w:tcPr>
            <w:tcW w:w="334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1.贯彻执行上级的各项方针政策，稳定和完善农村基本经营管理，加强农业基础设施建设，改善农业生产条件，确保各项工作目标任务圆满完成。2.</w:t>
            </w:r>
            <w:r>
              <w:rPr>
                <w:rFonts w:eastAsia="方正仿宋_GBK" w:cs="宋体"/>
                <w:color w:val="000000" w:themeColor="text1"/>
                <w:kern w:val="0"/>
                <w:szCs w:val="21"/>
              </w:rPr>
              <w:t>精准发力，落实</w:t>
            </w:r>
            <w:r>
              <w:rPr>
                <w:rFonts w:hint="eastAsia" w:eastAsia="方正仿宋_GBK" w:cs="宋体"/>
                <w:color w:val="000000" w:themeColor="text1"/>
                <w:kern w:val="0"/>
                <w:szCs w:val="21"/>
              </w:rPr>
              <w:t>各项工作，</w:t>
            </w:r>
            <w:r>
              <w:rPr>
                <w:rFonts w:eastAsia="方正仿宋_GBK" w:cs="宋体"/>
                <w:color w:val="000000" w:themeColor="text1"/>
                <w:kern w:val="0"/>
                <w:szCs w:val="21"/>
              </w:rPr>
              <w:t>推进</w:t>
            </w:r>
            <w:r>
              <w:rPr>
                <w:rFonts w:hint="eastAsia" w:eastAsia="方正仿宋_GBK" w:cs="宋体"/>
                <w:color w:val="000000" w:themeColor="text1"/>
                <w:kern w:val="0"/>
                <w:szCs w:val="21"/>
              </w:rPr>
              <w:t>发展</w:t>
            </w:r>
            <w:r>
              <w:rPr>
                <w:rFonts w:eastAsia="方正仿宋_GBK" w:cs="宋体"/>
                <w:color w:val="000000" w:themeColor="text1"/>
                <w:kern w:val="0"/>
                <w:szCs w:val="21"/>
              </w:rPr>
              <w:t>；加强项目建设，促进农业发展、加强人居环境提升、</w:t>
            </w:r>
            <w:r>
              <w:rPr>
                <w:rFonts w:hint="eastAsia" w:eastAsia="方正仿宋_GBK" w:cs="宋体"/>
                <w:color w:val="000000" w:themeColor="text1"/>
                <w:kern w:val="0"/>
                <w:szCs w:val="21"/>
              </w:rPr>
              <w:t>各项</w:t>
            </w:r>
            <w:r>
              <w:rPr>
                <w:rFonts w:eastAsia="方正仿宋_GBK" w:cs="宋体"/>
                <w:color w:val="000000" w:themeColor="text1"/>
                <w:kern w:val="0"/>
                <w:szCs w:val="21"/>
              </w:rPr>
              <w:t>补贴</w:t>
            </w:r>
            <w:r>
              <w:rPr>
                <w:rFonts w:hint="eastAsia" w:eastAsia="方正仿宋_GBK" w:cs="宋体"/>
                <w:color w:val="000000" w:themeColor="text1"/>
                <w:kern w:val="0"/>
                <w:szCs w:val="21"/>
              </w:rPr>
              <w:t>、基础设施</w:t>
            </w:r>
            <w:r>
              <w:rPr>
                <w:rFonts w:eastAsia="方正仿宋_GBK" w:cs="宋体"/>
                <w:color w:val="000000" w:themeColor="text1"/>
                <w:kern w:val="0"/>
                <w:szCs w:val="21"/>
              </w:rPr>
              <w:t>等项目建设；</w:t>
            </w:r>
          </w:p>
        </w:tc>
      </w:tr>
      <w:tr>
        <w:tblPrEx>
          <w:tblCellMar>
            <w:top w:w="0" w:type="dxa"/>
            <w:left w:w="108" w:type="dxa"/>
            <w:bottom w:w="0" w:type="dxa"/>
            <w:right w:w="108" w:type="dxa"/>
          </w:tblCellMar>
        </w:tblPrEx>
        <w:trPr>
          <w:trHeight w:val="575" w:hRule="atLeast"/>
        </w:trPr>
        <w:tc>
          <w:tcPr>
            <w:tcW w:w="792" w:type="dxa"/>
            <w:vMerge w:val="restart"/>
            <w:tcBorders>
              <w:top w:val="nil"/>
              <w:left w:val="single" w:color="auto" w:sz="4" w:space="0"/>
              <w:right w:val="single" w:color="auto" w:sz="4" w:space="0"/>
            </w:tcBorders>
            <w:textDirection w:val="tbRlV"/>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绩效指标</w:t>
            </w:r>
          </w:p>
        </w:tc>
        <w:tc>
          <w:tcPr>
            <w:tcW w:w="704" w:type="dxa"/>
            <w:tcBorders>
              <w:top w:val="nil"/>
              <w:left w:val="nil"/>
              <w:bottom w:val="single" w:color="auto" w:sz="4" w:space="0"/>
              <w:right w:val="nil"/>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指标</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名称</w:t>
            </w:r>
          </w:p>
        </w:tc>
        <w:tc>
          <w:tcPr>
            <w:tcW w:w="612" w:type="dxa"/>
            <w:gridSpan w:val="3"/>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计量</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单位</w:t>
            </w:r>
          </w:p>
        </w:tc>
        <w:tc>
          <w:tcPr>
            <w:tcW w:w="731"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指标</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性质</w:t>
            </w:r>
          </w:p>
        </w:tc>
        <w:tc>
          <w:tcPr>
            <w:tcW w:w="876"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年初指标值</w:t>
            </w:r>
          </w:p>
        </w:tc>
        <w:tc>
          <w:tcPr>
            <w:tcW w:w="1010" w:type="dxa"/>
            <w:gridSpan w:val="2"/>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调整指标值</w:t>
            </w:r>
          </w:p>
        </w:tc>
        <w:tc>
          <w:tcPr>
            <w:tcW w:w="1003" w:type="dxa"/>
            <w:gridSpan w:val="2"/>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全年完成值</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得分</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系数</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w:t>
            </w:r>
          </w:p>
        </w:tc>
        <w:tc>
          <w:tcPr>
            <w:tcW w:w="1286" w:type="dxa"/>
            <w:gridSpan w:val="2"/>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指标权</w:t>
            </w:r>
          </w:p>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重（分）</w:t>
            </w:r>
          </w:p>
        </w:tc>
        <w:tc>
          <w:tcPr>
            <w:tcW w:w="956"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指标得分（分）</w:t>
            </w:r>
          </w:p>
        </w:tc>
        <w:tc>
          <w:tcPr>
            <w:tcW w:w="1103" w:type="dxa"/>
            <w:tcBorders>
              <w:top w:val="nil"/>
              <w:left w:val="nil"/>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是否核心指标</w:t>
            </w:r>
          </w:p>
        </w:tc>
      </w:tr>
      <w:tr>
        <w:tblPrEx>
          <w:tblCellMar>
            <w:top w:w="0" w:type="dxa"/>
            <w:left w:w="108" w:type="dxa"/>
            <w:bottom w:w="0" w:type="dxa"/>
            <w:right w:w="108" w:type="dxa"/>
          </w:tblCellMar>
        </w:tblPrEx>
        <w:trPr>
          <w:trHeight w:val="536" w:hRule="atLeast"/>
        </w:trPr>
        <w:tc>
          <w:tcPr>
            <w:tcW w:w="792" w:type="dxa"/>
            <w:vMerge w:val="continue"/>
            <w:tcBorders>
              <w:left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p>
        </w:tc>
        <w:tc>
          <w:tcPr>
            <w:tcW w:w="704" w:type="dxa"/>
            <w:tcBorders>
              <w:top w:val="nil"/>
              <w:left w:val="nil"/>
              <w:bottom w:val="single" w:color="auto" w:sz="4" w:space="0"/>
              <w:right w:val="nil"/>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产出指标</w:t>
            </w:r>
          </w:p>
        </w:tc>
        <w:tc>
          <w:tcPr>
            <w:tcW w:w="612" w:type="dxa"/>
            <w:gridSpan w:val="3"/>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w:t>
            </w:r>
          </w:p>
        </w:tc>
        <w:tc>
          <w:tcPr>
            <w:tcW w:w="731" w:type="dxa"/>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eastAsia="方正仿宋_GBK"/>
                <w:color w:val="000000" w:themeColor="text1"/>
                <w:kern w:val="0"/>
                <w:szCs w:val="21"/>
              </w:rPr>
              <w:t>≤=</w:t>
            </w:r>
          </w:p>
        </w:tc>
        <w:tc>
          <w:tcPr>
            <w:tcW w:w="876" w:type="dxa"/>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1098.95</w:t>
            </w:r>
          </w:p>
        </w:tc>
        <w:tc>
          <w:tcPr>
            <w:tcW w:w="1010" w:type="dxa"/>
            <w:gridSpan w:val="2"/>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858.56</w:t>
            </w:r>
          </w:p>
        </w:tc>
        <w:tc>
          <w:tcPr>
            <w:tcW w:w="1003" w:type="dxa"/>
            <w:gridSpan w:val="2"/>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1807.87</w:t>
            </w:r>
          </w:p>
        </w:tc>
        <w:tc>
          <w:tcPr>
            <w:tcW w:w="920" w:type="dxa"/>
            <w:tcBorders>
              <w:top w:val="nil"/>
              <w:left w:val="single" w:color="auto" w:sz="4" w:space="0"/>
              <w:bottom w:val="single" w:color="auto" w:sz="4" w:space="0"/>
              <w:right w:val="nil"/>
            </w:tcBorders>
            <w:vAlign w:val="center"/>
          </w:tcPr>
          <w:p>
            <w:pPr>
              <w:widowControl/>
              <w:spacing w:line="240" w:lineRule="exact"/>
              <w:rPr>
                <w:rFonts w:eastAsia="方正仿宋_GBK" w:cs="宋体"/>
                <w:color w:val="000000" w:themeColor="text1"/>
                <w:kern w:val="0"/>
                <w:szCs w:val="21"/>
              </w:rPr>
            </w:pPr>
            <w:r>
              <w:rPr>
                <w:rFonts w:hint="eastAsia" w:eastAsia="方正仿宋_GBK" w:cs="宋体"/>
                <w:color w:val="000000" w:themeColor="text1"/>
                <w:kern w:val="0"/>
                <w:szCs w:val="21"/>
              </w:rPr>
              <w:t>92</w:t>
            </w:r>
          </w:p>
        </w:tc>
        <w:tc>
          <w:tcPr>
            <w:tcW w:w="1286" w:type="dxa"/>
            <w:gridSpan w:val="2"/>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70</w:t>
            </w:r>
          </w:p>
        </w:tc>
        <w:tc>
          <w:tcPr>
            <w:tcW w:w="956" w:type="dxa"/>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92</w:t>
            </w:r>
          </w:p>
        </w:tc>
        <w:tc>
          <w:tcPr>
            <w:tcW w:w="11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是</w:t>
            </w:r>
          </w:p>
        </w:tc>
      </w:tr>
      <w:tr>
        <w:tblPrEx>
          <w:tblCellMar>
            <w:top w:w="0" w:type="dxa"/>
            <w:left w:w="108" w:type="dxa"/>
            <w:bottom w:w="0" w:type="dxa"/>
            <w:right w:w="108" w:type="dxa"/>
          </w:tblCellMar>
        </w:tblPrEx>
        <w:trPr>
          <w:trHeight w:val="536" w:hRule="atLeast"/>
        </w:trPr>
        <w:tc>
          <w:tcPr>
            <w:tcW w:w="792"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p>
        </w:tc>
        <w:tc>
          <w:tcPr>
            <w:tcW w:w="704" w:type="dxa"/>
            <w:tcBorders>
              <w:top w:val="nil"/>
              <w:left w:val="nil"/>
              <w:bottom w:val="single" w:color="auto" w:sz="4" w:space="0"/>
              <w:right w:val="nil"/>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olor w:val="000000" w:themeColor="text1"/>
                <w:kern w:val="0"/>
                <w:szCs w:val="21"/>
              </w:rPr>
              <w:t>执行序时进度</w:t>
            </w:r>
          </w:p>
        </w:tc>
        <w:tc>
          <w:tcPr>
            <w:tcW w:w="612" w:type="dxa"/>
            <w:gridSpan w:val="3"/>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月</w:t>
            </w:r>
          </w:p>
        </w:tc>
        <w:tc>
          <w:tcPr>
            <w:tcW w:w="731" w:type="dxa"/>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eastAsia="方正仿宋_GBK"/>
                <w:color w:val="000000" w:themeColor="text1"/>
                <w:kern w:val="0"/>
                <w:szCs w:val="21"/>
              </w:rPr>
              <w:t>≤=</w:t>
            </w:r>
          </w:p>
        </w:tc>
        <w:tc>
          <w:tcPr>
            <w:tcW w:w="876" w:type="dxa"/>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12</w:t>
            </w:r>
          </w:p>
        </w:tc>
        <w:tc>
          <w:tcPr>
            <w:tcW w:w="1010" w:type="dxa"/>
            <w:gridSpan w:val="2"/>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0</w:t>
            </w:r>
          </w:p>
        </w:tc>
        <w:tc>
          <w:tcPr>
            <w:tcW w:w="1003" w:type="dxa"/>
            <w:gridSpan w:val="2"/>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12</w:t>
            </w:r>
          </w:p>
        </w:tc>
        <w:tc>
          <w:tcPr>
            <w:tcW w:w="920" w:type="dxa"/>
            <w:tcBorders>
              <w:top w:val="nil"/>
              <w:left w:val="single" w:color="auto" w:sz="4" w:space="0"/>
              <w:bottom w:val="single" w:color="auto" w:sz="4" w:space="0"/>
              <w:right w:val="nil"/>
            </w:tcBorders>
            <w:vAlign w:val="center"/>
          </w:tcPr>
          <w:p>
            <w:pPr>
              <w:widowControl/>
              <w:spacing w:line="240" w:lineRule="exact"/>
              <w:rPr>
                <w:rFonts w:eastAsia="方正仿宋_GBK" w:cs="宋体"/>
                <w:color w:val="000000" w:themeColor="text1"/>
                <w:kern w:val="0"/>
                <w:szCs w:val="21"/>
              </w:rPr>
            </w:pPr>
            <w:r>
              <w:rPr>
                <w:rFonts w:hint="eastAsia" w:eastAsia="方正仿宋_GBK" w:cs="宋体"/>
                <w:color w:val="000000" w:themeColor="text1"/>
                <w:kern w:val="0"/>
                <w:szCs w:val="21"/>
              </w:rPr>
              <w:t>100</w:t>
            </w:r>
          </w:p>
        </w:tc>
        <w:tc>
          <w:tcPr>
            <w:tcW w:w="1286" w:type="dxa"/>
            <w:gridSpan w:val="2"/>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30</w:t>
            </w:r>
          </w:p>
        </w:tc>
        <w:tc>
          <w:tcPr>
            <w:tcW w:w="956" w:type="dxa"/>
            <w:tcBorders>
              <w:top w:val="nil"/>
              <w:left w:val="single" w:color="auto" w:sz="4" w:space="0"/>
              <w:bottom w:val="single" w:color="auto" w:sz="4" w:space="0"/>
              <w:right w:val="nil"/>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100</w:t>
            </w:r>
          </w:p>
        </w:tc>
        <w:tc>
          <w:tcPr>
            <w:tcW w:w="11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cs="宋体"/>
                <w:color w:val="000000" w:themeColor="text1"/>
                <w:kern w:val="0"/>
                <w:szCs w:val="21"/>
              </w:rPr>
            </w:pPr>
            <w:r>
              <w:rPr>
                <w:rFonts w:hint="eastAsia" w:eastAsia="方正仿宋_GBK" w:cs="宋体"/>
                <w:color w:val="000000" w:themeColor="text1"/>
                <w:kern w:val="0"/>
                <w:szCs w:val="21"/>
              </w:rPr>
              <w:t>是</w:t>
            </w:r>
          </w:p>
        </w:tc>
      </w:tr>
      <w:tr>
        <w:tblPrEx>
          <w:tblCellMar>
            <w:top w:w="0" w:type="dxa"/>
            <w:left w:w="108" w:type="dxa"/>
            <w:bottom w:w="0" w:type="dxa"/>
            <w:right w:w="108" w:type="dxa"/>
          </w:tblCellMar>
        </w:tblPrEx>
        <w:trPr>
          <w:trHeight w:val="364" w:hRule="atLeast"/>
        </w:trPr>
        <w:tc>
          <w:tcPr>
            <w:tcW w:w="7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黑体_GBK" w:eastAsia="方正黑体_GBK" w:cs="宋体"/>
                <w:color w:val="000000" w:themeColor="text1"/>
                <w:kern w:val="0"/>
                <w:szCs w:val="21"/>
              </w:rPr>
            </w:pPr>
            <w:r>
              <w:rPr>
                <w:rFonts w:hint="eastAsia" w:ascii="方正黑体_GBK" w:eastAsia="方正黑体_GBK" w:cs="宋体"/>
                <w:color w:val="000000" w:themeColor="text1"/>
                <w:kern w:val="0"/>
                <w:szCs w:val="21"/>
              </w:rPr>
              <w:t>说明</w:t>
            </w:r>
          </w:p>
        </w:tc>
        <w:tc>
          <w:tcPr>
            <w:tcW w:w="9201" w:type="dxa"/>
            <w:gridSpan w:val="1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方正仿宋_GBK" w:cs="宋体"/>
                <w:color w:val="000000" w:themeColor="text1"/>
                <w:kern w:val="0"/>
                <w:szCs w:val="21"/>
              </w:rPr>
            </w:pPr>
          </w:p>
        </w:tc>
      </w:tr>
    </w:tbl>
    <w:tbl>
      <w:tblPr>
        <w:tblStyle w:val="7"/>
        <w:tblpPr w:leftFromText="180" w:rightFromText="180" w:vertAnchor="text" w:horzAnchor="page" w:tblpX="901" w:tblpY="926"/>
        <w:tblOverlap w:val="never"/>
        <w:tblW w:w="10560" w:type="dxa"/>
        <w:tblInd w:w="0" w:type="dxa"/>
        <w:tblLayout w:type="fixed"/>
        <w:tblCellMar>
          <w:top w:w="0" w:type="dxa"/>
          <w:left w:w="0" w:type="dxa"/>
          <w:bottom w:w="0" w:type="dxa"/>
          <w:right w:w="0" w:type="dxa"/>
        </w:tblCellMar>
      </w:tblPr>
      <w:tblGrid>
        <w:gridCol w:w="1080"/>
        <w:gridCol w:w="1080"/>
        <w:gridCol w:w="1080"/>
        <w:gridCol w:w="1080"/>
        <w:gridCol w:w="1080"/>
        <w:gridCol w:w="1200"/>
        <w:gridCol w:w="1080"/>
        <w:gridCol w:w="1080"/>
        <w:gridCol w:w="1800"/>
      </w:tblGrid>
      <w:tr>
        <w:tblPrEx>
          <w:tblCellMar>
            <w:top w:w="0" w:type="dxa"/>
            <w:left w:w="0" w:type="dxa"/>
            <w:bottom w:w="0" w:type="dxa"/>
            <w:right w:w="0" w:type="dxa"/>
          </w:tblCellMar>
        </w:tblPrEx>
        <w:trPr>
          <w:trHeight w:val="720" w:hRule="atLeast"/>
        </w:trPr>
        <w:tc>
          <w:tcPr>
            <w:tcW w:w="10560"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28"/>
                <w:szCs w:val="28"/>
              </w:rPr>
            </w:pPr>
            <w:r>
              <w:rPr>
                <w:rFonts w:hint="eastAsia" w:ascii="MingLiU" w:hAnsi="MingLiU" w:eastAsia="MingLiU" w:cs="MingLiU"/>
                <w:color w:val="000000"/>
                <w:kern w:val="0"/>
                <w:sz w:val="28"/>
                <w:szCs w:val="28"/>
              </w:rPr>
              <w:t>绩效目标</w:t>
            </w:r>
            <w:r>
              <w:rPr>
                <w:rStyle w:val="17"/>
                <w:rFonts w:hint="default"/>
              </w:rPr>
              <w:t>自评表</w:t>
            </w:r>
            <w:r>
              <w:rPr>
                <w:rStyle w:val="18"/>
                <w:rFonts w:hint="default"/>
              </w:rPr>
              <w:br w:type="textWrapping"/>
            </w:r>
            <w:r>
              <w:rPr>
                <w:rStyle w:val="19"/>
                <w:rFonts w:hint="default"/>
              </w:rPr>
              <w:t>（</w:t>
            </w:r>
            <w:r>
              <w:rPr>
                <w:rStyle w:val="19"/>
                <w:rFonts w:hint="eastAsia"/>
                <w:lang w:eastAsia="zh-CN"/>
              </w:rPr>
              <w:t>2024</w:t>
            </w:r>
            <w:r>
              <w:rPr>
                <w:rStyle w:val="19"/>
                <w:rFonts w:hint="default"/>
              </w:rPr>
              <w:t>年度）</w:t>
            </w:r>
          </w:p>
        </w:tc>
      </w:tr>
      <w:tr>
        <w:tblPrEx>
          <w:tblCellMar>
            <w:top w:w="0" w:type="dxa"/>
            <w:left w:w="0" w:type="dxa"/>
            <w:bottom w:w="0" w:type="dxa"/>
            <w:right w:w="0" w:type="dxa"/>
          </w:tblCellMar>
        </w:tblPrEx>
        <w:trPr>
          <w:trHeight w:val="78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城口县坪坝镇</w:t>
            </w:r>
            <w:r>
              <w:rPr>
                <w:rFonts w:hint="eastAsia" w:ascii="MingLiU" w:hAnsi="MingLiU" w:cs="MingLiU"/>
                <w:color w:val="000000"/>
                <w:kern w:val="0"/>
                <w:sz w:val="18"/>
                <w:szCs w:val="18"/>
                <w:lang w:eastAsia="zh-CN"/>
              </w:rPr>
              <w:t>2024</w:t>
            </w:r>
            <w:r>
              <w:rPr>
                <w:rFonts w:hint="eastAsia" w:ascii="MingLiU" w:hAnsi="MingLiU" w:eastAsia="MingLiU" w:cs="MingLiU"/>
                <w:color w:val="000000"/>
                <w:kern w:val="0"/>
                <w:sz w:val="18"/>
                <w:szCs w:val="18"/>
              </w:rPr>
              <w:t>年农村户厕改造项目</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项目负责人及电话</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代信清</w:t>
            </w:r>
          </w:p>
        </w:tc>
      </w:tr>
      <w:tr>
        <w:tblPrEx>
          <w:tblCellMar>
            <w:top w:w="0" w:type="dxa"/>
            <w:left w:w="0" w:type="dxa"/>
            <w:bottom w:w="0" w:type="dxa"/>
            <w:right w:w="0" w:type="dxa"/>
          </w:tblCellMar>
        </w:tblPrEx>
        <w:trPr>
          <w:trHeight w:val="522"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县乡村振兴局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实施单位</w:t>
            </w:r>
          </w:p>
        </w:tc>
        <w:tc>
          <w:tcPr>
            <w:tcW w:w="396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坪坝镇</w:t>
            </w:r>
            <w:r>
              <w:rPr>
                <w:rStyle w:val="20"/>
                <w:rFonts w:hint="default"/>
              </w:rPr>
              <w:t>人民政府</w:t>
            </w:r>
          </w:p>
        </w:tc>
      </w:tr>
      <w:tr>
        <w:tblPrEx>
          <w:tblCellMar>
            <w:top w:w="0" w:type="dxa"/>
            <w:left w:w="0" w:type="dxa"/>
            <w:bottom w:w="0" w:type="dxa"/>
            <w:right w:w="0" w:type="dxa"/>
          </w:tblCellMar>
        </w:tblPrEx>
        <w:trPr>
          <w:trHeight w:val="762"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资金情况 (万元)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全年预算数（</w:t>
            </w:r>
            <w:r>
              <w:rPr>
                <w:rStyle w:val="21"/>
                <w:rFonts w:hint="default"/>
              </w:rPr>
              <w:t>A)</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全年执行数（</w:t>
            </w:r>
            <w:r>
              <w:rPr>
                <w:rStyle w:val="21"/>
                <w:rFonts w:hint="default"/>
              </w:rPr>
              <w:t>B)</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执行率 (B/A)</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得</w:t>
            </w:r>
            <w:r>
              <w:rPr>
                <w:rStyle w:val="22"/>
                <w:rFonts w:hint="default"/>
              </w:rPr>
              <w:t>分</w:t>
            </w:r>
          </w:p>
        </w:tc>
      </w:tr>
      <w:tr>
        <w:tblPrEx>
          <w:tblCellMar>
            <w:top w:w="0" w:type="dxa"/>
            <w:left w:w="0" w:type="dxa"/>
            <w:bottom w:w="0" w:type="dxa"/>
            <w:right w:w="0" w:type="dxa"/>
          </w:tblCellMar>
        </w:tblPrEx>
        <w:trPr>
          <w:trHeight w:val="45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0"/>
                <w:szCs w:val="10"/>
              </w:rPr>
            </w:pPr>
            <w:r>
              <w:rPr>
                <w:color w:val="000000"/>
                <w:kern w:val="0"/>
                <w:sz w:val="10"/>
                <w:szCs w:val="10"/>
              </w:rPr>
              <w:t>10</w:t>
            </w:r>
          </w:p>
        </w:tc>
      </w:tr>
      <w:tr>
        <w:tblPrEx>
          <w:tblCellMar>
            <w:top w:w="0" w:type="dxa"/>
            <w:left w:w="0" w:type="dxa"/>
            <w:bottom w:w="0" w:type="dxa"/>
            <w:right w:w="0" w:type="dxa"/>
          </w:tblCellMar>
        </w:tblPrEx>
        <w:trPr>
          <w:trHeight w:val="6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其中：本年财政拨款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0"/>
                <w:szCs w:val="10"/>
              </w:rPr>
            </w:pPr>
            <w:r>
              <w:rPr>
                <w:color w:val="000000"/>
                <w:kern w:val="0"/>
                <w:sz w:val="10"/>
                <w:szCs w:val="10"/>
              </w:rPr>
              <w:t>-</w:t>
            </w:r>
          </w:p>
        </w:tc>
      </w:tr>
      <w:tr>
        <w:tblPrEx>
          <w:tblCellMar>
            <w:top w:w="0" w:type="dxa"/>
            <w:left w:w="0" w:type="dxa"/>
            <w:bottom w:w="0" w:type="dxa"/>
            <w:right w:w="0" w:type="dxa"/>
          </w:tblCellMar>
        </w:tblPrEx>
        <w:trPr>
          <w:trHeight w:val="315"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其</w:t>
            </w:r>
            <w:r>
              <w:rPr>
                <w:rStyle w:val="22"/>
                <w:rFonts w:hint="default"/>
              </w:rPr>
              <w:t>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color w:val="000000"/>
                <w:kern w:val="0"/>
                <w:sz w:val="18"/>
                <w:szCs w:val="18"/>
              </w:rPr>
              <w:t>100%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0"/>
                <w:szCs w:val="10"/>
              </w:rPr>
            </w:pPr>
            <w:r>
              <w:rPr>
                <w:color w:val="000000"/>
                <w:kern w:val="0"/>
                <w:sz w:val="10"/>
                <w:szCs w:val="10"/>
              </w:rPr>
              <w:t>-</w:t>
            </w:r>
          </w:p>
        </w:tc>
      </w:tr>
      <w:tr>
        <w:tblPrEx>
          <w:tblCellMar>
            <w:top w:w="0" w:type="dxa"/>
            <w:left w:w="0" w:type="dxa"/>
            <w:bottom w:w="0" w:type="dxa"/>
            <w:right w:w="0" w:type="dxa"/>
          </w:tblCellMar>
        </w:tblPrEx>
        <w:trPr>
          <w:trHeight w:val="52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widowControl/>
              <w:jc w:val="center"/>
              <w:textAlignment w:val="center"/>
              <w:rPr>
                <w:rFonts w:ascii="MingLiU" w:hAnsi="MingLiU" w:eastAsia="MingLiU" w:cs="MingLiU"/>
                <w:color w:val="000000"/>
                <w:sz w:val="20"/>
                <w:szCs w:val="20"/>
              </w:rPr>
            </w:pPr>
            <w:r>
              <w:rPr>
                <w:rFonts w:hint="eastAsia" w:ascii="MingLiU" w:hAnsi="MingLiU" w:eastAsia="MingLiU" w:cs="MingLiU"/>
                <w:color w:val="000000"/>
                <w:kern w:val="0"/>
                <w:sz w:val="20"/>
                <w:szCs w:val="20"/>
              </w:rPr>
              <w:t>年度总体目标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年初设定目标</w:t>
            </w:r>
          </w:p>
        </w:tc>
        <w:tc>
          <w:tcPr>
            <w:tcW w:w="5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年度总体目标完成情况综述</w:t>
            </w:r>
          </w:p>
        </w:tc>
      </w:tr>
      <w:tr>
        <w:tblPrEx>
          <w:tblCellMar>
            <w:top w:w="0" w:type="dxa"/>
            <w:left w:w="0" w:type="dxa"/>
            <w:bottom w:w="0" w:type="dxa"/>
            <w:right w:w="0" w:type="dxa"/>
          </w:tblCellMar>
        </w:tblPrEx>
        <w:trPr>
          <w:trHeight w:val="16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完成三格式无害化卫生厕所改造户</w:t>
            </w:r>
            <w:r>
              <w:rPr>
                <w:rStyle w:val="23"/>
              </w:rPr>
              <w:t>21</w:t>
            </w:r>
            <w:r>
              <w:rPr>
                <w:rStyle w:val="24"/>
                <w:rFonts w:hint="default"/>
              </w:rPr>
              <w:t>户。</w:t>
            </w:r>
          </w:p>
        </w:tc>
        <w:tc>
          <w:tcPr>
            <w:tcW w:w="51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color w:val="000000"/>
                <w:kern w:val="0"/>
                <w:sz w:val="20"/>
                <w:szCs w:val="20"/>
              </w:rPr>
              <w:t>完成三格式无害化卫生厕所改造户</w:t>
            </w:r>
            <w:r>
              <w:rPr>
                <w:rStyle w:val="23"/>
              </w:rPr>
              <w:t>21</w:t>
            </w:r>
            <w:r>
              <w:rPr>
                <w:rStyle w:val="24"/>
                <w:rFonts w:hint="default"/>
              </w:rPr>
              <w:t>户。</w:t>
            </w:r>
          </w:p>
        </w:tc>
      </w:tr>
      <w:tr>
        <w:tblPrEx>
          <w:tblCellMar>
            <w:top w:w="0" w:type="dxa"/>
            <w:left w:w="0" w:type="dxa"/>
            <w:bottom w:w="0" w:type="dxa"/>
            <w:right w:w="0" w:type="dxa"/>
          </w:tblCellMar>
        </w:tblPrEx>
        <w:trPr>
          <w:trHeight w:val="67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widowControl/>
              <w:jc w:val="center"/>
              <w:textAlignment w:val="center"/>
              <w:rPr>
                <w:rFonts w:ascii="MingLiU" w:hAnsi="MingLiU" w:eastAsia="MingLiU" w:cs="MingLiU"/>
                <w:color w:val="000000"/>
                <w:sz w:val="20"/>
                <w:szCs w:val="20"/>
              </w:rPr>
            </w:pPr>
            <w:r>
              <w:rPr>
                <w:rFonts w:hint="eastAsia" w:ascii="MingLiU" w:hAnsi="MingLiU" w:eastAsia="MingLiU" w:cs="MingLiU"/>
                <w:color w:val="000000"/>
                <w:kern w:val="0"/>
                <w:sz w:val="20"/>
                <w:szCs w:val="20"/>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分值</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年度</w:t>
            </w:r>
            <w:r>
              <w:rPr>
                <w:rStyle w:val="22"/>
                <w:rFonts w:hint="default"/>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全年实际值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得分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未完成原因及采取的改进措施</w:t>
            </w: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产出指标</w:t>
            </w:r>
            <w:r>
              <w:rPr>
                <w:rStyle w:val="25"/>
                <w:rFonts w:hint="default"/>
              </w:rPr>
              <w:t>(50</w:t>
            </w:r>
            <w:r>
              <w:rPr>
                <w:rStyle w:val="21"/>
                <w:rFonts w:hint="default"/>
              </w:rPr>
              <w:t>分</w:t>
            </w:r>
            <w:r>
              <w:rPr>
                <w:rStyle w:val="22"/>
                <w:rFonts w:hint="default"/>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建设户厕改造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21</w:t>
            </w:r>
            <w:r>
              <w:rPr>
                <w:rStyle w:val="22"/>
                <w:rFonts w:hint="default"/>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21</w:t>
            </w:r>
            <w:r>
              <w:rPr>
                <w:rStyle w:val="22"/>
                <w:rFonts w:hint="default"/>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color w:val="000000"/>
                <w:sz w:val="10"/>
                <w:szCs w:val="10"/>
              </w:rPr>
            </w:pP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color w:val="000000"/>
                <w:sz w:val="10"/>
                <w:szCs w:val="10"/>
              </w:rPr>
            </w:pP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项目当年完成率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24"/>
                <w:szCs w:val="24"/>
              </w:rPr>
            </w:pPr>
            <w:r>
              <w:rPr>
                <w:rFonts w:hint="eastAsia" w:ascii="MingLiU" w:hAnsi="MingLiU" w:eastAsia="MingLiU" w:cs="MingLiU"/>
                <w:color w:val="000000"/>
                <w:kern w:val="0"/>
                <w:sz w:val="24"/>
                <w:szCs w:val="24"/>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24"/>
                <w:szCs w:val="24"/>
              </w:rPr>
            </w:pPr>
            <w:r>
              <w:rPr>
                <w:rFonts w:hint="eastAsia" w:ascii="MingLiU" w:hAnsi="MingLiU" w:eastAsia="MingLiU" w:cs="MingLiU"/>
                <w:color w:val="000000"/>
                <w:kern w:val="0"/>
                <w:sz w:val="24"/>
                <w:szCs w:val="24"/>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color w:val="000000"/>
                <w:sz w:val="10"/>
                <w:szCs w:val="10"/>
              </w:rPr>
            </w:pP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户厕改造建设成本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24"/>
                <w:szCs w:val="24"/>
              </w:rPr>
            </w:pPr>
            <w:r>
              <w:rPr>
                <w:rFonts w:hint="eastAsia" w:ascii="MingLiU" w:hAnsi="MingLiU" w:eastAsia="MingLiU" w:cs="MingLiU"/>
                <w:color w:val="000000"/>
                <w:kern w:val="0"/>
                <w:sz w:val="24"/>
                <w:szCs w:val="24"/>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2000/</w:t>
            </w:r>
            <w:r>
              <w:rPr>
                <w:rStyle w:val="26"/>
                <w:rFonts w:hint="default"/>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2000/</w:t>
            </w:r>
            <w:r>
              <w:rPr>
                <w:rStyle w:val="26"/>
                <w:rFonts w:hint="default"/>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24"/>
                <w:szCs w:val="24"/>
              </w:rPr>
            </w:pPr>
            <w:r>
              <w:rPr>
                <w:rFonts w:hint="eastAsia" w:ascii="MingLiU" w:hAnsi="MingLiU" w:eastAsia="MingLiU" w:cs="MingLiU"/>
                <w:color w:val="000000"/>
                <w:kern w:val="0"/>
                <w:sz w:val="24"/>
                <w:szCs w:val="24"/>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color w:val="000000"/>
                <w:sz w:val="10"/>
                <w:szCs w:val="10"/>
              </w:rPr>
            </w:pP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效益指标(30分）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受益群众</w:t>
            </w:r>
            <w:r>
              <w:rPr>
                <w:rStyle w:val="26"/>
                <w:rFonts w:hint="default"/>
              </w:rPr>
              <w:t>户</w:t>
            </w:r>
            <w:r>
              <w:rPr>
                <w:rStyle w:val="20"/>
                <w:rFonts w:hint="default"/>
              </w:rPr>
              <w:t>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24"/>
                <w:szCs w:val="24"/>
              </w:rPr>
            </w:pPr>
            <w:r>
              <w:rPr>
                <w:rFonts w:hint="eastAsia" w:ascii="MingLiU" w:hAnsi="MingLiU" w:eastAsia="MingLiU" w:cs="MingLiU"/>
                <w:color w:val="000000"/>
                <w:kern w:val="0"/>
                <w:sz w:val="24"/>
                <w:szCs w:val="24"/>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21</w:t>
            </w:r>
            <w:r>
              <w:rPr>
                <w:rStyle w:val="22"/>
                <w:rFonts w:hint="default"/>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24"/>
                <w:szCs w:val="24"/>
              </w:rPr>
            </w:pPr>
            <w:r>
              <w:rPr>
                <w:rFonts w:hint="eastAsia" w:ascii="MingLiU" w:hAnsi="MingLiU" w:eastAsia="MingLiU" w:cs="MingLiU"/>
                <w:color w:val="000000"/>
                <w:kern w:val="0"/>
                <w:sz w:val="24"/>
                <w:szCs w:val="24"/>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jc w:val="left"/>
              <w:rPr>
                <w:color w:val="000000"/>
                <w:sz w:val="10"/>
                <w:szCs w:val="10"/>
              </w:rPr>
            </w:pP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设置使用年限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4"/>
                <w:szCs w:val="24"/>
              </w:rPr>
            </w:pPr>
            <w:r>
              <w:rPr>
                <w:color w:val="000000"/>
                <w:kern w:val="0"/>
                <w:sz w:val="24"/>
                <w:szCs w:val="24"/>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r>
              <w:rPr>
                <w:rStyle w:val="20"/>
                <w:rFonts w:hint="default"/>
              </w:rPr>
              <w:t>5</w:t>
            </w:r>
            <w:r>
              <w:rPr>
                <w:rStyle w:val="26"/>
                <w:rFonts w:hint="default"/>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r>
              <w:rPr>
                <w:rStyle w:val="20"/>
                <w:rFonts w:hint="default"/>
              </w:rPr>
              <w:t>5</w:t>
            </w:r>
            <w:r>
              <w:rPr>
                <w:rStyle w:val="26"/>
                <w:rFonts w:hint="default"/>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4"/>
                <w:szCs w:val="24"/>
              </w:rPr>
            </w:pPr>
            <w:r>
              <w:rPr>
                <w:color w:val="000000"/>
                <w:kern w:val="0"/>
                <w:sz w:val="24"/>
                <w:szCs w:val="24"/>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rPr>
                <w:color w:val="000000"/>
                <w:sz w:val="10"/>
                <w:szCs w:val="10"/>
              </w:rPr>
            </w:pPr>
          </w:p>
        </w:tc>
      </w:tr>
      <w:tr>
        <w:tblPrEx>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pPr>
              <w:jc w:val="center"/>
              <w:rPr>
                <w:rFonts w:ascii="MingLiU" w:hAnsi="MingLiU" w:eastAsia="MingLiU" w:cs="MingLiU"/>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满意度指标（2</w:t>
            </w:r>
            <w:r>
              <w:rPr>
                <w:rStyle w:val="27"/>
                <w:rFonts w:hint="default"/>
              </w:rPr>
              <w:t>0</w:t>
            </w:r>
            <w:r>
              <w:rPr>
                <w:rStyle w:val="24"/>
                <w:rFonts w:hint="default"/>
              </w:rPr>
              <w:t>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服务对象满意度指</w:t>
            </w:r>
            <w:r>
              <w:rPr>
                <w:rStyle w:val="22"/>
                <w:rFonts w:hint="default"/>
              </w:rPr>
              <w:t>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受益群众满意度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4"/>
                <w:szCs w:val="24"/>
              </w:rPr>
            </w:pPr>
            <w:r>
              <w:rPr>
                <w:color w:val="000000"/>
                <w:kern w:val="0"/>
                <w:sz w:val="24"/>
                <w:szCs w:val="24"/>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MingLiU" w:hAnsi="MingLiU" w:eastAsia="MingLiU" w:cs="MingLiU"/>
                <w:color w:val="000000"/>
                <w:sz w:val="18"/>
                <w:szCs w:val="18"/>
              </w:rPr>
            </w:pPr>
            <w:r>
              <w:rPr>
                <w:rFonts w:hint="eastAsia" w:ascii="MingLiU" w:hAnsi="MingLiU" w:eastAsia="MingLiU" w:cs="MingLiU"/>
                <w:color w:val="000000"/>
                <w:kern w:val="0"/>
                <w:sz w:val="18"/>
                <w:szCs w:val="18"/>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4"/>
                <w:szCs w:val="24"/>
              </w:rPr>
            </w:pPr>
            <w:r>
              <w:rPr>
                <w:color w:val="000000"/>
                <w:kern w:val="0"/>
                <w:sz w:val="24"/>
                <w:szCs w:val="24"/>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rPr>
                <w:color w:val="000000"/>
                <w:sz w:val="10"/>
                <w:szCs w:val="10"/>
              </w:rPr>
            </w:pPr>
          </w:p>
        </w:tc>
      </w:tr>
      <w:tr>
        <w:tblPrEx>
          <w:tblCellMar>
            <w:top w:w="0" w:type="dxa"/>
            <w:left w:w="0" w:type="dxa"/>
            <w:bottom w:w="0" w:type="dxa"/>
            <w:right w:w="0" w:type="dxa"/>
          </w:tblCellMar>
        </w:tblPrEx>
        <w:trPr>
          <w:trHeight w:val="600" w:hRule="atLeast"/>
        </w:trPr>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4"/>
                <w:szCs w:val="24"/>
              </w:rPr>
            </w:pPr>
          </w:p>
        </w:tc>
      </w:tr>
    </w:tbl>
    <w:p>
      <w:pPr>
        <w:pStyle w:val="14"/>
        <w:tabs>
          <w:tab w:val="center" w:pos="4153"/>
          <w:tab w:val="left" w:pos="7275"/>
        </w:tabs>
        <w:spacing w:line="560" w:lineRule="exact"/>
        <w:ind w:firstLine="0" w:firstLineChars="0"/>
        <w:rPr>
          <w:rFonts w:eastAsia="方正小标宋_GBK" w:cs="宋体"/>
          <w:color w:val="000000" w:themeColor="text1"/>
          <w:kern w:val="0"/>
          <w:sz w:val="36"/>
          <w:szCs w:val="36"/>
        </w:rPr>
      </w:pPr>
    </w:p>
    <w:p>
      <w:pPr>
        <w:spacing w:line="560" w:lineRule="exact"/>
        <w:ind w:firstLine="640" w:firstLineChars="200"/>
        <w:rPr>
          <w:rFonts w:eastAsia="方正楷体_GBK"/>
          <w:color w:val="000000" w:themeColor="text1"/>
          <w:sz w:val="32"/>
          <w:szCs w:val="32"/>
        </w:rPr>
      </w:pPr>
      <w:r>
        <w:rPr>
          <w:rFonts w:hint="eastAsia" w:eastAsia="方正黑体_GBK"/>
          <w:color w:val="000000" w:themeColor="text1"/>
          <w:kern w:val="0"/>
          <w:sz w:val="32"/>
          <w:szCs w:val="32"/>
        </w:rPr>
        <w:t>六、专业名词解释</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1.</w:t>
      </w:r>
      <w:r>
        <w:rPr>
          <w:rFonts w:eastAsia="方正楷体_GBK"/>
          <w:color w:val="000000" w:themeColor="text1"/>
          <w:sz w:val="32"/>
          <w:szCs w:val="32"/>
        </w:rPr>
        <w:t>财政拨款收入：</w:t>
      </w:r>
      <w:r>
        <w:rPr>
          <w:rFonts w:eastAsia="方正仿宋_GBK"/>
          <w:color w:val="000000" w:themeColor="text1"/>
          <w:kern w:val="0"/>
          <w:sz w:val="32"/>
          <w:szCs w:val="32"/>
        </w:rPr>
        <w:t>指本年度从本级财政部门取得的财政拨款，包括一般公共预算财政拨款和政府性基金预算财政拨款。</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2.</w:t>
      </w:r>
      <w:r>
        <w:rPr>
          <w:rFonts w:eastAsia="方正楷体_GBK"/>
          <w:color w:val="000000" w:themeColor="text1"/>
          <w:sz w:val="32"/>
          <w:szCs w:val="32"/>
        </w:rPr>
        <w:t>事业收入：</w:t>
      </w:r>
      <w:r>
        <w:rPr>
          <w:rFonts w:eastAsia="方正仿宋_GBK"/>
          <w:color w:val="000000" w:themeColor="text1"/>
          <w:kern w:val="0"/>
          <w:sz w:val="32"/>
          <w:szCs w:val="32"/>
        </w:rPr>
        <w:t>指事业单位开展专业业务活动及其辅助活动取得的现金流入；事业单位收到的财政专户实际核拨的教育收费等资金在此反映。</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3.</w:t>
      </w:r>
      <w:r>
        <w:rPr>
          <w:rFonts w:eastAsia="方正楷体_GBK"/>
          <w:color w:val="000000" w:themeColor="text1"/>
          <w:sz w:val="32"/>
          <w:szCs w:val="32"/>
        </w:rPr>
        <w:t>经营收入：</w:t>
      </w:r>
      <w:r>
        <w:rPr>
          <w:rFonts w:eastAsia="方正仿宋_GBK"/>
          <w:color w:val="000000" w:themeColor="text1"/>
          <w:kern w:val="0"/>
          <w:sz w:val="32"/>
          <w:szCs w:val="32"/>
        </w:rPr>
        <w:t>指事业单位在专业业务活动及其辅助活动之外开展非独立核算经营活动取得的现金流入。</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4.</w:t>
      </w:r>
      <w:r>
        <w:rPr>
          <w:rFonts w:eastAsia="方正楷体_GBK"/>
          <w:color w:val="000000" w:themeColor="text1"/>
          <w:sz w:val="32"/>
          <w:szCs w:val="32"/>
        </w:rPr>
        <w:t>其他收入</w:t>
      </w:r>
      <w:r>
        <w:rPr>
          <w:rFonts w:eastAsia="方正楷体_GBK"/>
          <w:color w:val="000000" w:themeColor="text1"/>
          <w:sz w:val="30"/>
          <w:szCs w:val="30"/>
        </w:rPr>
        <w:t>：</w:t>
      </w:r>
      <w:r>
        <w:rPr>
          <w:rFonts w:eastAsia="方正仿宋_GBK"/>
          <w:color w:val="000000" w:themeColor="text1"/>
          <w:kern w:val="0"/>
          <w:sz w:val="32"/>
          <w:szCs w:val="32"/>
        </w:rPr>
        <w:t>指单位取</w:t>
      </w:r>
      <w:r>
        <w:rPr>
          <w:rFonts w:hint="eastAsia" w:ascii="方正仿宋_GBK" w:eastAsia="方正仿宋_GBK"/>
          <w:color w:val="000000" w:themeColor="text1"/>
          <w:kern w:val="0"/>
          <w:sz w:val="32"/>
          <w:szCs w:val="32"/>
        </w:rPr>
        <w:t>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w:t>
      </w:r>
      <w:r>
        <w:rPr>
          <w:rFonts w:eastAsia="方正仿宋_GBK"/>
          <w:color w:val="000000" w:themeColor="text1"/>
          <w:kern w:val="0"/>
          <w:sz w:val="32"/>
          <w:szCs w:val="32"/>
        </w:rPr>
        <w:t>的同级单位取得的经费、从非本级财政部门取得的经费，以及行政单位收到的财政专户管理资金反映在本项内。</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5.</w:t>
      </w:r>
      <w:r>
        <w:rPr>
          <w:rFonts w:eastAsia="方正楷体_GBK"/>
          <w:color w:val="000000" w:themeColor="text1"/>
          <w:sz w:val="32"/>
          <w:szCs w:val="32"/>
        </w:rPr>
        <w:t>用事业基金弥补收支差额：</w:t>
      </w:r>
      <w:r>
        <w:rPr>
          <w:rFonts w:eastAsia="方正仿宋_GBK"/>
          <w:color w:val="000000" w:themeColor="text1"/>
          <w:kern w:val="0"/>
          <w:sz w:val="32"/>
          <w:szCs w:val="32"/>
        </w:rPr>
        <w:t>指</w:t>
      </w:r>
      <w:r>
        <w:rPr>
          <w:rFonts w:hint="eastAsia" w:ascii="方正仿宋_GBK" w:eastAsia="方正仿宋_GBK"/>
          <w:color w:val="000000" w:themeColor="text1"/>
          <w:kern w:val="0"/>
          <w:sz w:val="32"/>
          <w:szCs w:val="32"/>
        </w:rPr>
        <w:t>事业单位在当年的“财政拨款收入”“事业收入”“经营收入”“其他收入”等不足以安排当年支出的情况下，使用以前年度积累的事</w:t>
      </w:r>
      <w:r>
        <w:rPr>
          <w:rFonts w:eastAsia="方正仿宋_GBK"/>
          <w:color w:val="000000" w:themeColor="text1"/>
          <w:kern w:val="0"/>
          <w:sz w:val="32"/>
          <w:szCs w:val="32"/>
        </w:rPr>
        <w:t>业基金（事业单位当年收支相抵后按国家规定提取、用于弥补以后年度收支差额的基金）弥补本年度收支缺口的资金。</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6.</w:t>
      </w:r>
      <w:r>
        <w:rPr>
          <w:rFonts w:eastAsia="方正楷体_GBK"/>
          <w:color w:val="000000" w:themeColor="text1"/>
          <w:sz w:val="32"/>
          <w:szCs w:val="32"/>
        </w:rPr>
        <w:t>年初结转和结余：</w:t>
      </w:r>
      <w:r>
        <w:rPr>
          <w:rFonts w:eastAsia="方正仿宋_GBK"/>
          <w:color w:val="000000" w:themeColor="text1"/>
          <w:kern w:val="0"/>
          <w:sz w:val="32"/>
          <w:szCs w:val="32"/>
        </w:rPr>
        <w:t>指单位上年结转本年使用的基本支出结转、项目支出结转和结余、经营结余。</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7.</w:t>
      </w:r>
      <w:r>
        <w:rPr>
          <w:rFonts w:eastAsia="方正楷体_GBK"/>
          <w:color w:val="000000" w:themeColor="text1"/>
          <w:sz w:val="32"/>
          <w:szCs w:val="32"/>
        </w:rPr>
        <w:t>结余分配：</w:t>
      </w:r>
      <w:r>
        <w:rPr>
          <w:rFonts w:eastAsia="方正仿宋_GBK"/>
          <w:color w:val="000000" w:themeColor="text1"/>
          <w:kern w:val="0"/>
          <w:sz w:val="32"/>
          <w:szCs w:val="32"/>
        </w:rPr>
        <w:t>指单位按照国家有关规定，缴纳所得税、提取专用基金、转入事业基金等当年结余的分配情况。</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8.</w:t>
      </w:r>
      <w:r>
        <w:rPr>
          <w:rFonts w:eastAsia="方正楷体_GBK"/>
          <w:color w:val="000000" w:themeColor="text1"/>
          <w:sz w:val="32"/>
          <w:szCs w:val="32"/>
        </w:rPr>
        <w:t>年末结转和结余：</w:t>
      </w:r>
      <w:r>
        <w:rPr>
          <w:rFonts w:eastAsia="方正仿宋_GBK"/>
          <w:color w:val="000000" w:themeColor="text1"/>
          <w:kern w:val="0"/>
          <w:sz w:val="32"/>
          <w:szCs w:val="32"/>
        </w:rPr>
        <w:t>指单位结转下年的基本支出结转、项目支出结转和结余、经营结余。</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9.</w:t>
      </w:r>
      <w:r>
        <w:rPr>
          <w:rFonts w:eastAsia="方正楷体_GBK"/>
          <w:color w:val="000000" w:themeColor="text1"/>
          <w:sz w:val="32"/>
          <w:szCs w:val="32"/>
        </w:rPr>
        <w:t>基本支出：</w:t>
      </w:r>
      <w:r>
        <w:rPr>
          <w:rFonts w:eastAsia="方正仿宋_GBK"/>
          <w:color w:val="000000" w:themeColor="text1"/>
          <w:kern w:val="0"/>
          <w:sz w:val="32"/>
          <w:szCs w:val="32"/>
        </w:rPr>
        <w:t>指为保障机</w:t>
      </w:r>
      <w:r>
        <w:rPr>
          <w:rFonts w:hint="eastAsia" w:ascii="方正仿宋_GBK" w:eastAsia="方正仿宋_GBK"/>
          <w:color w:val="000000" w:themeColor="text1"/>
          <w:kern w:val="0"/>
          <w:sz w:val="32"/>
          <w:szCs w:val="32"/>
        </w:rPr>
        <w:t>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10.</w:t>
      </w:r>
      <w:r>
        <w:rPr>
          <w:rFonts w:eastAsia="方正楷体_GBK"/>
          <w:color w:val="000000" w:themeColor="text1"/>
          <w:sz w:val="32"/>
          <w:szCs w:val="32"/>
        </w:rPr>
        <w:t>项目支出：</w:t>
      </w:r>
      <w:r>
        <w:rPr>
          <w:rFonts w:eastAsia="方正仿宋_GBK"/>
          <w:color w:val="000000" w:themeColor="text1"/>
          <w:kern w:val="0"/>
          <w:sz w:val="32"/>
          <w:szCs w:val="32"/>
        </w:rPr>
        <w:t>指在基本支出之外为完成特定行政任务和事业发展目标所发生的支出。</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11.</w:t>
      </w:r>
      <w:r>
        <w:rPr>
          <w:rFonts w:eastAsia="方正楷体_GBK"/>
          <w:color w:val="000000" w:themeColor="text1"/>
          <w:sz w:val="32"/>
          <w:szCs w:val="32"/>
        </w:rPr>
        <w:t>经营支出：</w:t>
      </w:r>
      <w:r>
        <w:rPr>
          <w:rFonts w:eastAsia="方正仿宋_GBK"/>
          <w:color w:val="000000" w:themeColor="text1"/>
          <w:kern w:val="0"/>
          <w:sz w:val="32"/>
          <w:szCs w:val="32"/>
        </w:rPr>
        <w:t>指事业单位在专业业务活动及其辅助活动之外开展非独立核算经营活动发生的支出。</w:t>
      </w:r>
    </w:p>
    <w:p>
      <w:pPr>
        <w:spacing w:line="560" w:lineRule="exact"/>
        <w:ind w:firstLine="640" w:firstLineChars="200"/>
        <w:rPr>
          <w:rFonts w:eastAsia="方正仿宋_GBK"/>
          <w:color w:val="000000" w:themeColor="text1"/>
          <w:kern w:val="0"/>
          <w:sz w:val="32"/>
          <w:szCs w:val="32"/>
        </w:rPr>
      </w:pPr>
      <w:r>
        <w:rPr>
          <w:rFonts w:hint="eastAsia" w:ascii="方正楷体_GBK" w:eastAsia="方正楷体_GBK"/>
          <w:color w:val="000000" w:themeColor="text1"/>
          <w:sz w:val="32"/>
          <w:szCs w:val="32"/>
        </w:rPr>
        <w:t>12.“三公”经费：</w:t>
      </w:r>
      <w:r>
        <w:rPr>
          <w:rFonts w:eastAsia="方正仿宋_GBK"/>
          <w:color w:val="000000" w:themeColor="text1"/>
          <w:kern w:val="0"/>
          <w:sz w:val="32"/>
          <w:szCs w:val="32"/>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13.</w:t>
      </w:r>
      <w:r>
        <w:rPr>
          <w:rFonts w:eastAsia="方正楷体_GBK"/>
          <w:color w:val="000000" w:themeColor="text1"/>
          <w:sz w:val="32"/>
          <w:szCs w:val="32"/>
        </w:rPr>
        <w:t>机关运行经费</w:t>
      </w:r>
      <w:r>
        <w:rPr>
          <w:rFonts w:eastAsia="方正仿宋_GBK"/>
          <w:color w:val="000000" w:themeColor="text1"/>
          <w:kern w:val="0"/>
          <w:sz w:val="32"/>
          <w:szCs w:val="32"/>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14.</w:t>
      </w:r>
      <w:r>
        <w:rPr>
          <w:rFonts w:eastAsia="方正楷体_GBK"/>
          <w:color w:val="000000" w:themeColor="text1"/>
          <w:sz w:val="32"/>
          <w:szCs w:val="32"/>
        </w:rPr>
        <w:t>工资福利支出（支出经济分类科目类级）：</w:t>
      </w:r>
      <w:r>
        <w:rPr>
          <w:rFonts w:eastAsia="方正仿宋_GBK"/>
          <w:color w:val="000000" w:themeColor="text1"/>
          <w:kern w:val="0"/>
          <w:sz w:val="32"/>
          <w:szCs w:val="32"/>
        </w:rPr>
        <w:t>反映单位开支的在职职工和编制外长期聘用人员的各类劳动报酬，以及为上述人员缴纳的各项社会保险费等。</w:t>
      </w:r>
    </w:p>
    <w:p>
      <w:pPr>
        <w:spacing w:line="560" w:lineRule="exact"/>
        <w:ind w:firstLine="640" w:firstLineChars="200"/>
        <w:rPr>
          <w:rFonts w:eastAsia="方正仿宋_GBK"/>
          <w:color w:val="000000" w:themeColor="text1"/>
          <w:kern w:val="0"/>
          <w:sz w:val="32"/>
          <w:szCs w:val="32"/>
        </w:rPr>
      </w:pPr>
      <w:r>
        <w:rPr>
          <w:rFonts w:hint="eastAsia" w:eastAsia="方正楷体_GBK"/>
          <w:color w:val="000000" w:themeColor="text1"/>
          <w:sz w:val="32"/>
          <w:szCs w:val="32"/>
        </w:rPr>
        <w:t>15.</w:t>
      </w:r>
      <w:r>
        <w:rPr>
          <w:rFonts w:eastAsia="方正楷体_GBK"/>
          <w:color w:val="000000" w:themeColor="text1"/>
          <w:sz w:val="32"/>
          <w:szCs w:val="32"/>
        </w:rPr>
        <w:t>商品和服务支出（支出经济分类科目类级）：</w:t>
      </w:r>
      <w:r>
        <w:rPr>
          <w:rFonts w:eastAsia="方正仿宋_GBK"/>
          <w:color w:val="000000" w:themeColor="text1"/>
          <w:kern w:val="0"/>
          <w:sz w:val="32"/>
          <w:szCs w:val="32"/>
        </w:rPr>
        <w:t>反映单位购买商品和服务的支出（不包括用于购置固定资产的支出、战略性和应急储备支出）。</w:t>
      </w:r>
    </w:p>
    <w:p>
      <w:pPr>
        <w:spacing w:line="560" w:lineRule="exact"/>
        <w:ind w:firstLine="640" w:firstLineChars="200"/>
        <w:rPr>
          <w:rFonts w:eastAsia="方正仿宋_GBK"/>
          <w:color w:val="000000" w:themeColor="text1"/>
          <w:kern w:val="0"/>
          <w:sz w:val="32"/>
          <w:szCs w:val="32"/>
        </w:rPr>
      </w:pPr>
      <w:r>
        <w:rPr>
          <w:rFonts w:hint="eastAsia" w:ascii="方正楷体_GBK" w:eastAsia="方正楷体_GBK"/>
          <w:color w:val="000000" w:themeColor="text1"/>
          <w:kern w:val="0"/>
          <w:sz w:val="32"/>
          <w:szCs w:val="32"/>
        </w:rPr>
        <w:t>16.对个人和家庭的补助（支出经济分类科目类级）：</w:t>
      </w:r>
      <w:r>
        <w:rPr>
          <w:rFonts w:eastAsia="方正仿宋_GBK"/>
          <w:color w:val="000000" w:themeColor="text1"/>
          <w:kern w:val="0"/>
          <w:sz w:val="32"/>
          <w:szCs w:val="32"/>
        </w:rPr>
        <w:t>反映用于对个人和家庭的补助支出。</w:t>
      </w:r>
    </w:p>
    <w:p>
      <w:pPr>
        <w:pStyle w:val="14"/>
        <w:tabs>
          <w:tab w:val="center" w:pos="4153"/>
          <w:tab w:val="left" w:pos="7275"/>
        </w:tabs>
        <w:spacing w:line="560" w:lineRule="exact"/>
        <w:ind w:firstLine="640"/>
        <w:rPr>
          <w:rFonts w:eastAsia="方正仿宋_GBK"/>
          <w:color w:val="000000" w:themeColor="text1"/>
          <w:kern w:val="0"/>
          <w:sz w:val="32"/>
          <w:szCs w:val="32"/>
        </w:rPr>
      </w:pPr>
      <w:r>
        <w:rPr>
          <w:rFonts w:hint="eastAsia" w:ascii="方正楷体_GBK" w:eastAsia="方正楷体_GBK"/>
          <w:color w:val="000000" w:themeColor="text1"/>
          <w:kern w:val="0"/>
          <w:sz w:val="32"/>
          <w:szCs w:val="32"/>
        </w:rPr>
        <w:t>17.</w:t>
      </w:r>
      <w:r>
        <w:rPr>
          <w:rFonts w:ascii="方正楷体_GBK" w:eastAsia="方正楷体_GBK"/>
          <w:color w:val="000000" w:themeColor="text1"/>
          <w:kern w:val="0"/>
          <w:sz w:val="32"/>
          <w:szCs w:val="32"/>
        </w:rPr>
        <w:t>其他资本性支出（支出经济分类科目类级）：</w:t>
      </w:r>
      <w:r>
        <w:rPr>
          <w:rFonts w:eastAsia="方正仿宋_GBK"/>
          <w:color w:val="000000" w:themeColor="text1"/>
          <w:kern w:val="0"/>
          <w:sz w:val="32"/>
          <w:szCs w:val="32"/>
        </w:rPr>
        <w:t>反映非各级发展与改革部门集中安排的用于购置固定资产、战略性和应急性储备、土地和无形资产，以及构建基础设施、大型修缮和财政支持企业更新改造所发生的支出。</w:t>
      </w:r>
    </w:p>
    <w:p>
      <w:pPr>
        <w:pStyle w:val="6"/>
        <w:spacing w:before="0" w:beforeAutospacing="0" w:afterAutospacing="0" w:line="560" w:lineRule="exact"/>
        <w:ind w:firstLine="640" w:firstLineChars="200"/>
        <w:rPr>
          <w:rFonts w:ascii="方正黑体_GBK" w:hAnsi="方正黑体_GBK" w:eastAsia="方正黑体_GBK" w:cs="方正黑体_GBK"/>
          <w:sz w:val="32"/>
          <w:szCs w:val="32"/>
        </w:rPr>
      </w:pPr>
      <w:r>
        <w:rPr>
          <w:rStyle w:val="9"/>
          <w:rFonts w:hint="eastAsia" w:ascii="方正黑体_GBK" w:hAnsi="方正黑体_GBK" w:eastAsia="方正黑体_GBK" w:cs="方正黑体_GBK"/>
          <w:b w:val="0"/>
          <w:bCs w:val="0"/>
          <w:sz w:val="32"/>
          <w:szCs w:val="32"/>
          <w:shd w:val="clear" w:color="auto" w:fill="FFFFFF"/>
        </w:rPr>
        <w:t>七、决算公开联系方式及信息反馈渠道</w:t>
      </w:r>
    </w:p>
    <w:p>
      <w:pPr>
        <w:pStyle w:val="6"/>
        <w:spacing w:before="0" w:beforeAutospacing="0" w:afterAutospacing="0"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本单位决算公开信息反馈和联系方式：城口县坪坝镇人民政</w:t>
      </w:r>
      <w:r>
        <w:rPr>
          <w:rFonts w:ascii="Times New Roman" w:hAnsi="方正仿宋_GBK" w:eastAsia="方正仿宋_GBK" w:cs="Times New Roman"/>
          <w:sz w:val="32"/>
          <w:szCs w:val="32"/>
          <w:shd w:val="clear" w:color="auto" w:fill="FFFFFF"/>
        </w:rPr>
        <w:t>府</w:t>
      </w:r>
      <w:r>
        <w:rPr>
          <w:rFonts w:ascii="Times New Roman" w:hAnsi="Times New Roman" w:eastAsia="方正仿宋_GBK" w:cs="Times New Roman"/>
          <w:sz w:val="32"/>
          <w:szCs w:val="32"/>
          <w:shd w:val="clear" w:color="auto" w:fill="FFFFFF"/>
        </w:rPr>
        <w:t>023-59283004</w:t>
      </w:r>
      <w:r>
        <w:rPr>
          <w:rFonts w:ascii="Times New Roman" w:hAnsi="方正仿宋_GBK" w:eastAsia="方正仿宋_GBK" w:cs="Times New Roman"/>
          <w:sz w:val="32"/>
          <w:szCs w:val="32"/>
          <w:shd w:val="clear" w:color="auto" w:fill="FFFFFF"/>
        </w:rPr>
        <w:t>。</w:t>
      </w:r>
    </w:p>
    <w:p>
      <w:pPr>
        <w:pStyle w:val="14"/>
        <w:tabs>
          <w:tab w:val="center" w:pos="4153"/>
          <w:tab w:val="left" w:pos="7275"/>
        </w:tabs>
        <w:spacing w:line="560" w:lineRule="exact"/>
        <w:ind w:firstLine="640"/>
        <w:rPr>
          <w:rFonts w:eastAsia="方正仿宋_GBK"/>
          <w:color w:val="000000" w:themeColor="text1"/>
          <w:kern w:val="0"/>
          <w:sz w:val="32"/>
          <w:szCs w:val="32"/>
        </w:rPr>
      </w:pPr>
    </w:p>
    <w:sectPr>
      <w:footerReference r:id="rId3" w:type="default"/>
      <w:footerReference r:id="rId4" w:type="even"/>
      <w:pgSz w:w="11906" w:h="16838"/>
      <w:pgMar w:top="2098" w:right="1474"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仿宋简体">
    <w:altName w:val="微软雅黑"/>
    <w:panose1 w:val="00000000000000000000"/>
    <w:charset w:val="86"/>
    <w:family w:val="script"/>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8"/>
        <w:szCs w:val="28"/>
      </w:rPr>
      <w:t xml:space="preserve">— </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xml:space="preserve"> </w:t>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szCs w:val="28"/>
      </w:rPr>
      <w:t xml:space="preserve">— </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 xml:space="preserve"> </w:t>
    </w:r>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29632"/>
    <w:multiLevelType w:val="singleLevel"/>
    <w:tmpl w:val="AF429632"/>
    <w:lvl w:ilvl="0" w:tentative="0">
      <w:start w:val="2"/>
      <w:numFmt w:val="chineseCounting"/>
      <w:suff w:val="nothing"/>
      <w:lvlText w:val="（%1）"/>
      <w:lvlJc w:val="left"/>
      <w:rPr>
        <w:rFonts w:hint="eastAsia"/>
      </w:rPr>
    </w:lvl>
  </w:abstractNum>
  <w:abstractNum w:abstractNumId="1">
    <w:nsid w:val="61AA336A"/>
    <w:multiLevelType w:val="singleLevel"/>
    <w:tmpl w:val="61AA336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I3ODk1M2U5NjQ0ZjFkNWFmN2IyYjM0N2RhZWE3ODgifQ=="/>
  </w:docVars>
  <w:rsids>
    <w:rsidRoot w:val="00236E75"/>
    <w:rsid w:val="000415D5"/>
    <w:rsid w:val="0008144A"/>
    <w:rsid w:val="00097C2B"/>
    <w:rsid w:val="000C07CB"/>
    <w:rsid w:val="000F1D30"/>
    <w:rsid w:val="00106BBC"/>
    <w:rsid w:val="0016217C"/>
    <w:rsid w:val="00176C84"/>
    <w:rsid w:val="00236E75"/>
    <w:rsid w:val="00257F2B"/>
    <w:rsid w:val="00284B72"/>
    <w:rsid w:val="002B32C2"/>
    <w:rsid w:val="002C174B"/>
    <w:rsid w:val="002D0BFA"/>
    <w:rsid w:val="0037781D"/>
    <w:rsid w:val="003778B7"/>
    <w:rsid w:val="003A4808"/>
    <w:rsid w:val="003C3C90"/>
    <w:rsid w:val="004077E7"/>
    <w:rsid w:val="00410275"/>
    <w:rsid w:val="00413020"/>
    <w:rsid w:val="00445F40"/>
    <w:rsid w:val="004B0255"/>
    <w:rsid w:val="004B0C01"/>
    <w:rsid w:val="004E7DE3"/>
    <w:rsid w:val="005035E1"/>
    <w:rsid w:val="0054433F"/>
    <w:rsid w:val="005621D4"/>
    <w:rsid w:val="005706A4"/>
    <w:rsid w:val="005E64F3"/>
    <w:rsid w:val="005F3C76"/>
    <w:rsid w:val="00682460"/>
    <w:rsid w:val="006F49D7"/>
    <w:rsid w:val="007D0613"/>
    <w:rsid w:val="007D3174"/>
    <w:rsid w:val="00886979"/>
    <w:rsid w:val="008B01BC"/>
    <w:rsid w:val="008D1760"/>
    <w:rsid w:val="008E06FE"/>
    <w:rsid w:val="008F22D1"/>
    <w:rsid w:val="00905723"/>
    <w:rsid w:val="00933C0C"/>
    <w:rsid w:val="009348E6"/>
    <w:rsid w:val="00941A0B"/>
    <w:rsid w:val="00947B69"/>
    <w:rsid w:val="00972C14"/>
    <w:rsid w:val="009A1DA7"/>
    <w:rsid w:val="00A57559"/>
    <w:rsid w:val="00A76EA8"/>
    <w:rsid w:val="00A909E5"/>
    <w:rsid w:val="00AA469A"/>
    <w:rsid w:val="00B9057C"/>
    <w:rsid w:val="00BC0D2B"/>
    <w:rsid w:val="00C153D3"/>
    <w:rsid w:val="00C56959"/>
    <w:rsid w:val="00C96D65"/>
    <w:rsid w:val="00D00619"/>
    <w:rsid w:val="00D01050"/>
    <w:rsid w:val="00D5071E"/>
    <w:rsid w:val="00D63DAB"/>
    <w:rsid w:val="00D7732E"/>
    <w:rsid w:val="00DE47D8"/>
    <w:rsid w:val="00E402BA"/>
    <w:rsid w:val="00E67F85"/>
    <w:rsid w:val="00E7553B"/>
    <w:rsid w:val="00EC07CD"/>
    <w:rsid w:val="00EF5E02"/>
    <w:rsid w:val="00F03B3D"/>
    <w:rsid w:val="00F5551E"/>
    <w:rsid w:val="00F57ECE"/>
    <w:rsid w:val="00FE40D7"/>
    <w:rsid w:val="03334E32"/>
    <w:rsid w:val="06CF66D3"/>
    <w:rsid w:val="074F7910"/>
    <w:rsid w:val="076C4953"/>
    <w:rsid w:val="08104618"/>
    <w:rsid w:val="097573BA"/>
    <w:rsid w:val="0B0026CB"/>
    <w:rsid w:val="0CE14C3A"/>
    <w:rsid w:val="0DAB4060"/>
    <w:rsid w:val="10BF5393"/>
    <w:rsid w:val="127B79D0"/>
    <w:rsid w:val="14FC1E39"/>
    <w:rsid w:val="15226687"/>
    <w:rsid w:val="158228A9"/>
    <w:rsid w:val="162C5B48"/>
    <w:rsid w:val="176A38EB"/>
    <w:rsid w:val="19565F6C"/>
    <w:rsid w:val="1A4223D6"/>
    <w:rsid w:val="1A4412D3"/>
    <w:rsid w:val="1BF54266"/>
    <w:rsid w:val="1D692C8A"/>
    <w:rsid w:val="1FF30EBE"/>
    <w:rsid w:val="205D707C"/>
    <w:rsid w:val="20F263C1"/>
    <w:rsid w:val="21024993"/>
    <w:rsid w:val="21E54651"/>
    <w:rsid w:val="234A58A3"/>
    <w:rsid w:val="244C30D0"/>
    <w:rsid w:val="245C732D"/>
    <w:rsid w:val="248C37A2"/>
    <w:rsid w:val="24DE5C4C"/>
    <w:rsid w:val="25846FA8"/>
    <w:rsid w:val="284A70DE"/>
    <w:rsid w:val="28A647A3"/>
    <w:rsid w:val="28B17529"/>
    <w:rsid w:val="28F9012E"/>
    <w:rsid w:val="29D5347A"/>
    <w:rsid w:val="29F34B5C"/>
    <w:rsid w:val="2A704F44"/>
    <w:rsid w:val="2B077249"/>
    <w:rsid w:val="2BA2729F"/>
    <w:rsid w:val="2BB1551C"/>
    <w:rsid w:val="2DB11B3A"/>
    <w:rsid w:val="301E6AF0"/>
    <w:rsid w:val="30FF2331"/>
    <w:rsid w:val="31B467A6"/>
    <w:rsid w:val="33D7506E"/>
    <w:rsid w:val="345C46DA"/>
    <w:rsid w:val="364673CC"/>
    <w:rsid w:val="37492087"/>
    <w:rsid w:val="38E91F1E"/>
    <w:rsid w:val="3A6072E6"/>
    <w:rsid w:val="3A63358A"/>
    <w:rsid w:val="3BA13299"/>
    <w:rsid w:val="3FE8499E"/>
    <w:rsid w:val="3FF41209"/>
    <w:rsid w:val="42741CDF"/>
    <w:rsid w:val="43CC2501"/>
    <w:rsid w:val="478933AC"/>
    <w:rsid w:val="47A22CC9"/>
    <w:rsid w:val="48BB5DD0"/>
    <w:rsid w:val="49747704"/>
    <w:rsid w:val="4D52099A"/>
    <w:rsid w:val="4DC2555B"/>
    <w:rsid w:val="4F0539FC"/>
    <w:rsid w:val="4F2911F9"/>
    <w:rsid w:val="4F904CD7"/>
    <w:rsid w:val="529455A7"/>
    <w:rsid w:val="5410057B"/>
    <w:rsid w:val="55686F18"/>
    <w:rsid w:val="55883AC2"/>
    <w:rsid w:val="55ED10FA"/>
    <w:rsid w:val="56D11C02"/>
    <w:rsid w:val="5707067A"/>
    <w:rsid w:val="59FD1EE2"/>
    <w:rsid w:val="5A404883"/>
    <w:rsid w:val="5A4329D8"/>
    <w:rsid w:val="5CFD0343"/>
    <w:rsid w:val="5ECB7862"/>
    <w:rsid w:val="5EF3781E"/>
    <w:rsid w:val="5FDF5CAA"/>
    <w:rsid w:val="6029354F"/>
    <w:rsid w:val="609946E1"/>
    <w:rsid w:val="61DA12EE"/>
    <w:rsid w:val="61F80E65"/>
    <w:rsid w:val="62C46493"/>
    <w:rsid w:val="63F709C3"/>
    <w:rsid w:val="650C10DD"/>
    <w:rsid w:val="66A94EC5"/>
    <w:rsid w:val="66F45B11"/>
    <w:rsid w:val="6941469D"/>
    <w:rsid w:val="6CEC392E"/>
    <w:rsid w:val="6D544888"/>
    <w:rsid w:val="6FA46BF7"/>
    <w:rsid w:val="6FE6280C"/>
    <w:rsid w:val="72896816"/>
    <w:rsid w:val="73101AEE"/>
    <w:rsid w:val="73386BAC"/>
    <w:rsid w:val="741C4F37"/>
    <w:rsid w:val="75E27CB6"/>
    <w:rsid w:val="76953D41"/>
    <w:rsid w:val="77F0605A"/>
    <w:rsid w:val="79A55405"/>
    <w:rsid w:val="79BF696F"/>
    <w:rsid w:val="7A3D303E"/>
    <w:rsid w:val="7B4B255B"/>
    <w:rsid w:val="7BB2772A"/>
    <w:rsid w:val="7BC22045"/>
    <w:rsid w:val="7F293385"/>
    <w:rsid w:val="7F5A5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customStyle="1" w:styleId="10">
    <w:name w:val="批注框文本 Char"/>
    <w:link w:val="3"/>
    <w:semiHidden/>
    <w:qFormat/>
    <w:uiPriority w:val="99"/>
    <w:rPr>
      <w:kern w:val="2"/>
      <w:sz w:val="18"/>
      <w:szCs w:val="18"/>
    </w:rPr>
  </w:style>
  <w:style w:type="character" w:customStyle="1" w:styleId="11">
    <w:name w:val="页脚 Char1"/>
    <w:link w:val="4"/>
    <w:qFormat/>
    <w:uiPriority w:val="99"/>
    <w:rPr>
      <w:sz w:val="18"/>
      <w:szCs w:val="18"/>
    </w:rPr>
  </w:style>
  <w:style w:type="character" w:customStyle="1" w:styleId="12">
    <w:name w:val="页眉 Char"/>
    <w:link w:val="5"/>
    <w:qFormat/>
    <w:uiPriority w:val="99"/>
    <w:rPr>
      <w:sz w:val="18"/>
      <w:szCs w:val="18"/>
    </w:rPr>
  </w:style>
  <w:style w:type="character" w:customStyle="1" w:styleId="13">
    <w:name w:val="页脚 Char"/>
    <w:qFormat/>
    <w:uiPriority w:val="99"/>
    <w:rPr>
      <w:kern w:val="2"/>
      <w:sz w:val="18"/>
      <w:szCs w:val="18"/>
    </w:rPr>
  </w:style>
  <w:style w:type="paragraph" w:customStyle="1" w:styleId="14">
    <w:name w:val="列出段落1"/>
    <w:basedOn w:val="1"/>
    <w:qFormat/>
    <w:uiPriority w:val="34"/>
    <w:pPr>
      <w:ind w:firstLine="420" w:firstLineChars="200"/>
    </w:pPr>
  </w:style>
  <w:style w:type="character" w:customStyle="1" w:styleId="15">
    <w:name w:val="NormalCharacter"/>
    <w:semiHidden/>
    <w:qFormat/>
    <w:uiPriority w:val="0"/>
    <w:rPr>
      <w:rFonts w:ascii="Times New Roman" w:hAnsi="Times New Roman" w:eastAsia="宋体" w:cs="Times New Roman"/>
      <w:kern w:val="2"/>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font101"/>
    <w:basedOn w:val="8"/>
    <w:uiPriority w:val="0"/>
    <w:rPr>
      <w:rFonts w:hint="eastAsia" w:ascii="宋体" w:hAnsi="宋体" w:eastAsia="宋体" w:cs="宋体"/>
      <w:color w:val="000000"/>
      <w:sz w:val="28"/>
      <w:szCs w:val="28"/>
      <w:u w:val="none"/>
    </w:rPr>
  </w:style>
  <w:style w:type="character" w:customStyle="1" w:styleId="18">
    <w:name w:val="font131"/>
    <w:basedOn w:val="8"/>
    <w:qFormat/>
    <w:uiPriority w:val="0"/>
    <w:rPr>
      <w:rFonts w:hint="eastAsia" w:ascii="MingLiU" w:hAnsi="MingLiU" w:eastAsia="MingLiU" w:cs="MingLiU"/>
      <w:color w:val="000000"/>
      <w:sz w:val="28"/>
      <w:szCs w:val="28"/>
      <w:u w:val="none"/>
    </w:rPr>
  </w:style>
  <w:style w:type="character" w:customStyle="1" w:styleId="19">
    <w:name w:val="font151"/>
    <w:basedOn w:val="8"/>
    <w:qFormat/>
    <w:uiPriority w:val="0"/>
    <w:rPr>
      <w:rFonts w:hint="eastAsia" w:ascii="MingLiU" w:hAnsi="MingLiU" w:eastAsia="MingLiU" w:cs="MingLiU"/>
      <w:color w:val="000000"/>
      <w:sz w:val="20"/>
      <w:szCs w:val="20"/>
      <w:u w:val="none"/>
    </w:rPr>
  </w:style>
  <w:style w:type="character" w:customStyle="1" w:styleId="20">
    <w:name w:val="font41"/>
    <w:basedOn w:val="8"/>
    <w:qFormat/>
    <w:uiPriority w:val="0"/>
    <w:rPr>
      <w:rFonts w:hint="eastAsia" w:ascii="MingLiU" w:hAnsi="MingLiU" w:eastAsia="MingLiU" w:cs="MingLiU"/>
      <w:color w:val="000000"/>
      <w:sz w:val="18"/>
      <w:szCs w:val="18"/>
      <w:u w:val="none"/>
    </w:rPr>
  </w:style>
  <w:style w:type="character" w:customStyle="1" w:styleId="21">
    <w:name w:val="font21"/>
    <w:basedOn w:val="8"/>
    <w:qFormat/>
    <w:uiPriority w:val="0"/>
    <w:rPr>
      <w:rFonts w:hint="eastAsia" w:ascii="MingLiU" w:hAnsi="MingLiU" w:eastAsia="MingLiU" w:cs="MingLiU"/>
      <w:color w:val="000000"/>
      <w:sz w:val="18"/>
      <w:szCs w:val="18"/>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 w:type="character" w:customStyle="1" w:styleId="23">
    <w:name w:val="font161"/>
    <w:basedOn w:val="8"/>
    <w:qFormat/>
    <w:uiPriority w:val="0"/>
    <w:rPr>
      <w:rFonts w:hint="default" w:ascii="Times New Roman" w:hAnsi="Times New Roman" w:cs="Times New Roman"/>
      <w:color w:val="000000"/>
      <w:sz w:val="20"/>
      <w:szCs w:val="20"/>
      <w:u w:val="none"/>
    </w:rPr>
  </w:style>
  <w:style w:type="character" w:customStyle="1" w:styleId="24">
    <w:name w:val="font61"/>
    <w:basedOn w:val="8"/>
    <w:qFormat/>
    <w:uiPriority w:val="0"/>
    <w:rPr>
      <w:rFonts w:hint="eastAsia" w:ascii="宋体" w:hAnsi="宋体" w:eastAsia="宋体" w:cs="宋体"/>
      <w:color w:val="000000"/>
      <w:sz w:val="20"/>
      <w:szCs w:val="20"/>
      <w:u w:val="none"/>
    </w:rPr>
  </w:style>
  <w:style w:type="character" w:customStyle="1" w:styleId="25">
    <w:name w:val="font11"/>
    <w:basedOn w:val="8"/>
    <w:qFormat/>
    <w:uiPriority w:val="0"/>
    <w:rPr>
      <w:rFonts w:hint="eastAsia" w:ascii="宋体" w:hAnsi="宋体" w:eastAsia="宋体" w:cs="宋体"/>
      <w:b/>
      <w:color w:val="000000"/>
      <w:sz w:val="18"/>
      <w:szCs w:val="18"/>
      <w:u w:val="none"/>
    </w:rPr>
  </w:style>
  <w:style w:type="character" w:customStyle="1" w:styleId="26">
    <w:name w:val="font141"/>
    <w:basedOn w:val="8"/>
    <w:qFormat/>
    <w:uiPriority w:val="0"/>
    <w:rPr>
      <w:rFonts w:hint="eastAsia" w:ascii="宋体" w:hAnsi="宋体" w:eastAsia="宋体" w:cs="宋体"/>
      <w:color w:val="000000"/>
      <w:sz w:val="18"/>
      <w:szCs w:val="18"/>
      <w:u w:val="none"/>
    </w:rPr>
  </w:style>
  <w:style w:type="character" w:customStyle="1" w:styleId="27">
    <w:name w:val="font81"/>
    <w:basedOn w:val="8"/>
    <w:qFormat/>
    <w:uiPriority w:val="0"/>
    <w:rPr>
      <w:rFonts w:hint="eastAsia" w:ascii="MingLiU" w:hAnsi="MingLiU" w:eastAsia="MingLiU" w:cs="MingLiU"/>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913</Words>
  <Characters>5207</Characters>
  <Lines>43</Lines>
  <Paragraphs>12</Paragraphs>
  <TotalTime>0</TotalTime>
  <ScaleCrop>false</ScaleCrop>
  <LinksUpToDate>false</LinksUpToDate>
  <CharactersWithSpaces>6108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2021-10-01T08:55:00Z</dcterms:created>
  <dc:creator>微软用户</dc:creator>
  <cp:lastModifiedBy>Administrator</cp:lastModifiedBy>
  <cp:lastPrinted>2020-06-12T18:09:00Z</cp:lastPrinted>
  <dcterms:modified xsi:type="dcterms:W3CDTF">2025-02-11T09:11:09Z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EDE781B772884103950C42DF64CF1C00</vt:lpwstr>
  </property>
</Properties>
</file>