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F4A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河鱼</w:t>
      </w:r>
      <w:r>
        <w:rPr>
          <w:rFonts w:eastAsia="方正小标宋_GBK"/>
          <w:sz w:val="44"/>
          <w:szCs w:val="44"/>
        </w:rPr>
        <w:t>乡</w:t>
      </w:r>
      <w:r>
        <w:rPr>
          <w:rFonts w:hint="eastAsia" w:eastAsia="方正小标宋_GBK"/>
          <w:sz w:val="44"/>
          <w:szCs w:val="44"/>
        </w:rPr>
        <w:t>人民政府</w:t>
      </w: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河鱼乡综合行政执法大队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2025年度度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财政预算执行情况和202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财政预算（草案）的报告</w:t>
      </w:r>
    </w:p>
    <w:p w14:paraId="7E6A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——在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河鱼乡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第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十九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届人民代表大会第</w:t>
      </w:r>
      <w:r>
        <w:rPr>
          <w:rFonts w:hint="eastAsia" w:eastAsia="方正楷体_GBK" w:cs="Times New Roman"/>
          <w:color w:val="auto"/>
          <w:spacing w:val="-11"/>
          <w:sz w:val="30"/>
          <w:szCs w:val="30"/>
          <w:lang w:val="en-US" w:eastAsia="zh-CN"/>
        </w:rPr>
        <w:t>十一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次会议上</w:t>
      </w:r>
    </w:p>
    <w:p w14:paraId="3CD01E44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 w14:paraId="270A6B11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财政预算执行情况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财政预算（草案）的报告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》提请大会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EBB1C9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财政预算执行情况</w:t>
      </w:r>
    </w:p>
    <w:p w14:paraId="7C2A6E8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是实施“十四五”规划、全面建设社会主义现代化国家新征程的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收官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贯彻党的二十大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和二十届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历次全会精神，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在乡党委的领导下，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</w:t>
      </w:r>
      <w:r>
        <w:rPr>
          <w:rStyle w:val="10"/>
          <w:rFonts w:hint="default" w:ascii="Times New Roman" w:hAnsi="Times New Roman" w:cs="Times New Roman"/>
          <w:color w:val="000000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我们始终坚持稳中求进工作总基调，全面完成了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届人大第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次会议批准的预算，各项财政工作有力有序推进。</w:t>
      </w:r>
    </w:p>
    <w:p w14:paraId="36170808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2025年度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财政收入情况</w:t>
      </w:r>
    </w:p>
    <w:p w14:paraId="2E6703D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河鱼乡综合行政执法大队</w:t>
      </w:r>
      <w:r>
        <w:rPr>
          <w:rFonts w:ascii="Times New Roman" w:hAnsi="Times New Roman" w:eastAsia="方正仿宋_GBK" w:cs="Times New Roman"/>
          <w:sz w:val="32"/>
          <w:szCs w:val="32"/>
        </w:rPr>
        <w:t>财政收</w:t>
      </w:r>
      <w:r>
        <w:rPr>
          <w:rFonts w:eastAsia="方正仿宋_GBK"/>
          <w:sz w:val="32"/>
          <w:szCs w:val="32"/>
        </w:rPr>
        <w:t>入</w:t>
      </w:r>
      <w:r>
        <w:rPr>
          <w:rFonts w:hint="eastAsia" w:eastAsia="方正仿宋_GBK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101.33</w:t>
      </w:r>
      <w:r>
        <w:rPr>
          <w:rFonts w:eastAsia="方正仿宋_GBK"/>
          <w:sz w:val="32"/>
          <w:szCs w:val="32"/>
        </w:rPr>
        <w:t>万元，其中一般预算收入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101.33</w:t>
      </w:r>
      <w:r>
        <w:rPr>
          <w:rFonts w:eastAsia="方正仿宋_GBK"/>
          <w:sz w:val="32"/>
          <w:szCs w:val="32"/>
        </w:rPr>
        <w:t>万元。</w:t>
      </w:r>
    </w:p>
    <w:p w14:paraId="1B5B0AE8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2025年度</w:t>
      </w:r>
      <w:r>
        <w:rPr>
          <w:rFonts w:ascii="方正楷体_GBK" w:hAnsi="方正楷体_GBK" w:eastAsia="方正楷体_GBK" w:cs="方正楷体_GBK"/>
          <w:sz w:val="32"/>
          <w:szCs w:val="32"/>
        </w:rPr>
        <w:t>财政支出完成情况</w:t>
      </w:r>
    </w:p>
    <w:p w14:paraId="3835CA96">
      <w:pPr>
        <w:spacing w:line="56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河鱼乡综合行政执法大队</w:t>
      </w:r>
      <w:r>
        <w:rPr>
          <w:rFonts w:eastAsia="方正仿宋_GBK"/>
          <w:sz w:val="32"/>
          <w:szCs w:val="32"/>
        </w:rPr>
        <w:t>一般预算内支出</w:t>
      </w:r>
      <w:r>
        <w:rPr>
          <w:rFonts w:hint="eastAsia" w:eastAsia="方正仿宋_GBK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101.33</w:t>
      </w:r>
      <w:r>
        <w:rPr>
          <w:rFonts w:eastAsia="方正仿宋_GBK"/>
          <w:sz w:val="32"/>
          <w:szCs w:val="32"/>
        </w:rPr>
        <w:t>万元，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支出明细如下：</w:t>
      </w:r>
    </w:p>
    <w:p w14:paraId="28FD04EF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1.</w:t>
      </w:r>
      <w:r>
        <w:rPr>
          <w:rFonts w:eastAsia="方正仿宋_GBK"/>
          <w:sz w:val="32"/>
          <w:szCs w:val="32"/>
        </w:rPr>
        <w:t>一般公共服务支出</w:t>
      </w:r>
      <w:r>
        <w:rPr>
          <w:rFonts w:hint="eastAsia" w:eastAsia="方正仿宋_GBK"/>
          <w:sz w:val="32"/>
          <w:szCs w:val="32"/>
          <w:lang w:val="en-US" w:eastAsia="zh-CN"/>
        </w:rPr>
        <w:t>79.47</w:t>
      </w:r>
      <w:r>
        <w:rPr>
          <w:rFonts w:eastAsia="方正仿宋_GBK"/>
          <w:sz w:val="32"/>
          <w:szCs w:val="32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其中，</w:t>
      </w:r>
      <w:r>
        <w:rPr>
          <w:rFonts w:eastAsia="方正仿宋_GBK"/>
          <w:sz w:val="32"/>
          <w:szCs w:val="32"/>
        </w:rPr>
        <w:t>政府办公厅（室）及相关机构事务支出</w:t>
      </w:r>
      <w:r>
        <w:rPr>
          <w:rFonts w:hint="eastAsia" w:eastAsia="方正仿宋_GBK"/>
          <w:sz w:val="32"/>
          <w:szCs w:val="32"/>
          <w:lang w:val="en-US" w:eastAsia="zh-CN"/>
        </w:rPr>
        <w:t>79.08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其他事务</w:t>
      </w:r>
      <w:r>
        <w:rPr>
          <w:rFonts w:hint="eastAsia" w:eastAsia="方正仿宋_GBK"/>
          <w:sz w:val="32"/>
          <w:szCs w:val="32"/>
          <w:lang w:val="en-US" w:eastAsia="zh-CN"/>
        </w:rPr>
        <w:t>0.39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6E8BB76B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2.</w:t>
      </w:r>
      <w:r>
        <w:rPr>
          <w:rFonts w:eastAsia="方正仿宋_GBK"/>
          <w:sz w:val="32"/>
          <w:szCs w:val="32"/>
        </w:rPr>
        <w:t>社会保障和就业支出</w:t>
      </w:r>
      <w:r>
        <w:rPr>
          <w:rFonts w:hint="eastAsia" w:eastAsia="方正仿宋_GBK"/>
          <w:sz w:val="32"/>
          <w:szCs w:val="32"/>
          <w:lang w:val="en-US" w:eastAsia="zh-CN"/>
        </w:rPr>
        <w:t>13.29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62476297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.卫生健康支出</w:t>
      </w:r>
      <w:r>
        <w:rPr>
          <w:rFonts w:hint="eastAsia" w:eastAsia="方正仿宋_GBK"/>
          <w:sz w:val="32"/>
          <w:szCs w:val="32"/>
          <w:lang w:val="en-US" w:eastAsia="zh-CN"/>
        </w:rPr>
        <w:t>3.96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7118826F">
      <w:pPr>
        <w:pStyle w:val="2"/>
        <w:rPr>
          <w:rFonts w:hint="default"/>
          <w:lang w:val="en-US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4.住房保障支出4.61万元。</w:t>
      </w:r>
    </w:p>
    <w:p w14:paraId="3CE5043E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eastAsia="方正黑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财政预算草案</w:t>
      </w:r>
    </w:p>
    <w:p w14:paraId="04368FA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根据财政管理制度和体制，现将</w:t>
      </w:r>
      <w:r>
        <w:rPr>
          <w:rFonts w:hint="eastAsia" w:eastAsia="方正仿宋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预算编制情况作如下报告：</w:t>
      </w:r>
    </w:p>
    <w:p w14:paraId="6C7AB829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一般公共预算收入草案</w:t>
      </w:r>
    </w:p>
    <w:p w14:paraId="28178141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2026年，河鱼乡综合行政执法大队财政预算收入共计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118.52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万元。</w:t>
      </w:r>
    </w:p>
    <w:p w14:paraId="6C4A8EA8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一般公共预算支出草案</w:t>
      </w:r>
    </w:p>
    <w:p w14:paraId="6B1F14B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一般公共服务支出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94.41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DB878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14.54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89FA8A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4.42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38BD8C3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5.15万元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C30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财政主要工作</w:t>
      </w:r>
    </w:p>
    <w:p w14:paraId="35ABC171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，我们将继续以习近平新时代中国特色社会主义思想举旗引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路，牢牢把握经济稳中向好、长期向好的基本面，紧跟经济转型升级、高质量发展的大势，紧盯“三县一城一枢纽”建设的大局，积极发挥财政职能作用，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统筹推进“稳增长、促改革、调结构、惠民生、防风险、保稳定”，确保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财政经济平稳有序运行。</w:t>
      </w:r>
    </w:p>
    <w:p w14:paraId="1785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（一）坚持优化支出结构与提升使用效益形成合力</w:t>
      </w:r>
    </w:p>
    <w:p w14:paraId="5EA9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从严控制“三公”经费，继续压减会议、差旅、培训等一般性支出，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政府投资项目成本，从严从紧审核项目预算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，做到不应该支出的坚决不支出。持续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聚焦覆盖面广、社会关注度高、持续时间长的重大政策项目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加强对项目预算、结算的审核，严格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拨款报账资料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避免项目超标超预算，减轻财政负担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，将有限资金用在“刀刃”上。</w:t>
      </w:r>
    </w:p>
    <w:p w14:paraId="57A0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坚持改善民生与推动经济增长相互促进</w:t>
      </w:r>
    </w:p>
    <w:p w14:paraId="2209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充分运用临时救助、公益性岗位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等分配调节机制增加低收入群体收入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有力有效加强基本民生保障。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强化支出措施，加快资金支付进度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以项目建设为抓手，推动项目尽快实施，对已开工项目，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在确保工程质量和资金安全的前提下，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进一步精简环节、提升效能。确保不挤占挪用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资金，将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资金切实用在保障和改善民生的基础设施建设以及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产业发展等专项领域，促进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经济社会持续健康发展。</w:t>
      </w:r>
    </w:p>
    <w:p w14:paraId="4008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）坚持向上争取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税源培育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共同发力</w:t>
      </w:r>
    </w:p>
    <w:p w14:paraId="523CBE70">
      <w:pPr>
        <w:spacing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，是脱贫攻坚成果与乡村振兴有效衔接的收官之年，我们将积极争取申报衔接资金项目，为河鱼乡争取更多财力支撑。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，财政收入税收分成制将进一步明确细化。为此，我们将加大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税源培育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将支持产业发展和市场主体作为财源建设的首要任务，加大山地鸡、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中药材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等农业特色产业发展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中小微企业扶持力度，全力培植支柱性财源税源，做到存量升级、增量转型，切实增强经济发展内生动力。</w:t>
      </w:r>
    </w:p>
    <w:p w14:paraId="295A7DF4">
      <w:pPr>
        <w:spacing w:line="56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各位代表，做好2026年的财政工作责任重大、任务艰巨。我们将在乡党委的正确领导和乡人大的监督支持下，坚定信心、扎实工作，确保完成全年各项财政预算目标，为谱写河鱼乡高质量发展新篇章做出更大贡献！</w:t>
      </w:r>
    </w:p>
    <w:p w14:paraId="586A721C">
      <w:pPr>
        <w:ind w:firstLine="420" w:firstLineChars="200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1E52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3AFD85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o9HKvZAAAACAEAAA8AAAAAAAAAAQAgAAAA&#10;IgAAAGRycy9kb3ducmV2LnhtbFBLAQIUABQAAAAIAIdO4kBeJUZ00QEAAKMDAAAOAAAAAAAAAAEA&#10;IAAAAC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3AFD85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E895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1D6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12C8"/>
    <w:rsid w:val="20783067"/>
    <w:rsid w:val="2E7251A3"/>
    <w:rsid w:val="32CC5C9B"/>
    <w:rsid w:val="36062A6B"/>
    <w:rsid w:val="38CE13B0"/>
    <w:rsid w:val="39167E68"/>
    <w:rsid w:val="43635CA2"/>
    <w:rsid w:val="541D5329"/>
    <w:rsid w:val="60D34CB8"/>
    <w:rsid w:val="646A44DD"/>
    <w:rsid w:val="6C337373"/>
    <w:rsid w:val="70A10F2E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el-tool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01"/>
    <w:basedOn w:val="7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1468</Words>
  <Characters>1591</Characters>
  <Lines>0</Lines>
  <Paragraphs>0</Paragraphs>
  <TotalTime>0</TotalTime>
  <ScaleCrop>false</ScaleCrop>
  <LinksUpToDate>false</LinksUpToDate>
  <CharactersWithSpaces>1595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2025-02-07T04:21:00Z</dcterms:created>
  <dc:creator>Administrator</dc:creator>
  <cp:lastModifiedBy>Mr老刘</cp:lastModifiedBy>
  <dcterms:modified xsi:type="dcterms:W3CDTF">2026-02-05T02:44:38Z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eyJoZGlkIjoiY2EyNjliY2YzMDRmYzk1MDQzYzExN2IwZjBjMjNmNTYiLCJ1c2VySWQiOiIxMDQwMzI0NTIzIn0=</vt:lpwstr>
  </property>
  <property fmtid="{D5CDD505-2E9C-101B-9397-08002B2CF9AE}" pid="4" name="ICV">
    <vt:lpwstr>3091EEC2001C42A0A3DFBFED0854A377_12</vt:lpwstr>
  </property>
</Properties>
</file>