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重庆市城口县高楠镇综合行政执法大队</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right="0" w:rightChars="0"/>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880" w:firstLineChars="200"/>
        <w:jc w:val="both"/>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一、</w:t>
      </w: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基本情况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sz w:val="32"/>
          <w:szCs w:val="32"/>
        </w:rPr>
      </w:pPr>
      <w:r>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t>高楠镇综合行政执法大队是高楠镇人民政府所属公益一类事业单位。其主要职能职责有：综合行政执法大队主要负责由综合行政执法机构集中行使依法授权或委托的农林水利、生态环境保护、卫生健康、文化旅游、民政管理等领域的行政执法权。协助开展城市管理、规划和自然资源管理、市场监督管理等领域行政执法。农业、畜牧、林业、水利、资源环境保护、渔政等工作。</w:t>
      </w:r>
    </w:p>
    <w:p>
      <w:pPr>
        <w:pStyle w:val="9"/>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lang w:eastAsia="zh-CN"/>
        </w:rPr>
        <w:t>部门</w:t>
      </w:r>
      <w:r>
        <w:rPr>
          <w:rStyle w:val="13"/>
          <w:rFonts w:hint="eastAsia" w:ascii="方正黑体_GBK" w:hAnsi="方正黑体_GBK" w:eastAsia="方正黑体_GBK" w:cs="方正黑体_GBK"/>
          <w:sz w:val="32"/>
          <w:szCs w:val="32"/>
          <w:shd w:val="clear" w:color="auto" w:fill="FFFFFF"/>
        </w:rPr>
        <w:t>决算</w:t>
      </w:r>
      <w:r>
        <w:rPr>
          <w:rStyle w:val="13"/>
          <w:rFonts w:hint="eastAsia" w:ascii="方正黑体_GBK" w:hAnsi="方正黑体_GBK" w:eastAsia="方正黑体_GBK" w:cs="方正黑体_GBK"/>
          <w:sz w:val="32"/>
          <w:szCs w:val="32"/>
          <w:shd w:val="clear" w:color="auto" w:fill="FFFFFF"/>
          <w:lang w:eastAsia="zh-CN"/>
        </w:rPr>
        <w:t>收支</w:t>
      </w:r>
      <w:r>
        <w:rPr>
          <w:rStyle w:val="13"/>
          <w:rFonts w:hint="eastAsia" w:ascii="方正黑体_GBK" w:hAnsi="方正黑体_GBK" w:eastAsia="方正黑体_GBK" w:cs="方正黑体_GBK"/>
          <w:sz w:val="32"/>
          <w:szCs w:val="32"/>
          <w:shd w:val="clear" w:color="auto" w:fill="FFFFFF"/>
        </w:rPr>
        <w:t>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年度收入总计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万元，支出总计</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万元。收支较上年决算数增加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年综合行政执法大队未单独进行财务核算及决算处理，纳入政府核算及决算。 </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（二）一般公共预算财政拨款支出决算情况说明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1.</w:t>
      </w:r>
      <w:r>
        <w:rPr>
          <w:rStyle w:val="13"/>
          <w:rFonts w:hint="eastAsia" w:ascii="方正仿宋_GBK" w:hAnsi="方正仿宋_GBK" w:eastAsia="方正仿宋_GBK" w:cs="方正仿宋_GBK"/>
          <w:i w:val="0"/>
          <w:iCs w:val="0"/>
          <w:caps w:val="0"/>
          <w:color w:val="333333"/>
          <w:spacing w:val="0"/>
          <w:sz w:val="32"/>
          <w:szCs w:val="32"/>
          <w:shd w:val="clear" w:fill="FFFFFF"/>
        </w:rPr>
        <w:t>收入情况。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2.</w:t>
      </w:r>
      <w:r>
        <w:rPr>
          <w:rStyle w:val="13"/>
          <w:rFonts w:hint="eastAsia" w:ascii="方正仿宋_GBK" w:hAnsi="方正仿宋_GBK" w:eastAsia="方正仿宋_GBK" w:cs="方正仿宋_GBK"/>
          <w:i w:val="0"/>
          <w:iCs w:val="0"/>
          <w:caps w:val="0"/>
          <w:color w:val="333333"/>
          <w:spacing w:val="0"/>
          <w:sz w:val="32"/>
          <w:szCs w:val="32"/>
          <w:shd w:val="clear" w:fill="FFFFFF"/>
        </w:rPr>
        <w:t>支出情况。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3.</w:t>
      </w:r>
      <w:r>
        <w:rPr>
          <w:rStyle w:val="13"/>
          <w:rFonts w:hint="eastAsia" w:ascii="方正仿宋_GBK" w:hAnsi="方正仿宋_GBK" w:eastAsia="方正仿宋_GBK" w:cs="方正仿宋_GBK"/>
          <w:i w:val="0"/>
          <w:iCs w:val="0"/>
          <w:caps w:val="0"/>
          <w:color w:val="333333"/>
          <w:spacing w:val="0"/>
          <w:sz w:val="32"/>
          <w:szCs w:val="32"/>
          <w:shd w:val="clear" w:fill="FFFFFF"/>
        </w:rPr>
        <w:t>结转结余情况。</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年年末结余结转情况：年末一般公共预算资金结余结转为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万元，政府性基金结余结转为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3" w:firstLineChars="200"/>
        <w:jc w:val="both"/>
        <w:rPr>
          <w:rFonts w:hint="eastAsia" w:ascii="宋体" w:hAnsi="宋体" w:eastAsia="宋体" w:cs="宋体"/>
          <w:i w:val="0"/>
          <w:iCs w:val="0"/>
          <w:caps w:val="0"/>
          <w:color w:val="333333"/>
          <w:spacing w:val="0"/>
          <w:sz w:val="32"/>
          <w:szCs w:val="32"/>
        </w:rPr>
      </w:pPr>
      <w:r>
        <w:rPr>
          <w:rStyle w:val="13"/>
          <w:rFonts w:hint="default" w:ascii="Times New Roman" w:hAnsi="Times New Roman" w:eastAsia="方正仿宋_GBK" w:cs="Times New Roman"/>
          <w:i w:val="0"/>
          <w:iCs w:val="0"/>
          <w:caps w:val="0"/>
          <w:color w:val="333333"/>
          <w:spacing w:val="0"/>
          <w:sz w:val="32"/>
          <w:szCs w:val="32"/>
          <w:shd w:val="clear" w:fill="FFFFFF"/>
        </w:rPr>
        <w:t>4.</w:t>
      </w:r>
      <w:r>
        <w:rPr>
          <w:rStyle w:val="13"/>
          <w:rFonts w:hint="eastAsia" w:ascii="方正仿宋_GBK" w:hAnsi="方正仿宋_GBK" w:eastAsia="方正仿宋_GBK" w:cs="方正仿宋_GBK"/>
          <w:i w:val="0"/>
          <w:iCs w:val="0"/>
          <w:caps w:val="0"/>
          <w:color w:val="333333"/>
          <w:spacing w:val="0"/>
          <w:sz w:val="32"/>
          <w:szCs w:val="32"/>
          <w:shd w:val="clear" w:fill="FFFFFF"/>
        </w:rPr>
        <w:t>比较情况。</w:t>
      </w: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年度财政拨款支出主要用于以下几个方面：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33.83</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85.40</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33.83</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）社会保障与就业支出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3.09</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7.80</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3.09</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方正仿宋_GBK" w:hAnsi="方正仿宋_GBK" w:eastAsia="方正仿宋_GBK" w:cs="方正仿宋_GBK"/>
          <w:i w:val="0"/>
          <w:iCs w:val="0"/>
          <w:caps w:val="0"/>
          <w:color w:val="333333"/>
          <w:spacing w:val="0"/>
          <w:sz w:val="32"/>
          <w:szCs w:val="32"/>
          <w:shd w:val="clear" w:fill="FFFFFF"/>
        </w:rPr>
        <w:t>）卫生健康支出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eastAsia" w:ascii="Times New Roman" w:hAnsi="Times New Roman" w:eastAsia="方正仿宋_GBK" w:cs="Times New Roman"/>
          <w:i w:val="0"/>
          <w:iCs w:val="0"/>
          <w:caps w:val="0"/>
          <w:color w:val="333333"/>
          <w:spacing w:val="0"/>
          <w:sz w:val="32"/>
          <w:szCs w:val="32"/>
          <w:shd w:val="clear" w:fill="FFFFFF"/>
          <w:lang w:val="en-US" w:eastAsia="zh-CN"/>
        </w:rPr>
        <w:t>2.85</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。主要原因是中从政府（本级）调整预算到综合行政执法大队。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方正仿宋_GBK" w:hAnsi="方正仿宋_GBK" w:eastAsia="方正仿宋_GBK" w:cs="方正仿宋_GBK"/>
          <w:i w:val="0"/>
          <w:iCs w:val="0"/>
          <w:caps w:val="0"/>
          <w:color w:val="333333"/>
          <w:spacing w:val="0"/>
          <w:sz w:val="32"/>
          <w:szCs w:val="32"/>
          <w:shd w:val="clear" w:fill="FFFFFF"/>
        </w:rPr>
        <w:t>）住房保障支出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1.55</w:t>
      </w:r>
      <w:r>
        <w:rPr>
          <w:rFonts w:hint="eastAsia" w:ascii="方正仿宋_GBK" w:hAnsi="方正仿宋_GBK" w:eastAsia="方正仿宋_GBK" w:cs="方正仿宋_GBK"/>
          <w:i w:val="0"/>
          <w:iCs w:val="0"/>
          <w:caps w:val="0"/>
          <w:color w:val="333333"/>
          <w:spacing w:val="0"/>
          <w:sz w:val="32"/>
          <w:szCs w:val="32"/>
          <w:shd w:val="clear" w:fill="FFFFFF"/>
        </w:rPr>
        <w:t>万元，占</w:t>
      </w: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lang w:val="en-US" w:eastAsia="zh-CN"/>
        </w:rPr>
        <w:t>91</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方正仿宋_GBK" w:hAnsi="方正仿宋_GBK" w:eastAsia="方正仿宋_GBK" w:cs="方正仿宋_GBK"/>
          <w:i w:val="0"/>
          <w:iCs w:val="0"/>
          <w:caps w:val="0"/>
          <w:color w:val="333333"/>
          <w:spacing w:val="0"/>
          <w:sz w:val="32"/>
          <w:szCs w:val="32"/>
          <w:shd w:val="clear" w:fill="FFFFFF"/>
        </w:rPr>
        <w:t>，较年初预算数增加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1.55</w:t>
      </w:r>
      <w:r>
        <w:rPr>
          <w:rFonts w:hint="eastAsia" w:ascii="方正仿宋_GBK" w:hAnsi="方正仿宋_GBK" w:eastAsia="方正仿宋_GBK" w:cs="方正仿宋_GBK"/>
          <w:i w:val="0"/>
          <w:iCs w:val="0"/>
          <w:caps w:val="0"/>
          <w:color w:val="333333"/>
          <w:spacing w:val="0"/>
          <w:sz w:val="32"/>
          <w:szCs w:val="32"/>
          <w:shd w:val="clear" w:fill="FFFFFF"/>
        </w:rPr>
        <w:t>万元，增加</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。主要原因是年中从政府（本级）调整预算到综合行政执法大队。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（三）财政拨款收入支出决算总体情况说明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方正仿宋_GBK" w:hAnsi="方正仿宋_GBK" w:eastAsia="方正仿宋_GBK" w:cs="方正仿宋_GBK"/>
          <w:i w:val="0"/>
          <w:iCs w:val="0"/>
          <w:caps w:val="0"/>
          <w:color w:val="333333"/>
          <w:spacing w:val="0"/>
          <w:sz w:val="32"/>
          <w:szCs w:val="32"/>
          <w:shd w:val="clear" w:fill="FFFFFF"/>
        </w:rPr>
        <w:t>收入预算：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万元，收入较去年增加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方正仿宋_GBK" w:hAnsi="方正仿宋_GBK" w:eastAsia="方正仿宋_GBK" w:cs="方正仿宋_GBK"/>
          <w:i w:val="0"/>
          <w:iCs w:val="0"/>
          <w:caps w:val="0"/>
          <w:color w:val="333333"/>
          <w:spacing w:val="0"/>
          <w:sz w:val="32"/>
          <w:szCs w:val="32"/>
          <w:shd w:val="clear" w:fill="FFFFFF"/>
        </w:rPr>
        <w:t>支出预算：</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万元，支出较去年增加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（四）一般公共预算财政拨款基本支出决算情况说明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 2024</w:t>
      </w:r>
      <w:r>
        <w:rPr>
          <w:rFonts w:hint="eastAsia" w:ascii="方正仿宋_GBK" w:hAnsi="方正仿宋_GBK" w:eastAsia="方正仿宋_GBK" w:cs="方正仿宋_GBK"/>
          <w:i w:val="0"/>
          <w:iCs w:val="0"/>
          <w:caps w:val="0"/>
          <w:color w:val="333333"/>
          <w:spacing w:val="0"/>
          <w:sz w:val="32"/>
          <w:szCs w:val="32"/>
          <w:shd w:val="clear" w:fill="FFFFFF"/>
        </w:rPr>
        <w:t>年度一般公共财政拨款基本支出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39.61</w:t>
      </w:r>
      <w:r>
        <w:rPr>
          <w:rFonts w:hint="eastAsia" w:ascii="方正仿宋_GBK" w:hAnsi="方正仿宋_GBK" w:eastAsia="方正仿宋_GBK" w:cs="方正仿宋_GBK"/>
          <w:i w:val="0"/>
          <w:iCs w:val="0"/>
          <w:caps w:val="0"/>
          <w:color w:val="333333"/>
          <w:spacing w:val="0"/>
          <w:sz w:val="32"/>
          <w:szCs w:val="32"/>
          <w:shd w:val="clear" w:fill="FFFFFF"/>
        </w:rPr>
        <w:t>万元。其中：人员经费</w:t>
      </w:r>
      <w:r>
        <w:rPr>
          <w:rFonts w:hint="default" w:ascii="Times New Roman" w:hAnsi="Times New Roman" w:eastAsia="方正仿宋_GBK" w:cs="Times New Roman"/>
          <w:i w:val="0"/>
          <w:iCs w:val="0"/>
          <w:caps w:val="0"/>
          <w:color w:val="333333"/>
          <w:spacing w:val="0"/>
          <w:sz w:val="32"/>
          <w:szCs w:val="32"/>
          <w:shd w:val="clear" w:fill="FFFFFF"/>
          <w:lang w:val="en-US" w:eastAsia="zh-CN"/>
        </w:rPr>
        <w:t>25.17</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25.17</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年综合行政执法大队未单独进行财务核算及决算处理，纳入政府核算及决算。人员经费用途主要包括基本工资、津贴补贴、奖金、伙食补助费、绩效工资、社会保障缴费及住房公积金等。公用经费</w:t>
      </w:r>
      <w:r>
        <w:rPr>
          <w:rFonts w:hint="eastAsia" w:ascii="Times New Roman" w:hAnsi="Times New Roman" w:eastAsia="方正仿宋_GBK" w:cs="Times New Roman"/>
          <w:i w:val="0"/>
          <w:iCs w:val="0"/>
          <w:caps w:val="0"/>
          <w:color w:val="333333"/>
          <w:spacing w:val="0"/>
          <w:sz w:val="32"/>
          <w:szCs w:val="32"/>
          <w:shd w:val="clear" w:fill="FFFFFF"/>
          <w:lang w:val="en-US" w:eastAsia="zh-CN"/>
        </w:rPr>
        <w:t>14.44</w:t>
      </w:r>
      <w:r>
        <w:rPr>
          <w:rFonts w:hint="eastAsia" w:ascii="方正仿宋_GBK" w:hAnsi="方正仿宋_GBK" w:eastAsia="方正仿宋_GBK" w:cs="方正仿宋_GBK"/>
          <w:i w:val="0"/>
          <w:iCs w:val="0"/>
          <w:caps w:val="0"/>
          <w:color w:val="333333"/>
          <w:spacing w:val="0"/>
          <w:sz w:val="32"/>
          <w:szCs w:val="32"/>
          <w:shd w:val="clear" w:fill="FFFFFF"/>
        </w:rPr>
        <w:t>万元，较上年决算数增加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14.44</w:t>
      </w:r>
      <w:r>
        <w:rPr>
          <w:rFonts w:hint="eastAsia" w:ascii="方正仿宋_GBK" w:hAnsi="方正仿宋_GBK" w:eastAsia="方正仿宋_GBK" w:cs="方正仿宋_GBK"/>
          <w:i w:val="0"/>
          <w:iCs w:val="0"/>
          <w:caps w:val="0"/>
          <w:color w:val="333333"/>
          <w:spacing w:val="0"/>
          <w:sz w:val="32"/>
          <w:szCs w:val="32"/>
          <w:shd w:val="clear" w:fill="FFFFFF"/>
        </w:rPr>
        <w:t>万元，增长</w:t>
      </w:r>
      <w:r>
        <w:rPr>
          <w:rFonts w:hint="default" w:ascii="Times New Roman" w:hAnsi="Times New Roman" w:eastAsia="方正仿宋_GBK" w:cs="Times New Roman"/>
          <w:i w:val="0"/>
          <w:iCs w:val="0"/>
          <w:caps w:val="0"/>
          <w:color w:val="333333"/>
          <w:spacing w:val="0"/>
          <w:sz w:val="32"/>
          <w:szCs w:val="32"/>
          <w:shd w:val="clear" w:fill="FFFFFF"/>
        </w:rPr>
        <w:t>100.00%</w:t>
      </w:r>
      <w:r>
        <w:rPr>
          <w:rFonts w:hint="eastAsia" w:ascii="方正仿宋_GBK" w:hAnsi="方正仿宋_GBK" w:eastAsia="方正仿宋_GBK" w:cs="方正仿宋_GBK"/>
          <w:i w:val="0"/>
          <w:iCs w:val="0"/>
          <w:caps w:val="0"/>
          <w:color w:val="333333"/>
          <w:spacing w:val="0"/>
          <w:sz w:val="32"/>
          <w:szCs w:val="32"/>
          <w:shd w:val="clear" w:fill="FFFFFF"/>
        </w:rPr>
        <w:t>，主要原因是</w:t>
      </w:r>
      <w:r>
        <w:rPr>
          <w:rFonts w:hint="default" w:ascii="Times New Roman" w:hAnsi="Times New Roman" w:eastAsia="方正仿宋_GBK" w:cs="Times New Roman"/>
          <w:i w:val="0"/>
          <w:iCs w:val="0"/>
          <w:caps w:val="0"/>
          <w:color w:val="333333"/>
          <w:spacing w:val="0"/>
          <w:sz w:val="32"/>
          <w:szCs w:val="32"/>
          <w:shd w:val="clear" w:fill="FFFFFF"/>
        </w:rPr>
        <w:t>2023</w:t>
      </w:r>
      <w:r>
        <w:rPr>
          <w:rFonts w:hint="eastAsia" w:ascii="方正仿宋_GBK" w:hAnsi="方正仿宋_GBK" w:eastAsia="方正仿宋_GBK" w:cs="方正仿宋_GBK"/>
          <w:i w:val="0"/>
          <w:iCs w:val="0"/>
          <w:caps w:val="0"/>
          <w:color w:val="333333"/>
          <w:spacing w:val="0"/>
          <w:sz w:val="32"/>
          <w:szCs w:val="32"/>
          <w:shd w:val="clear" w:fill="FFFFFF"/>
        </w:rPr>
        <w:t>年综合行政执法大队未单独进行财务核算及决算处理，纳入政府核算及决算。公用经费用途主要包括办公费、差旅费、劳务费、公务接待费及公务用车运行维护费等。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（五）政府性基金预算收支决算情况说明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本单位</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年度无政府性基金预算财政拨款收支。</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三、</w:t>
      </w:r>
      <w:r>
        <w:rPr>
          <w:rStyle w:val="13"/>
          <w:rFonts w:hint="eastAsia" w:ascii="方正黑体_GBK" w:hAnsi="方正黑体_GBK" w:eastAsia="方正黑体_GBK" w:cs="方正黑体_GBK"/>
          <w:sz w:val="32"/>
          <w:szCs w:val="32"/>
          <w:shd w:val="clear" w:color="auto" w:fill="FFFFFF"/>
          <w:lang w:eastAsia="zh-CN"/>
        </w:rPr>
        <w:t>财政拨款</w:t>
      </w:r>
      <w:r>
        <w:rPr>
          <w:rStyle w:val="13"/>
          <w:rFonts w:hint="eastAsia" w:ascii="方正黑体_GBK" w:hAnsi="方正黑体_GBK" w:eastAsia="方正黑体_GBK" w:cs="方正黑体_GBK"/>
          <w:sz w:val="32"/>
          <w:szCs w:val="32"/>
          <w:shd w:val="clear" w:color="auto" w:fill="FFFFFF"/>
        </w:rPr>
        <w:t>“三公”经费情况说明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（一）“三公”经费支出总体情况说明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方正仿宋_GBK" w:cs="宋体"/>
          <w:i w:val="0"/>
          <w:iCs w:val="0"/>
          <w:caps w:val="0"/>
          <w:color w:val="333333"/>
          <w:spacing w:val="0"/>
          <w:sz w:val="32"/>
          <w:szCs w:val="32"/>
          <w:lang w:eastAsia="zh-CN"/>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年度本单位“三公”经费支出共计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万元，主要原因是年中从政府（本级）调整预算到下属事业单位，未将“三公”经费支出调整至综合行政执法大队</w:t>
      </w:r>
      <w:r>
        <w:rPr>
          <w:rFonts w:hint="eastAsia" w:ascii="方正仿宋_GBK" w:hAnsi="方正仿宋_GBK" w:eastAsia="方正仿宋_GBK" w:cs="方正仿宋_GBK"/>
          <w:i w:val="0"/>
          <w:iCs w:val="0"/>
          <w:caps w:val="0"/>
          <w:color w:val="333333"/>
          <w:spacing w:val="0"/>
          <w:sz w:val="32"/>
          <w:szCs w:val="32"/>
          <w:shd w:val="clear" w:fill="FFFFFF"/>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（二）“三公”经费分项支出情况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年度本单位因公出国（境）费用</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万元，主要原因是上年、本年均未安排单位人员出国出访。</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公务车购置费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万元，费用支出较年初预算数增加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万元，较上年支出数增加</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万元，主要原因是本年度未进行公务车购置。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公务车运行维护费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县内因公出行、安全生产监管、乡村振兴、巩固脱贫攻坚成果等工作所需车辆的燃料费、维修费、保险费等。费用支出较年初预算数无增减，较上年支出数无增减。主要原因是公务车运行维护费统一在政府（本级）列支，下属事业单位未单独列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公务接待费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万元，主要用于接待相关部门检查指导工作发生的接待支出；费用支出与年初预算数持平。主要原因是年中从政府（本级）调整预算到下属事业单位，未将“三公”经费支出调整至综合行政执法大队。</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（三）“三公”经费实物量情况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年度本单位无因公出国（境）支出；公务用车购置</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辆，公务车保有量为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辆；国内公务接待</w:t>
      </w:r>
      <w:r>
        <w:rPr>
          <w:rFonts w:hint="default" w:ascii="Times New Roman" w:hAnsi="Times New Roman" w:eastAsia="方正仿宋_GBK" w:cs="Times New Roman"/>
          <w:i w:val="0"/>
          <w:iCs w:val="0"/>
          <w:caps w:val="0"/>
          <w:color w:val="333333"/>
          <w:spacing w:val="0"/>
          <w:sz w:val="32"/>
          <w:szCs w:val="32"/>
          <w:shd w:val="clear" w:fill="FFFFFF"/>
        </w:rPr>
        <w:t>40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223</w:t>
      </w:r>
      <w:r>
        <w:rPr>
          <w:rFonts w:hint="eastAsia" w:ascii="方正仿宋_GBK" w:hAnsi="方正仿宋_GBK" w:eastAsia="方正仿宋_GBK" w:cs="方正仿宋_GBK"/>
          <w:i w:val="0"/>
          <w:iCs w:val="0"/>
          <w:caps w:val="0"/>
          <w:color w:val="333333"/>
          <w:spacing w:val="0"/>
          <w:sz w:val="32"/>
          <w:szCs w:val="32"/>
          <w:shd w:val="clear" w:fill="FFFFFF"/>
        </w:rPr>
        <w:t>人，其中：国内外事接待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人；国（境）外公务接待</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批次，</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人。</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年本单位人均接待费</w:t>
      </w:r>
      <w:r>
        <w:rPr>
          <w:rFonts w:hint="default" w:ascii="Times New Roman" w:hAnsi="Times New Roman" w:eastAsia="方正仿宋_GBK" w:cs="Times New Roman"/>
          <w:i w:val="0"/>
          <w:iCs w:val="0"/>
          <w:caps w:val="0"/>
          <w:color w:val="333333"/>
          <w:spacing w:val="0"/>
          <w:sz w:val="32"/>
          <w:szCs w:val="32"/>
          <w:shd w:val="clear" w:fill="FFFFFF"/>
        </w:rPr>
        <w:t>44.84</w:t>
      </w:r>
      <w:r>
        <w:rPr>
          <w:rFonts w:hint="eastAsia" w:ascii="方正仿宋_GBK" w:hAnsi="方正仿宋_GBK" w:eastAsia="方正仿宋_GBK" w:cs="方正仿宋_GBK"/>
          <w:i w:val="0"/>
          <w:iCs w:val="0"/>
          <w:caps w:val="0"/>
          <w:color w:val="333333"/>
          <w:spacing w:val="0"/>
          <w:sz w:val="32"/>
          <w:szCs w:val="32"/>
          <w:shd w:val="clear" w:fill="FFFFFF"/>
        </w:rPr>
        <w:t>元，车均购置费</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万元，车均维护费</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rPr>
      </w:pPr>
      <w:r>
        <w:rPr>
          <w:rStyle w:val="13"/>
          <w:rFonts w:hint="eastAsia" w:ascii="方正黑体_GBK" w:hAnsi="方正黑体_GBK" w:eastAsia="方正黑体_GBK" w:cs="方正黑体_GBK"/>
          <w:sz w:val="32"/>
          <w:szCs w:val="32"/>
          <w:shd w:val="clear" w:color="auto" w:fill="FFFFFF"/>
        </w:rPr>
        <w:t>四、其他需要说明的事项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仿宋_GBK" w:hAnsi="方正仿宋_GBK" w:eastAsia="方正仿宋_GBK" w:cs="方正仿宋_GBK"/>
          <w:i w:val="0"/>
          <w:iCs w:val="0"/>
          <w:caps w:val="0"/>
          <w:color w:val="333333"/>
          <w:spacing w:val="0"/>
          <w:sz w:val="32"/>
          <w:szCs w:val="32"/>
          <w:shd w:val="clear" w:fill="FFFFFF"/>
        </w:rPr>
        <w:t>按照部门决算列报口径，我单位不在机关运行经费统计范围之内。</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此外，本年度会议费支出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万元，较上年决算数无增减，主要原因是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年度未单独安排会议费。本年度培训费支出</w:t>
      </w:r>
      <w:r>
        <w:rPr>
          <w:rFonts w:hint="default" w:ascii="Times New Roman" w:hAnsi="Times New Roman" w:eastAsia="方正仿宋_GBK" w:cs="Times New Roman"/>
          <w:i w:val="0"/>
          <w:iCs w:val="0"/>
          <w:caps w:val="0"/>
          <w:color w:val="333333"/>
          <w:spacing w:val="0"/>
          <w:sz w:val="32"/>
          <w:szCs w:val="32"/>
          <w:shd w:val="clear" w:fill="FFFFFF"/>
        </w:rPr>
        <w:t>0.00</w:t>
      </w:r>
      <w:r>
        <w:rPr>
          <w:rFonts w:hint="eastAsia" w:ascii="方正仿宋_GBK" w:hAnsi="方正仿宋_GBK" w:eastAsia="方正仿宋_GBK" w:cs="方正仿宋_GBK"/>
          <w:i w:val="0"/>
          <w:iCs w:val="0"/>
          <w:caps w:val="0"/>
          <w:color w:val="333333"/>
          <w:spacing w:val="0"/>
          <w:sz w:val="32"/>
          <w:szCs w:val="32"/>
          <w:shd w:val="clear" w:fill="FFFFFF"/>
        </w:rPr>
        <w:t>万元，较上年决算数无变化，主要原因是</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年度未单独安排会议费。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ascii="方正楷体_GBK" w:hAnsi="方正楷体_GBK" w:eastAsia="方正楷体_GBK" w:cs="方正楷体_GBK"/>
          <w:i w:val="0"/>
          <w:iCs w:val="0"/>
          <w:caps w:val="0"/>
          <w:color w:val="333333"/>
          <w:spacing w:val="0"/>
          <w:sz w:val="32"/>
          <w:szCs w:val="32"/>
          <w:shd w:val="clear" w:fill="FFFFFF"/>
        </w:rPr>
        <w:t>（二）</w:t>
      </w:r>
      <w:r>
        <w:rPr>
          <w:rFonts w:hint="eastAsia" w:ascii="方正楷体_GBK" w:hAnsi="方正楷体_GBK" w:eastAsia="方正楷体_GBK" w:cs="方正楷体_GBK"/>
          <w:i w:val="0"/>
          <w:iCs w:val="0"/>
          <w:caps w:val="0"/>
          <w:color w:val="333333"/>
          <w:spacing w:val="0"/>
          <w:sz w:val="32"/>
          <w:szCs w:val="32"/>
          <w:shd w:val="clear" w:fill="FFFFFF"/>
        </w:rPr>
        <w:t>国有资产占用情况说明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  </w:t>
      </w:r>
      <w:r>
        <w:rPr>
          <w:rFonts w:hint="eastAsia" w:ascii="方正仿宋_GBK" w:hAnsi="方正仿宋_GBK" w:eastAsia="方正仿宋_GBK" w:cs="方正仿宋_GBK"/>
          <w:i w:val="0"/>
          <w:iCs w:val="0"/>
          <w:caps w:val="0"/>
          <w:color w:val="333333"/>
          <w:spacing w:val="0"/>
          <w:sz w:val="32"/>
          <w:szCs w:val="32"/>
          <w:shd w:val="clear" w:fill="FFFFFF"/>
        </w:rPr>
        <w:t>截至</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12</w:t>
      </w:r>
      <w:r>
        <w:rPr>
          <w:rFonts w:hint="eastAsia" w:ascii="方正仿宋_GBK" w:hAnsi="方正仿宋_GBK" w:eastAsia="方正仿宋_GBK" w:cs="方正仿宋_GBK"/>
          <w:i w:val="0"/>
          <w:iCs w:val="0"/>
          <w:caps w:val="0"/>
          <w:color w:val="333333"/>
          <w:spacing w:val="0"/>
          <w:sz w:val="32"/>
          <w:szCs w:val="32"/>
          <w:shd w:val="clear" w:fill="FFFFFF"/>
        </w:rPr>
        <w:t>月</w:t>
      </w:r>
      <w:r>
        <w:rPr>
          <w:rFonts w:hint="default" w:ascii="Times New Roman" w:hAnsi="Times New Roman" w:eastAsia="方正仿宋_GBK" w:cs="Times New Roman"/>
          <w:i w:val="0"/>
          <w:iCs w:val="0"/>
          <w:caps w:val="0"/>
          <w:color w:val="333333"/>
          <w:spacing w:val="0"/>
          <w:sz w:val="32"/>
          <w:szCs w:val="32"/>
          <w:shd w:val="clear" w:fill="FFFFFF"/>
        </w:rPr>
        <w:t>31</w:t>
      </w:r>
      <w:r>
        <w:rPr>
          <w:rFonts w:hint="eastAsia" w:ascii="方正仿宋_GBK" w:hAnsi="方正仿宋_GBK" w:eastAsia="方正仿宋_GBK" w:cs="方正仿宋_GBK"/>
          <w:i w:val="0"/>
          <w:iCs w:val="0"/>
          <w:caps w:val="0"/>
          <w:color w:val="333333"/>
          <w:spacing w:val="0"/>
          <w:sz w:val="32"/>
          <w:szCs w:val="32"/>
          <w:shd w:val="clear" w:fill="FFFFFF"/>
        </w:rPr>
        <w:t>日，本单位共有车辆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辆，其中，副部（省）级及以上领导用车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辆、主要负责人用车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辆、机要通信用车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辆、应急保障用车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辆、执法执勤用车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辆，特种专业技术用车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辆，离退休干部用车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辆。单价</w:t>
      </w:r>
      <w:r>
        <w:rPr>
          <w:rFonts w:hint="default" w:ascii="Times New Roman" w:hAnsi="Times New Roman" w:eastAsia="方正仿宋_GBK" w:cs="Times New Roman"/>
          <w:i w:val="0"/>
          <w:iCs w:val="0"/>
          <w:caps w:val="0"/>
          <w:color w:val="333333"/>
          <w:spacing w:val="0"/>
          <w:sz w:val="32"/>
          <w:szCs w:val="32"/>
          <w:shd w:val="clear" w:fill="FFFFFF"/>
        </w:rPr>
        <w:t>100</w:t>
      </w:r>
      <w:r>
        <w:rPr>
          <w:rFonts w:hint="eastAsia" w:ascii="方正仿宋_GBK" w:hAnsi="方正仿宋_GBK" w:eastAsia="方正仿宋_GBK" w:cs="方正仿宋_GBK"/>
          <w:i w:val="0"/>
          <w:iCs w:val="0"/>
          <w:caps w:val="0"/>
          <w:color w:val="333333"/>
          <w:spacing w:val="0"/>
          <w:sz w:val="32"/>
          <w:szCs w:val="32"/>
          <w:shd w:val="clear" w:fill="FFFFFF"/>
        </w:rPr>
        <w:t>万元（含）以上专用设备</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台（套）。</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（三）政府采购支出情况说明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eastAsia" w:ascii="宋体" w:hAnsi="宋体" w:eastAsia="宋体" w:cs="宋体"/>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年度本单位政府采购支出总额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万元，其中：政府采购货物支出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万元、政府采购工程支出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万元、政府采购服务支出</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方正仿宋_GBK" w:hAnsi="方正仿宋_GBK" w:eastAsia="方正仿宋_GBK" w:cs="方正仿宋_GBK"/>
          <w:i w:val="0"/>
          <w:iCs w:val="0"/>
          <w:caps w:val="0"/>
          <w:color w:val="333333"/>
          <w:spacing w:val="0"/>
          <w:sz w:val="32"/>
          <w:szCs w:val="32"/>
          <w:shd w:val="clear" w:fill="FFFFFF"/>
        </w:rPr>
        <w:t>万元。  </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3"/>
          <w:rFonts w:hint="eastAsia" w:ascii="方正黑体_GBK" w:hAnsi="方正黑体_GBK" w:eastAsia="方正黑体_GBK" w:cs="方正黑体_GBK"/>
          <w:sz w:val="32"/>
          <w:szCs w:val="32"/>
          <w:shd w:val="clear" w:color="auto" w:fill="FFFFFF"/>
          <w:lang w:val="en-US" w:eastAsia="zh-CN" w:bidi="ar-SA"/>
        </w:rPr>
      </w:pPr>
      <w:r>
        <w:rPr>
          <w:rStyle w:val="13"/>
          <w:rFonts w:hint="eastAsia" w:ascii="方正黑体_GBK" w:hAnsi="方正黑体_GBK" w:eastAsia="方正黑体_GBK" w:cs="方正黑体_GBK"/>
          <w:sz w:val="32"/>
          <w:szCs w:val="32"/>
          <w:shd w:val="clear" w:color="auto" w:fill="FFFFFF"/>
          <w:lang w:val="en-US" w:eastAsia="zh-CN" w:bidi="ar-SA"/>
        </w:rPr>
        <w:t>五、2024年度预算绩效管理情况说明</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560" w:lineRule="exact"/>
        <w:ind w:left="0" w:right="0" w:rightChars="0" w:firstLine="640" w:firstLineChars="200"/>
        <w:jc w:val="both"/>
        <w:rPr>
          <w:rFonts w:hint="default" w:ascii="微软雅黑" w:hAnsi="微软雅黑" w:eastAsia="微软雅黑" w:cs="微软雅黑"/>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shd w:val="clear" w:fill="FFFFFF"/>
        </w:rPr>
        <w:t>根据预算绩效管理要求，政府（本级）对部门整体</w:t>
      </w:r>
      <w:r>
        <w:rPr>
          <w:rFonts w:hint="eastAsia" w:ascii="方正仿宋_GBK" w:hAnsi="方正仿宋_GBK" w:eastAsia="方正仿宋_GBK" w:cs="方正仿宋_GBK"/>
          <w:i w:val="0"/>
          <w:iCs w:val="0"/>
          <w:caps w:val="0"/>
          <w:color w:val="auto"/>
          <w:spacing w:val="0"/>
          <w:sz w:val="32"/>
          <w:szCs w:val="32"/>
          <w:shd w:val="clear" w:fill="FFFFFF"/>
        </w:rPr>
        <w:t>和</w:t>
      </w:r>
      <w:r>
        <w:rPr>
          <w:rFonts w:hint="eastAsia" w:ascii="Times New Roman" w:hAnsi="Times New Roman" w:eastAsia="方正仿宋_GBK" w:cs="Times New Roman"/>
          <w:i w:val="0"/>
          <w:iCs w:val="0"/>
          <w:caps w:val="0"/>
          <w:color w:val="auto"/>
          <w:spacing w:val="0"/>
          <w:sz w:val="32"/>
          <w:szCs w:val="32"/>
          <w:shd w:val="clear" w:fill="FFFFFF"/>
          <w:lang w:val="en-US" w:eastAsia="zh-CN"/>
        </w:rPr>
        <w:t>59</w:t>
      </w:r>
      <w:r>
        <w:rPr>
          <w:rFonts w:hint="eastAsia" w:ascii="方正仿宋_GBK" w:hAnsi="方正仿宋_GBK" w:eastAsia="方正仿宋_GBK" w:cs="方正仿宋_GBK"/>
          <w:i w:val="0"/>
          <w:iCs w:val="0"/>
          <w:caps w:val="0"/>
          <w:color w:val="333333"/>
          <w:spacing w:val="0"/>
          <w:sz w:val="32"/>
          <w:szCs w:val="32"/>
          <w:shd w:val="clear" w:fill="FFFFFF"/>
        </w:rPr>
        <w:t>个项目开展了绩效自评，故本站所</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方正仿宋_GBK" w:hAnsi="方正仿宋_GBK" w:eastAsia="方正仿宋_GBK" w:cs="方正仿宋_GBK"/>
          <w:i w:val="0"/>
          <w:iCs w:val="0"/>
          <w:caps w:val="0"/>
          <w:color w:val="333333"/>
          <w:spacing w:val="0"/>
          <w:sz w:val="32"/>
          <w:szCs w:val="32"/>
          <w:shd w:val="clear" w:fill="FFFFFF"/>
        </w:rPr>
        <w:t>年度无需再次开展绩效评价。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黑体_GBK" w:hAnsi="方正黑体_GBK" w:eastAsia="方正黑体_GBK" w:cs="方正黑体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w:t>
      </w:r>
      <w:r>
        <w:rPr>
          <w:rStyle w:val="13"/>
          <w:rFonts w:hint="eastAsia" w:ascii="方正黑体_GBK" w:hAnsi="方正黑体_GBK" w:eastAsia="方正黑体_GBK" w:cs="方正黑体_GBK"/>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w:t>
      </w: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i w:val="0"/>
          <w:iCs w:val="0"/>
          <w:caps w:val="0"/>
          <w:color w:val="333333"/>
          <w:spacing w:val="0"/>
          <w:kern w:val="0"/>
          <w:sz w:val="32"/>
          <w:szCs w:val="32"/>
          <w:shd w:val="clear" w:fill="FFFFFF"/>
          <w:lang w:val="en-US" w:eastAsia="zh-CN" w:bidi="ar"/>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3" w:firstLineChars="200"/>
        <w:jc w:val="both"/>
        <w:textAlignment w:val="auto"/>
        <w:rPr>
          <w:rFonts w:hint="eastAsia" w:ascii="方正黑体_GBK" w:hAnsi="方正黑体_GBK" w:eastAsia="方正黑体_GBK" w:cs="方正黑体_GBK"/>
          <w:kern w:val="0"/>
          <w:sz w:val="32"/>
          <w:szCs w:val="32"/>
        </w:rPr>
      </w:pPr>
      <w:r>
        <w:rPr>
          <w:rStyle w:val="13"/>
          <w:rFonts w:hint="eastAsia" w:ascii="方正黑体_GBK" w:hAnsi="方正黑体_GBK" w:eastAsia="方正黑体_GBK" w:cs="方正黑体_GBK"/>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auto"/>
          <w:kern w:val="0"/>
          <w:sz w:val="32"/>
          <w:szCs w:val="32"/>
          <w:lang w:val="en-US" w:eastAsia="zh-CN"/>
        </w:rPr>
      </w:pPr>
      <w:bookmarkStart w:id="0" w:name="_GoBack"/>
      <w:bookmarkEnd w:id="0"/>
      <w:r>
        <w:rPr>
          <w:rFonts w:hint="eastAsia" w:ascii="方正仿宋_GBK" w:hAnsi="方正仿宋_GBK" w:eastAsia="方正仿宋_GBK" w:cs="方正仿宋_GBK"/>
          <w:color w:val="auto"/>
          <w:kern w:val="0"/>
          <w:sz w:val="32"/>
          <w:szCs w:val="32"/>
          <w:shd w:val="clear" w:fill="FFFFFF"/>
          <w:lang w:val="en-US" w:eastAsia="zh-CN"/>
        </w:rPr>
        <w:t>高楠镇人民政府</w:t>
      </w:r>
      <w:r>
        <w:rPr>
          <w:rFonts w:hint="eastAsia" w:ascii="方正仿宋_GBK" w:hAnsi="方正仿宋_GBK" w:eastAsia="方正仿宋_GBK" w:cs="方正仿宋_GBK"/>
          <w:color w:val="auto"/>
          <w:kern w:val="0"/>
          <w:sz w:val="32"/>
          <w:szCs w:val="32"/>
          <w:shd w:val="clear" w:fill="FFFFFF"/>
        </w:rPr>
        <w:t xml:space="preserve">   023-</w:t>
      </w:r>
      <w:r>
        <w:rPr>
          <w:rFonts w:hint="eastAsia" w:ascii="方正仿宋_GBK" w:hAnsi="方正仿宋_GBK" w:eastAsia="方正仿宋_GBK" w:cs="方正仿宋_GBK"/>
          <w:color w:val="auto"/>
          <w:kern w:val="0"/>
          <w:sz w:val="32"/>
          <w:szCs w:val="32"/>
          <w:shd w:val="clear" w:fill="FFFFFF"/>
          <w:lang w:val="en-US" w:eastAsia="zh-CN"/>
        </w:rPr>
        <w:t>59500000</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left="0" w:right="0" w:rightChars="0" w:firstLine="640" w:firstLineChars="200"/>
        <w:jc w:val="both"/>
        <w:textAlignment w:val="auto"/>
        <w:rPr>
          <w:rFonts w:hint="eastAsia" w:ascii="方正仿宋_GBK" w:hAnsi="方正仿宋_GBK" w:eastAsia="方正仿宋_GBK" w:cs="方正仿宋_GBK"/>
          <w:kern w:val="0"/>
          <w:sz w:val="32"/>
          <w:szCs w:val="32"/>
          <w:shd w:val="clear" w:fill="FFFFFF"/>
        </w:r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3326"/>
        <w:gridCol w:w="996"/>
        <w:gridCol w:w="3146"/>
        <w:gridCol w:w="135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ascii="Arial" w:hAnsi="Arial" w:cs="Arial"/>
                <w:color w:val="000000"/>
                <w:sz w:val="22"/>
                <w:szCs w:val="22"/>
              </w:rPr>
            </w:pPr>
            <w:r>
              <w:rPr>
                <w:rFonts w:cs="宋体"/>
                <w:sz w:val="20"/>
                <w:szCs w:val="20"/>
              </w:rPr>
              <w:t>单位：</w:t>
            </w:r>
            <w:r>
              <w:rPr>
                <w:sz w:val="20"/>
                <w:u w:color="auto"/>
              </w:rPr>
              <w:t>高楠镇综合行政执法大队</w:t>
            </w:r>
          </w:p>
        </w:tc>
        <w:tc>
          <w:tcPr>
            <w:tcW w:w="137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40" w:firstLineChars="200"/>
              <w:jc w:val="both"/>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39.61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33.83</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3.09</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1.13</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39.61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39.61</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39.61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39.61</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823"/>
        <w:gridCol w:w="1680"/>
        <w:gridCol w:w="910"/>
        <w:gridCol w:w="835"/>
        <w:gridCol w:w="723"/>
        <w:gridCol w:w="828"/>
        <w:gridCol w:w="840"/>
        <w:gridCol w:w="746"/>
        <w:gridCol w:w="777"/>
        <w:gridCol w:w="761"/>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sz w:val="20"/>
                <w:u w:color="auto"/>
              </w:rPr>
              <w:t>高楠镇综合行政执法大队</w:t>
            </w: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39.61</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39.61</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33.83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33.83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33.68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33.68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2010350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33.68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33.68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2.06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2.06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744"/>
        <w:gridCol w:w="2073"/>
        <w:gridCol w:w="1060"/>
        <w:gridCol w:w="1016"/>
        <w:gridCol w:w="935"/>
        <w:gridCol w:w="896"/>
        <w:gridCol w:w="974"/>
        <w:gridCol w:w="1122"/>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高楠镇综合行政执法大队 </w:t>
            </w: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39.61</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39.61</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33.83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33.83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政府办公厅（室）及相关机构事务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33.68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33.68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2010350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33.68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33.68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2.06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2.06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1.03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1.10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386"/>
        <w:gridCol w:w="723"/>
        <w:gridCol w:w="2528"/>
        <w:gridCol w:w="723"/>
        <w:gridCol w:w="723"/>
        <w:gridCol w:w="547"/>
        <w:gridCol w:w="118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高楠镇综合行政执法大队</w:t>
            </w: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33.83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33.83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3.09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3.09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1.55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1.55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39.61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51"/>
        <w:gridCol w:w="2345"/>
        <w:gridCol w:w="1903"/>
        <w:gridCol w:w="1898"/>
        <w:gridCol w:w="1922"/>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高楠镇综合行政执法大队</w:t>
            </w: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39.61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39.61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33.83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33.83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政府办公厅（室）及相关机构事务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33.68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33.68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2010350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33.68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33.68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0.15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0.15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3.09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2.06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2.06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1.03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1.03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1.13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1.10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1.10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1.55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462"/>
        <w:gridCol w:w="1617"/>
        <w:gridCol w:w="887"/>
        <w:gridCol w:w="502"/>
        <w:gridCol w:w="1170"/>
        <w:gridCol w:w="816"/>
        <w:gridCol w:w="502"/>
        <w:gridCol w:w="1993"/>
        <w:gridCol w:w="859"/>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高楠镇综合行政执法大队</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25.17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14.44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3.80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3.35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1.43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14.16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0.80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2.06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1.03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1.10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0.04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2.40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1.55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2.40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2.40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2.08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1.01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hint="default" w:ascii="Times New Roman" w:hAnsi="Times New Roman"/>
                <w:color w:val="000000"/>
                <w:sz w:val="18"/>
                <w:szCs w:val="18"/>
              </w:rPr>
              <w:t>25.17</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1" w:firstLineChars="200"/>
              <w:jc w:val="both"/>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14.44</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60"/>
        <w:gridCol w:w="2069"/>
        <w:gridCol w:w="979"/>
        <w:gridCol w:w="979"/>
        <w:gridCol w:w="979"/>
        <w:gridCol w:w="979"/>
        <w:gridCol w:w="1016"/>
        <w:gridCol w:w="105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高楠镇综合行政执法大队</w:t>
            </w: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744"/>
        <w:gridCol w:w="2081"/>
        <w:gridCol w:w="1884"/>
        <w:gridCol w:w="109"/>
        <w:gridCol w:w="1994"/>
        <w:gridCol w:w="49"/>
        <w:gridCol w:w="1957"/>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高楠镇综合行政执法大队</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400" w:firstLineChars="200"/>
              <w:jc w:val="both"/>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2" w:firstLineChars="200"/>
              <w:jc w:val="both"/>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overflowPunct/>
              <w:topLinePunct w:val="0"/>
              <w:autoSpaceDN/>
              <w:bidi w:val="0"/>
              <w:adjustRightInd/>
              <w:snapToGrid/>
              <w:spacing w:line="560" w:lineRule="exact"/>
              <w:ind w:left="0" w:right="0" w:rightChars="0" w:firstLine="402" w:firstLineChars="200"/>
              <w:jc w:val="both"/>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val="0"/>
              <w:overflowPunct/>
              <w:topLinePunct w:val="0"/>
              <w:autoSpaceDN/>
              <w:bidi w:val="0"/>
              <w:adjustRightInd/>
              <w:snapToGrid/>
              <w:spacing w:line="560" w:lineRule="exact"/>
              <w:ind w:left="0" w:right="0" w:rightChars="0" w:firstLine="400" w:firstLineChars="200"/>
              <w:jc w:val="both"/>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keepNext w:val="0"/>
        <w:keepLines w:val="0"/>
        <w:pageBreakBefore w:val="0"/>
        <w:widowControl/>
        <w:kinsoku/>
        <w:overflowPunct/>
        <w:topLinePunct w:val="0"/>
        <w:autoSpaceDN/>
        <w:bidi w:val="0"/>
        <w:adjustRightInd/>
        <w:snapToGrid/>
        <w:spacing w:line="560" w:lineRule="exact"/>
        <w:ind w:left="0" w:right="0" w:rightChars="0" w:firstLine="420" w:firstLineChars="200"/>
        <w:jc w:val="both"/>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1829"/>
        <w:gridCol w:w="1391"/>
        <w:gridCol w:w="1367"/>
        <w:gridCol w:w="2115"/>
        <w:gridCol w:w="1431"/>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643" w:firstLineChars="200"/>
              <w:jc w:val="both"/>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高楠镇综合行政执法大队</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keepNext w:val="0"/>
              <w:keepLines w:val="0"/>
              <w:pageBreakBefore w:val="0"/>
              <w:widowControl/>
              <w:kinsoku/>
              <w:overflowPunct/>
              <w:topLinePunct w:val="0"/>
              <w:autoSpaceDN/>
              <w:bidi w:val="0"/>
              <w:adjustRightInd/>
              <w:snapToGrid/>
              <w:spacing w:line="560" w:lineRule="exact"/>
              <w:ind w:left="0" w:right="0" w:rightChars="0" w:firstLine="400" w:firstLineChars="200"/>
              <w:jc w:val="both"/>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2.40</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2.40</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1" w:firstLineChars="200"/>
              <w:jc w:val="both"/>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60" w:firstLineChars="200"/>
              <w:jc w:val="both"/>
              <w:textAlignment w:val="bottom"/>
              <w:rPr>
                <w:rFonts w:hint="default" w:ascii="Times New Roman" w:hAnsi="Times New Roman"/>
                <w:color w:val="000000"/>
                <w:sz w:val="18"/>
                <w:szCs w:val="18"/>
              </w:rPr>
            </w:pPr>
            <w:r>
              <w:rPr>
                <w:rFonts w:hint="default" w:ascii="Times New Roman" w:hAnsi="Times New Roman"/>
                <w:color w:val="000000"/>
                <w:sz w:val="18"/>
                <w:szCs w:val="18"/>
              </w:rPr>
              <w:t>2.40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560" w:lineRule="exact"/>
              <w:ind w:left="0" w:right="0" w:rightChars="0" w:firstLine="320" w:firstLineChars="200"/>
              <w:jc w:val="both"/>
              <w:rPr>
                <w:rFonts w:hint="default" w:cs="宋体"/>
                <w:color w:val="000000"/>
                <w:sz w:val="16"/>
                <w:szCs w:val="16"/>
              </w:rPr>
            </w:pPr>
          </w:p>
        </w:tc>
      </w:tr>
    </w:tbl>
    <w:p>
      <w:pPr>
        <w:keepNext w:val="0"/>
        <w:keepLines w:val="0"/>
        <w:pageBreakBefore w:val="0"/>
        <w:widowControl/>
        <w:kinsoku/>
        <w:overflowPunct/>
        <w:topLinePunct w:val="0"/>
        <w:autoSpaceDN/>
        <w:bidi w:val="0"/>
        <w:adjustRightInd/>
        <w:snapToGrid/>
        <w:spacing w:line="560" w:lineRule="exact"/>
        <w:ind w:left="0" w:right="0" w:rightChars="0" w:firstLine="360" w:firstLineChars="200"/>
        <w:jc w:val="both"/>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3" w:type="default"/>
      <w:footerReference r:id="rId4" w:type="default"/>
      <w:pgSz w:w="11850" w:h="16783"/>
      <w:pgMar w:top="2098" w:right="1474" w:bottom="1984" w:left="158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DF861F"/>
    <w:multiLevelType w:val="singleLevel"/>
    <w:tmpl w:val="E5DF861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1ODFiMzQwMzZiYWJiNWQ2NjZjMmNjOGZjMjEzZjA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1FC6B25"/>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9F3F4775"/>
    <w:rsid w:val="9FFF7F7D"/>
    <w:rsid w:val="F7BE5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autoRedefine/>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autoRedefine/>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2024-07-12T02:00:00Z</dcterms:created>
  <dc:creator>Administrator</dc:creator>
  <cp:lastModifiedBy>1+</cp:lastModifiedBy>
  <dcterms:modified xsi:type="dcterms:W3CDTF">2025-09-25T08:06:06Z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BB46EABDBB2749749395447164B066B3_12</vt:lpwstr>
  </property>
</Properties>
</file>