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880" w:firstLineChars="200"/>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重庆市城口县高楠镇劳动就业和社会保障服务所</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880" w:firstLineChars="200"/>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880" w:firstLineChars="200"/>
        <w:jc w:val="both"/>
        <w:textAlignment w:val="auto"/>
        <w:rPr>
          <w:rFonts w:hint="default" w:ascii="方正小标宋_GBK" w:hAnsi="方正小标宋_GBK" w:eastAsia="方正小标宋_GBK" w:cs="方正小标宋_GBK"/>
          <w:sz w:val="44"/>
          <w:szCs w:val="44"/>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一、</w:t>
      </w: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基本情况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sz w:val="32"/>
          <w:szCs w:val="32"/>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高楠镇劳动就业和社会保障服务所是左岚乡人民政府所属公益一类事业单位。其主要职能职责有：劳动就业和社会保障服务所主要负责公共服务事项和承接县级各部门下放给乡镇的各项行政审批职责；承担就业、再就业以及农村富余劳动力转移、劳动和社会保障等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default"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二、</w:t>
      </w: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决算</w:t>
      </w:r>
      <w:r>
        <w:rPr>
          <w:rStyle w:val="13"/>
          <w:rFonts w:hint="eastAsia" w:ascii="方正黑体_GBK" w:hAnsi="方正黑体_GBK" w:eastAsia="方正黑体_GBK" w:cs="方正黑体_GBK"/>
          <w:sz w:val="32"/>
          <w:szCs w:val="32"/>
          <w:shd w:val="clear" w:color="auto" w:fill="FFFFFF"/>
          <w:lang w:eastAsia="zh-CN"/>
        </w:rPr>
        <w:t>收支</w:t>
      </w:r>
      <w:r>
        <w:rPr>
          <w:rStyle w:val="13"/>
          <w:rFonts w:hint="eastAsia" w:ascii="方正黑体_GBK" w:hAnsi="方正黑体_GBK" w:eastAsia="方正黑体_GBK" w:cs="方正黑体_GBK"/>
          <w:sz w:val="32"/>
          <w:szCs w:val="32"/>
          <w:shd w:val="clear" w:color="auto" w:fill="FFFFFF"/>
        </w:rPr>
        <w:t>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年度收入总计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万元，支出总计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万元。收支较上年决算数增加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年劳动就业和社会保障服务所未单独进行财务核算及决算处理，纳入政府核算及决算。 </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（二）一般公共预算财政拨款支出决算情况说明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1.</w:t>
      </w:r>
      <w:r>
        <w:rPr>
          <w:rStyle w:val="13"/>
          <w:rFonts w:hint="eastAsia" w:ascii="方正仿宋_GBK" w:hAnsi="方正仿宋_GBK" w:eastAsia="方正仿宋_GBK" w:cs="方正仿宋_GBK"/>
          <w:i w:val="0"/>
          <w:iCs w:val="0"/>
          <w:caps w:val="0"/>
          <w:color w:val="333333"/>
          <w:spacing w:val="0"/>
          <w:sz w:val="32"/>
          <w:szCs w:val="32"/>
          <w:shd w:val="clear" w:fill="FFFFFF"/>
        </w:rPr>
        <w:t>收入情况。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年劳动就业和社会保障服务所未单独进行财务核算及决算处理，纳入政府核算及决算。较年初预算数增加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。主要原因是年中从政府（本级）调整预算到劳动就业和社会保障服务所。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2.</w:t>
      </w:r>
      <w:r>
        <w:rPr>
          <w:rStyle w:val="13"/>
          <w:rFonts w:hint="eastAsia" w:ascii="方正仿宋_GBK" w:hAnsi="方正仿宋_GBK" w:eastAsia="方正仿宋_GBK" w:cs="方正仿宋_GBK"/>
          <w:i w:val="0"/>
          <w:iCs w:val="0"/>
          <w:caps w:val="0"/>
          <w:color w:val="333333"/>
          <w:spacing w:val="0"/>
          <w:sz w:val="32"/>
          <w:szCs w:val="32"/>
          <w:shd w:val="clear" w:fill="FFFFFF"/>
        </w:rPr>
        <w:t>支出情况。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w:t>
      </w:r>
      <w:r>
        <w:rPr>
          <w:rFonts w:hint="eastAsia" w:ascii="Times New Roman" w:hAnsi="Times New Roman" w:eastAsia="方正仿宋_GBK" w:cs="Times New Roman"/>
          <w:i w:val="0"/>
          <w:iCs w:val="0"/>
          <w:caps w:val="0"/>
          <w:color w:val="333333"/>
          <w:spacing w:val="0"/>
          <w:sz w:val="31"/>
          <w:szCs w:val="31"/>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1"/>
          <w:szCs w:val="31"/>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年劳动就业和社会保障服务所未单独进行财务核算及决算处理，纳入政府核算及决算。较年初预算数增加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1"/>
          <w:szCs w:val="31"/>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。主要原因是年中从政府（本级）调整预算到劳动就业和社会保障服务所。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3.</w:t>
      </w:r>
      <w:r>
        <w:rPr>
          <w:rStyle w:val="13"/>
          <w:rFonts w:hint="eastAsia" w:ascii="方正仿宋_GBK" w:hAnsi="方正仿宋_GBK" w:eastAsia="方正仿宋_GBK" w:cs="方正仿宋_GBK"/>
          <w:i w:val="0"/>
          <w:iCs w:val="0"/>
          <w:caps w:val="0"/>
          <w:color w:val="333333"/>
          <w:spacing w:val="0"/>
          <w:sz w:val="32"/>
          <w:szCs w:val="32"/>
          <w:shd w:val="clear" w:fill="FFFFFF"/>
        </w:rPr>
        <w:t>结转结余情况。</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年年末结余结转情况：年末一般公共预算资金结余结转为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万元，政府性基金结余结转为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4.</w:t>
      </w:r>
      <w:r>
        <w:rPr>
          <w:rStyle w:val="13"/>
          <w:rFonts w:hint="eastAsia" w:ascii="方正仿宋_GBK" w:hAnsi="方正仿宋_GBK" w:eastAsia="方正仿宋_GBK" w:cs="方正仿宋_GBK"/>
          <w:i w:val="0"/>
          <w:iCs w:val="0"/>
          <w:caps w:val="0"/>
          <w:color w:val="333333"/>
          <w:spacing w:val="0"/>
          <w:sz w:val="32"/>
          <w:szCs w:val="32"/>
          <w:shd w:val="clear" w:fill="FFFFFF"/>
        </w:rPr>
        <w:t>比较情况。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年度财政拨款支出主要用于以下几个方面：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）社会保障与就业支出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23.71</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93.08</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23.71</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，主要原因是年中从政府（本级）调整预算到劳动就业和社会保障服务所。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）卫生健康支出</w:t>
      </w:r>
      <w:r>
        <w:rPr>
          <w:rFonts w:hint="default" w:ascii="Times New Roman" w:hAnsi="Times New Roman" w:eastAsia="方正仿宋_GBK" w:cs="Times New Roman"/>
          <w:i w:val="0"/>
          <w:iCs w:val="0"/>
          <w:caps w:val="0"/>
          <w:color w:val="333333"/>
          <w:spacing w:val="0"/>
          <w:sz w:val="32"/>
          <w:szCs w:val="32"/>
          <w:shd w:val="clear" w:fill="FFFFFF"/>
        </w:rPr>
        <w:t>0.6</w:t>
      </w:r>
      <w:r>
        <w:rPr>
          <w:rFonts w:hint="eastAsia" w:ascii="Times New Roman" w:hAnsi="Times New Roman" w:eastAsia="方正仿宋_GBK" w:cs="Times New Roman"/>
          <w:i w:val="0"/>
          <w:iCs w:val="0"/>
          <w:caps w:val="0"/>
          <w:color w:val="333333"/>
          <w:spacing w:val="0"/>
          <w:sz w:val="32"/>
          <w:szCs w:val="32"/>
          <w:shd w:val="clear" w:fill="FFFFFF"/>
          <w:lang w:val="en-US" w:eastAsia="zh-CN"/>
        </w:rPr>
        <w:t>8</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2.66</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default" w:ascii="Times New Roman" w:hAnsi="Times New Roman" w:eastAsia="方正仿宋_GBK" w:cs="Times New Roman"/>
          <w:i w:val="0"/>
          <w:iCs w:val="0"/>
          <w:caps w:val="0"/>
          <w:color w:val="333333"/>
          <w:spacing w:val="0"/>
          <w:sz w:val="32"/>
          <w:szCs w:val="32"/>
          <w:shd w:val="clear" w:fill="FFFFFF"/>
        </w:rPr>
        <w:t>0.6</w:t>
      </w:r>
      <w:r>
        <w:rPr>
          <w:rFonts w:hint="eastAsia" w:ascii="Times New Roman" w:hAnsi="Times New Roman" w:eastAsia="方正仿宋_GBK" w:cs="Times New Roman"/>
          <w:i w:val="0"/>
          <w:iCs w:val="0"/>
          <w:caps w:val="0"/>
          <w:color w:val="333333"/>
          <w:spacing w:val="0"/>
          <w:sz w:val="32"/>
          <w:szCs w:val="32"/>
          <w:shd w:val="clear" w:fill="FFFFFF"/>
          <w:lang w:val="en-US" w:eastAsia="zh-CN"/>
        </w:rPr>
        <w:t>8</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。主要原因是年中从政府（本级）调整预算到劳动就业和社会保障服务所。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）住房保障支出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93</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3.65</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93</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万元，主要原因是年中从政府（本级）调整预算到劳动就业和社会保障服务所。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（三）财政拨款收入支出决算总体情况说明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收入预算：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万元，收入较去年增加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年劳动就业和社会保障服务所未单独进行财务核算及决算处理，纳入政府核算及决算。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支出预算：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万元，支出较去年增加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年劳动就业和社会保障服务所未单独进行财务核算及决算处理，纳入政府核算及决算。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（四）一般公共预算财政拨款基本支出决算情况说明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 2024</w:t>
      </w:r>
      <w:r>
        <w:rPr>
          <w:rFonts w:hint="eastAsia" w:ascii="方正仿宋_GBK" w:hAnsi="方正仿宋_GBK" w:eastAsia="方正仿宋_GBK" w:cs="方正仿宋_GBK"/>
          <w:i w:val="0"/>
          <w:iCs w:val="0"/>
          <w:caps w:val="0"/>
          <w:color w:val="333333"/>
          <w:spacing w:val="0"/>
          <w:sz w:val="32"/>
          <w:szCs w:val="32"/>
          <w:shd w:val="clear" w:fill="FFFFFF"/>
        </w:rPr>
        <w:t>年度一般公共财政拨款基本支出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25.47</w:t>
      </w:r>
      <w:r>
        <w:rPr>
          <w:rFonts w:hint="eastAsia" w:ascii="方正仿宋_GBK" w:hAnsi="方正仿宋_GBK" w:eastAsia="方正仿宋_GBK" w:cs="方正仿宋_GBK"/>
          <w:i w:val="0"/>
          <w:iCs w:val="0"/>
          <w:caps w:val="0"/>
          <w:color w:val="333333"/>
          <w:spacing w:val="0"/>
          <w:sz w:val="32"/>
          <w:szCs w:val="32"/>
          <w:shd w:val="clear" w:fill="FFFFFF"/>
        </w:rPr>
        <w:t>万元。其中：人员经费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25.32</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25.32</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年劳动就业和社会保障服务所未单独进行财务核算及决算处理，纳入政府核算及决算。人员经费用途主要包括基本工资、津贴补贴、奖金、伙食补助费、绩效工资、社会保障缴费及住房公积金等。公用经费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.15</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.15</w:t>
      </w:r>
      <w:r>
        <w:rPr>
          <w:rFonts w:hint="eastAsia" w:ascii="方正仿宋_GBK" w:hAnsi="方正仿宋_GBK" w:eastAsia="方正仿宋_GBK" w:cs="方正仿宋_GBK"/>
          <w:i w:val="0"/>
          <w:iCs w:val="0"/>
          <w:caps w:val="0"/>
          <w:color w:val="333333"/>
          <w:spacing w:val="0"/>
          <w:sz w:val="32"/>
          <w:szCs w:val="32"/>
          <w:shd w:val="clear" w:fill="FFFFFF"/>
        </w:rPr>
        <w:t>万元，</w:t>
      </w:r>
      <w:r>
        <w:rPr>
          <w:rFonts w:hint="eastAsia" w:ascii="Times New Roman" w:hAnsi="Times New Roman" w:eastAsia="方正仿宋_GBK" w:cs="Times New Roman"/>
          <w:i w:val="0"/>
          <w:iCs w:val="0"/>
          <w:caps w:val="0"/>
          <w:color w:val="333333"/>
          <w:spacing w:val="0"/>
          <w:sz w:val="32"/>
          <w:szCs w:val="32"/>
          <w:shd w:val="clear" w:fill="FFFFFF"/>
        </w:rPr>
        <w:t>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Times New Roman" w:hAnsi="Times New Roman" w:eastAsia="方正仿宋_GBK" w:cs="Times New Roman"/>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Times New Roman" w:hAnsi="Times New Roman" w:eastAsia="方正仿宋_GBK" w:cs="Times New Roman"/>
          <w:i w:val="0"/>
          <w:iCs w:val="0"/>
          <w:caps w:val="0"/>
          <w:color w:val="333333"/>
          <w:spacing w:val="0"/>
          <w:sz w:val="32"/>
          <w:szCs w:val="32"/>
          <w:shd w:val="clear" w:fill="FFFFFF"/>
        </w:rPr>
        <w:t>年</w:t>
      </w:r>
      <w:r>
        <w:rPr>
          <w:rFonts w:hint="eastAsia" w:ascii="Times New Roman" w:hAnsi="Times New Roman" w:eastAsia="方正仿宋_GBK" w:cs="Times New Roman"/>
          <w:i w:val="0"/>
          <w:iCs w:val="0"/>
          <w:caps w:val="0"/>
          <w:color w:val="333333"/>
          <w:spacing w:val="0"/>
          <w:sz w:val="32"/>
          <w:szCs w:val="32"/>
          <w:shd w:val="clear" w:fill="FFFFFF"/>
          <w:lang w:eastAsia="zh-CN"/>
        </w:rPr>
        <w:t>劳动就业</w:t>
      </w:r>
      <w:r>
        <w:rPr>
          <w:rFonts w:hint="eastAsia" w:ascii="Times New Roman" w:hAnsi="Times New Roman" w:eastAsia="方正仿宋_GBK" w:cs="Times New Roman"/>
          <w:i w:val="0"/>
          <w:iCs w:val="0"/>
          <w:caps w:val="0"/>
          <w:color w:val="333333"/>
          <w:spacing w:val="0"/>
          <w:sz w:val="32"/>
          <w:szCs w:val="32"/>
          <w:shd w:val="clear" w:fill="FFFFFF"/>
        </w:rPr>
        <w:t>服务中心未单独进行财务核算及决算处理，纳入政府核算及决算。公用经费用途主要包括办公费、差旅费、劳务费、公务接待费及公务用车运行维护费等。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（五）政府性基金预算收支决算情况说明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年度无政府性基金预算财政拨款收支。</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三、</w:t>
      </w:r>
      <w:r>
        <w:rPr>
          <w:rStyle w:val="13"/>
          <w:rFonts w:hint="eastAsia" w:ascii="方正黑体_GBK" w:hAnsi="方正黑体_GBK" w:eastAsia="方正黑体_GBK" w:cs="方正黑体_GBK"/>
          <w:sz w:val="32"/>
          <w:szCs w:val="32"/>
          <w:shd w:val="clear" w:color="auto" w:fill="FFFFFF"/>
          <w:lang w:eastAsia="zh-CN"/>
        </w:rPr>
        <w:t>财政拨款</w:t>
      </w:r>
      <w:r>
        <w:rPr>
          <w:rStyle w:val="13"/>
          <w:rFonts w:hint="eastAsia" w:ascii="方正黑体_GBK" w:hAnsi="方正黑体_GBK" w:eastAsia="方正黑体_GBK" w:cs="方正黑体_GBK"/>
          <w:sz w:val="32"/>
          <w:szCs w:val="32"/>
          <w:shd w:val="clear" w:color="auto" w:fill="FFFFFF"/>
        </w:rPr>
        <w:t>“三公”经费情况说明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（一）“三公”经费支出总体情况说明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年度本单位“三公”经费支出共计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万元，主要原因是年中从政府（本级）调整预算到下属事业单位，未将“三公”经费支出调整至劳动就业和社会保障服务所。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（二）“三公”经费分项支出情况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年度本单位因公出国（境）费用</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万元，主要原因是上年、本年均未安排单位人员出国出访。</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公务车购置费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万元，主要原因是本年度未进行公务车购置。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公务车运行维护费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县内因公出行、安全生产监管、乡村振兴、巩固脱贫攻坚成果等工作所需车辆的燃料费、维修费、保险费等。费用支出较年初预算数无增减，较上年支出数无增减。主要原因是公务车运行维护费统一在政府（本级）列支，下属事业单位未单独列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方正仿宋_GBK" w:cs="宋体"/>
          <w:i w:val="0"/>
          <w:iCs w:val="0"/>
          <w:caps w:val="0"/>
          <w:color w:val="333333"/>
          <w:spacing w:val="0"/>
          <w:sz w:val="32"/>
          <w:szCs w:val="32"/>
          <w:lang w:eastAsia="zh-CN"/>
        </w:rPr>
      </w:pPr>
      <w:r>
        <w:rPr>
          <w:rFonts w:hint="eastAsia" w:ascii="方正仿宋_GBK" w:hAnsi="方正仿宋_GBK" w:eastAsia="方正仿宋_GBK" w:cs="方正仿宋_GBK"/>
          <w:i w:val="0"/>
          <w:iCs w:val="0"/>
          <w:caps w:val="0"/>
          <w:color w:val="333333"/>
          <w:spacing w:val="0"/>
          <w:sz w:val="32"/>
          <w:szCs w:val="32"/>
          <w:shd w:val="clear" w:fill="FFFFFF"/>
        </w:rPr>
        <w:t>公务接待费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万元，主要用于接待相关部门检查指导工作发生的接待支出；费用支出与年初预算数持平。主要原因是年中从政府（本级）调整预算到下属事业单位，未将“三公”经费支出调整至劳动就业和社会保障服务所</w:t>
      </w:r>
      <w:r>
        <w:rPr>
          <w:rFonts w:hint="eastAsia" w:ascii="方正仿宋_GBK" w:hAnsi="方正仿宋_GBK" w:eastAsia="方正仿宋_GBK" w:cs="方正仿宋_GBK"/>
          <w:i w:val="0"/>
          <w:iCs w:val="0"/>
          <w:caps w:val="0"/>
          <w:color w:val="333333"/>
          <w:spacing w:val="0"/>
          <w:sz w:val="32"/>
          <w:szCs w:val="32"/>
          <w:shd w:val="clear" w:fill="FFFFFF"/>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（三）“三公”经费实物量情况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年度本单位无因公出国（境）支出；公务用车购置</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辆，公务车保有量为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辆；国内公务接待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人，其中：国内外事接待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人；国（境）外公务接待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年本单位人均接待费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元，车均购置费</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万元，车均维护费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四、其他需要说明的事项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（一）机关运行经费情况说明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32"/>
          <w:szCs w:val="32"/>
          <w:shd w:val="clear" w:fill="FFFFFF"/>
        </w:rPr>
        <w:t>按照部门决算列报口径，我单位不在机关运行经费统计范围之内。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此外，本年度会议费支出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年度未单独安排会议费。本年度培训费支出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万元，较上年决算数无变化，主要原因是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（二）国有资产占用情况说明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截至</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12</w:t>
      </w:r>
      <w:r>
        <w:rPr>
          <w:rFonts w:hint="eastAsia" w:ascii="方正仿宋_GBK" w:hAnsi="方正仿宋_GBK" w:eastAsia="方正仿宋_GBK" w:cs="方正仿宋_GBK"/>
          <w:i w:val="0"/>
          <w:iCs w:val="0"/>
          <w:caps w:val="0"/>
          <w:color w:val="333333"/>
          <w:spacing w:val="0"/>
          <w:sz w:val="32"/>
          <w:szCs w:val="32"/>
          <w:shd w:val="clear" w:fill="FFFFFF"/>
        </w:rPr>
        <w:t>月</w:t>
      </w:r>
      <w:r>
        <w:rPr>
          <w:rFonts w:hint="default" w:ascii="Times New Roman" w:hAnsi="Times New Roman" w:eastAsia="方正仿宋_GBK" w:cs="Times New Roman"/>
          <w:i w:val="0"/>
          <w:iCs w:val="0"/>
          <w:caps w:val="0"/>
          <w:color w:val="333333"/>
          <w:spacing w:val="0"/>
          <w:sz w:val="32"/>
          <w:szCs w:val="32"/>
          <w:shd w:val="clear" w:fill="FFFFFF"/>
        </w:rPr>
        <w:t>31</w:t>
      </w:r>
      <w:r>
        <w:rPr>
          <w:rFonts w:hint="eastAsia" w:ascii="方正仿宋_GBK" w:hAnsi="方正仿宋_GBK" w:eastAsia="方正仿宋_GBK" w:cs="方正仿宋_GBK"/>
          <w:i w:val="0"/>
          <w:iCs w:val="0"/>
          <w:caps w:val="0"/>
          <w:color w:val="333333"/>
          <w:spacing w:val="0"/>
          <w:sz w:val="32"/>
          <w:szCs w:val="32"/>
          <w:shd w:val="clear" w:fill="FFFFFF"/>
        </w:rPr>
        <w:t>日，本单位共有车辆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辆，其中，副部（省）级及以上领导用车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辆、主要负责人用车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辆、机要通信用车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辆、应急保障用车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辆、执法执勤用车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辆，特种专业技术用车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辆，离退休干部用车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辆。单价</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万元（含）以上专用设备</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台（套）。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（三）政府采购支出情况说明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年度本单位政府采购支出总额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万元，其中：政府采购货物支出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万元、政府采购工程支出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万元、政府采购服务支出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万元。 </w:t>
      </w:r>
      <w:r>
        <w:rPr>
          <w:rFonts w:hint="eastAsia" w:ascii="方正仿宋_GBK" w:hAnsi="方正仿宋_GBK" w:eastAsia="方正仿宋_GBK" w:cs="方正仿宋_GBK"/>
          <w:i w:val="0"/>
          <w:iCs w:val="0"/>
          <w:caps w:val="0"/>
          <w:color w:val="333333"/>
          <w:spacing w:val="0"/>
          <w:sz w:val="31"/>
          <w:szCs w:val="31"/>
          <w:shd w:val="clear" w:fill="FFFFFF"/>
        </w:rPr>
        <w:t> </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五、2024年度预算绩效管理情况说明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根据预算绩效管理要求，政府（本级）对部门整体</w:t>
      </w:r>
      <w:r>
        <w:rPr>
          <w:rFonts w:hint="eastAsia" w:ascii="方正仿宋_GBK" w:hAnsi="方正仿宋_GBK" w:eastAsia="方正仿宋_GBK" w:cs="方正仿宋_GBK"/>
          <w:i w:val="0"/>
          <w:iCs w:val="0"/>
          <w:caps w:val="0"/>
          <w:color w:val="auto"/>
          <w:spacing w:val="0"/>
          <w:sz w:val="32"/>
          <w:szCs w:val="32"/>
          <w:shd w:val="clear" w:fill="FFFFFF"/>
        </w:rPr>
        <w:t>和</w:t>
      </w:r>
      <w:r>
        <w:rPr>
          <w:rFonts w:hint="eastAsia" w:ascii="Times New Roman" w:hAnsi="Times New Roman" w:eastAsia="方正仿宋_GBK" w:cs="Times New Roman"/>
          <w:i w:val="0"/>
          <w:iCs w:val="0"/>
          <w:caps w:val="0"/>
          <w:color w:val="auto"/>
          <w:spacing w:val="0"/>
          <w:sz w:val="32"/>
          <w:szCs w:val="32"/>
          <w:shd w:val="clear" w:fill="FFFFFF"/>
          <w:lang w:val="en-US" w:eastAsia="zh-CN"/>
        </w:rPr>
        <w:t>59</w:t>
      </w:r>
      <w:r>
        <w:rPr>
          <w:rFonts w:hint="eastAsia" w:ascii="方正仿宋_GBK" w:hAnsi="方正仿宋_GBK" w:eastAsia="方正仿宋_GBK" w:cs="方正仿宋_GBK"/>
          <w:i w:val="0"/>
          <w:iCs w:val="0"/>
          <w:caps w:val="0"/>
          <w:color w:val="333333"/>
          <w:spacing w:val="0"/>
          <w:sz w:val="32"/>
          <w:szCs w:val="32"/>
          <w:shd w:val="clear" w:fill="FFFFFF"/>
        </w:rPr>
        <w:t>个项目开展了绩效自评，故本站所</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w:t>
      </w: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color w:val="auto"/>
          <w:kern w:val="0"/>
          <w:sz w:val="32"/>
          <w:szCs w:val="32"/>
          <w:lang w:val="en-US" w:eastAsia="zh-CN"/>
        </w:rPr>
      </w:pPr>
      <w:bookmarkStart w:id="0" w:name="_GoBack"/>
      <w:bookmarkEnd w:id="0"/>
      <w:r>
        <w:rPr>
          <w:rFonts w:hint="eastAsia" w:ascii="方正仿宋_GBK" w:hAnsi="方正仿宋_GBK" w:eastAsia="方正仿宋_GBK" w:cs="方正仿宋_GBK"/>
          <w:color w:val="auto"/>
          <w:kern w:val="0"/>
          <w:sz w:val="32"/>
          <w:szCs w:val="32"/>
          <w:shd w:val="clear" w:fill="FFFFFF"/>
          <w:lang w:val="en-US" w:eastAsia="zh-CN"/>
        </w:rPr>
        <w:t>高楠镇人民政府</w:t>
      </w:r>
      <w:r>
        <w:rPr>
          <w:rFonts w:hint="eastAsia" w:ascii="方正仿宋_GBK" w:hAnsi="方正仿宋_GBK" w:eastAsia="方正仿宋_GBK" w:cs="方正仿宋_GBK"/>
          <w:color w:val="auto"/>
          <w:kern w:val="0"/>
          <w:sz w:val="32"/>
          <w:szCs w:val="32"/>
          <w:shd w:val="clear" w:fill="FFFFFF"/>
        </w:rPr>
        <w:t xml:space="preserve">   023-</w:t>
      </w:r>
      <w:r>
        <w:rPr>
          <w:rFonts w:hint="eastAsia" w:ascii="方正仿宋_GBK" w:hAnsi="方正仿宋_GBK" w:eastAsia="方正仿宋_GBK" w:cs="方正仿宋_GBK"/>
          <w:color w:val="auto"/>
          <w:kern w:val="0"/>
          <w:sz w:val="32"/>
          <w:szCs w:val="32"/>
          <w:shd w:val="clear" w:fill="FFFFFF"/>
          <w:lang w:val="en-US" w:eastAsia="zh-CN"/>
        </w:rPr>
        <w:t>59500000</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3326"/>
        <w:gridCol w:w="996"/>
        <w:gridCol w:w="3146"/>
        <w:gridCol w:w="135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ascii="Arial" w:hAnsi="Arial" w:cs="Arial"/>
                <w:color w:val="000000"/>
                <w:sz w:val="22"/>
                <w:szCs w:val="22"/>
              </w:rPr>
            </w:pPr>
            <w:r>
              <w:rPr>
                <w:rFonts w:cs="宋体"/>
                <w:sz w:val="20"/>
                <w:szCs w:val="20"/>
              </w:rPr>
              <w:t>单位：</w:t>
            </w:r>
            <w:r>
              <w:rPr>
                <w:sz w:val="20"/>
                <w:u w:color="auto"/>
              </w:rPr>
              <w:t>高楠镇劳动就业和社会保障服务所</w:t>
            </w: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40" w:firstLineChars="200"/>
              <w:jc w:val="both"/>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25.47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23.71</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25.47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25.47</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25.47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25.47</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823"/>
        <w:gridCol w:w="1680"/>
        <w:gridCol w:w="911"/>
        <w:gridCol w:w="835"/>
        <w:gridCol w:w="723"/>
        <w:gridCol w:w="828"/>
        <w:gridCol w:w="840"/>
        <w:gridCol w:w="746"/>
        <w:gridCol w:w="777"/>
        <w:gridCol w:w="761"/>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sz w:val="20"/>
                <w:u w:color="auto"/>
              </w:rPr>
              <w:t>高楠镇劳动就业和社会保障服务所</w:t>
            </w: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25.47</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25.47</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23.71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23.71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人力资源和社会保障管理事务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21.85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21.85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2080109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社会保险经办机构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21.85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21.85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744"/>
        <w:gridCol w:w="2073"/>
        <w:gridCol w:w="1059"/>
        <w:gridCol w:w="1016"/>
        <w:gridCol w:w="935"/>
        <w:gridCol w:w="896"/>
        <w:gridCol w:w="974"/>
        <w:gridCol w:w="1122"/>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高楠镇劳动就业和社会保障服务所 </w:t>
            </w: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25.47</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25.47</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23.71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23.71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人力资源和社会保障管理事务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21.85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21.85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2080109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社会保险经办机构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21.85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21.85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386"/>
        <w:gridCol w:w="723"/>
        <w:gridCol w:w="2528"/>
        <w:gridCol w:w="723"/>
        <w:gridCol w:w="723"/>
        <w:gridCol w:w="547"/>
        <w:gridCol w:w="118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高楠镇劳动就业和社会保障服务所</w:t>
            </w: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25.47</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23.71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23.71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0.68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0.68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0.93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0.93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25.47</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25.47</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51"/>
        <w:gridCol w:w="2345"/>
        <w:gridCol w:w="1903"/>
        <w:gridCol w:w="1898"/>
        <w:gridCol w:w="1923"/>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高楠镇劳动就业和社会保障服务所</w:t>
            </w: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23.71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23.71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人力资源和社会保障管理事务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21.85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21.85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2080109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社会保险经办机构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21.85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21.85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1.86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1.86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1.24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1.24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0.62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0.62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0.68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0.66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0.66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0.93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0.93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0.93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462"/>
        <w:gridCol w:w="1617"/>
        <w:gridCol w:w="887"/>
        <w:gridCol w:w="502"/>
        <w:gridCol w:w="1170"/>
        <w:gridCol w:w="816"/>
        <w:gridCol w:w="502"/>
        <w:gridCol w:w="1993"/>
        <w:gridCol w:w="85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高楠镇劳动就业和社会保障服务所</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7.79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2.36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1.24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0.62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0.66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0.02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0.93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hint="default" w:ascii="Times New Roman" w:hAnsi="Times New Roman"/>
                <w:color w:val="000000"/>
                <w:sz w:val="18"/>
                <w:szCs w:val="18"/>
              </w:rPr>
              <w:t>25.32</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60"/>
        <w:gridCol w:w="2069"/>
        <w:gridCol w:w="979"/>
        <w:gridCol w:w="979"/>
        <w:gridCol w:w="979"/>
        <w:gridCol w:w="979"/>
        <w:gridCol w:w="1016"/>
        <w:gridCol w:w="105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高楠镇劳动就业和社会保障服务所</w:t>
            </w: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44"/>
        <w:gridCol w:w="2081"/>
        <w:gridCol w:w="1884"/>
        <w:gridCol w:w="109"/>
        <w:gridCol w:w="1993"/>
        <w:gridCol w:w="49"/>
        <w:gridCol w:w="1958"/>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高楠镇劳动就业和社会保障服务所</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1829"/>
        <w:gridCol w:w="1390"/>
        <w:gridCol w:w="1367"/>
        <w:gridCol w:w="2115"/>
        <w:gridCol w:w="1431"/>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高楠镇劳动就业和社会保障服务所</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r>
    </w:tbl>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3" w:type="default"/>
      <w:footerReference r:id="rId4" w:type="default"/>
      <w:pgSz w:w="11850" w:h="16783"/>
      <w:pgMar w:top="2098" w:right="1474" w:bottom="1984" w:left="158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1ODFiMzQwMzZiYWJiNWQ2NjZjMmNjOGZjMjEzZjA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D770D39"/>
    <w:rsid w:val="2DDF7B04"/>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5B76AA"/>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0F80FE1"/>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FFBF3A57"/>
    <w:rsid w:val="FFD18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0</TotalTime>
  <ScaleCrop>false</ScaleCrop>
  <LinksUpToDate>false</LinksUpToDate>
  <CharactersWithSpaces>26313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2024-07-12T10:00:00Z</dcterms:created>
  <dc:creator>Administrator</dc:creator>
  <cp:lastModifiedBy>1+</cp:lastModifiedBy>
  <dcterms:modified xsi:type="dcterms:W3CDTF">2025-09-25T08:04:31Z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BB46EABDBB2749749395447164B066B3_12</vt:lpwstr>
  </property>
</Properties>
</file>