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重庆市城口县高楠镇文化服务中心</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both"/>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一、</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基本情况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sz w:val="32"/>
          <w:szCs w:val="32"/>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高楠镇文化服务中心是高楠镇人民政府所属公益一类事业单位。其主要职能职责有：文化服务中心主要承担文化、旅游、宣传、广播电视、体育等工作。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二、部门决算收支情况说明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年度收入总计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万元，支出总计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万元。收支较上年决算数增加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年文化服务中心未单独进行财务核算及决算处理，纳入政府核算及决算。 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（二）一般公共预算财政拨款支出决算情况说明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1.</w:t>
      </w:r>
      <w:r>
        <w:rPr>
          <w:rStyle w:val="13"/>
          <w:rFonts w:hint="eastAsia" w:ascii="方正仿宋_GBK" w:hAnsi="方正仿宋_GBK" w:eastAsia="方正仿宋_GBK" w:cs="方正仿宋_GBK"/>
          <w:i w:val="0"/>
          <w:iCs w:val="0"/>
          <w:caps w:val="0"/>
          <w:color w:val="333333"/>
          <w:spacing w:val="0"/>
          <w:sz w:val="32"/>
          <w:szCs w:val="32"/>
          <w:shd w:val="clear" w:fill="FFFFFF"/>
        </w:rPr>
        <w:t>收入情况。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年文化服务中心未单独进行财务核算及决算处理，纳入政府核算及决算。较年初预算数增加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。主要原因是年中从政府（本级）调整预算到文化服务中心。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2.</w:t>
      </w:r>
      <w:r>
        <w:rPr>
          <w:rStyle w:val="13"/>
          <w:rFonts w:hint="eastAsia" w:ascii="方正仿宋_GBK" w:hAnsi="方正仿宋_GBK" w:eastAsia="方正仿宋_GBK" w:cs="方正仿宋_GBK"/>
          <w:i w:val="0"/>
          <w:iCs w:val="0"/>
          <w:caps w:val="0"/>
          <w:color w:val="333333"/>
          <w:spacing w:val="0"/>
          <w:sz w:val="32"/>
          <w:szCs w:val="32"/>
          <w:shd w:val="clear" w:fill="FFFFFF"/>
        </w:rPr>
        <w:t>支出情况。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28.26</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年文化服务中心未单独进行财务核算及决算处理，纳入政府核算及决算。较年初预算数增加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。主要原因是年中从政府（本级）调整预算到文化服务中心。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3.</w:t>
      </w:r>
      <w:r>
        <w:rPr>
          <w:rStyle w:val="13"/>
          <w:rFonts w:hint="eastAsia" w:ascii="方正仿宋_GBK" w:hAnsi="方正仿宋_GBK" w:eastAsia="方正仿宋_GBK" w:cs="方正仿宋_GBK"/>
          <w:i w:val="0"/>
          <w:iCs w:val="0"/>
          <w:caps w:val="0"/>
          <w:color w:val="333333"/>
          <w:spacing w:val="0"/>
          <w:sz w:val="32"/>
          <w:szCs w:val="32"/>
          <w:shd w:val="clear" w:fill="FFFFFF"/>
        </w:rPr>
        <w:t>结转结余情况。</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年年末结余结转情况：年末一般公共预算资金结余结转为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万元，政府性基金结余结转为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4.</w:t>
      </w:r>
      <w:r>
        <w:rPr>
          <w:rStyle w:val="13"/>
          <w:rFonts w:hint="eastAsia" w:ascii="方正仿宋_GBK" w:hAnsi="方正仿宋_GBK" w:eastAsia="方正仿宋_GBK" w:cs="方正仿宋_GBK"/>
          <w:i w:val="0"/>
          <w:iCs w:val="0"/>
          <w:caps w:val="0"/>
          <w:color w:val="333333"/>
          <w:spacing w:val="0"/>
          <w:sz w:val="32"/>
          <w:szCs w:val="32"/>
          <w:shd w:val="clear" w:fill="FFFFFF"/>
        </w:rPr>
        <w:t>比较情况。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年度财政拨款支出主要用于以下几个方面：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）文化旅游体育与传媒支出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21.98</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77.77</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21.98</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，主要原因是年中从政府（本级）调整预算到文化服务中心。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）社会保障与就业支出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3.28</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11.60</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default" w:ascii="Times New Roman" w:hAnsi="Times New Roman" w:eastAsia="方正仿宋_GBK" w:cs="Times New Roman"/>
          <w:i w:val="0"/>
          <w:iCs w:val="0"/>
          <w:caps w:val="0"/>
          <w:color w:val="333333"/>
          <w:spacing w:val="0"/>
          <w:sz w:val="32"/>
          <w:szCs w:val="32"/>
          <w:shd w:val="clear" w:fill="FFFFFF"/>
          <w:lang w:val="en-US" w:eastAsia="zh-CN"/>
        </w:rPr>
        <w:t>3.28</w:t>
      </w:r>
      <w:r>
        <w:rPr>
          <w:rFonts w:hint="default" w:ascii="Times New Roman" w:hAnsi="Times New Roman" w:eastAsia="方正仿宋_GBK" w:cs="Times New Roman"/>
          <w:i w:val="0"/>
          <w:iCs w:val="0"/>
          <w:caps w:val="0"/>
          <w:color w:val="333333"/>
          <w:spacing w:val="0"/>
          <w:sz w:val="32"/>
          <w:szCs w:val="32"/>
          <w:shd w:val="clear" w:fill="FFFFFF"/>
        </w:rPr>
        <w:t>万元，增加100%，主要原因是年中从政府（本级）调整预算</w:t>
      </w:r>
      <w:r>
        <w:rPr>
          <w:rFonts w:hint="eastAsia" w:ascii="方正仿宋_GBK" w:hAnsi="方正仿宋_GBK" w:eastAsia="方正仿宋_GBK" w:cs="方正仿宋_GBK"/>
          <w:i w:val="0"/>
          <w:iCs w:val="0"/>
          <w:caps w:val="0"/>
          <w:color w:val="333333"/>
          <w:spacing w:val="0"/>
          <w:sz w:val="32"/>
          <w:szCs w:val="32"/>
          <w:shd w:val="clear" w:fill="FFFFFF"/>
        </w:rPr>
        <w:t>到文化服务中心。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1.2</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4.24</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1.2</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。主要原因是年中从政府（本级）调整预算到文化服务中心。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方正仿宋_GBK" w:hAnsi="方正仿宋_GBK" w:eastAsia="方正仿宋_GBK" w:cs="方正仿宋_GBK"/>
          <w:i w:val="0"/>
          <w:iCs w:val="0"/>
          <w:caps w:val="0"/>
          <w:color w:val="333333"/>
          <w:spacing w:val="0"/>
          <w:sz w:val="32"/>
          <w:szCs w:val="32"/>
          <w:shd w:val="clear" w:fill="FFFFFF"/>
        </w:rPr>
        <w:t>）住房保障支出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1.64</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5.80</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1.64</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万元，主要原因是年中从政府（本级）调整预算到文化服务中心。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（三）财政拨款收入支出决算总体情况说明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收入预算：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万元，收入较去年增加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年文化服务中心未单独进行财务核算及决算处理，纳入政府核算及决算。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支出预算：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万元，支出较去年增加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年文化服务中心未单独进行财务核算及决算处理，纳入政府核算及决算。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（四）一般公共预算财政拨款基本支出决算情况说明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 2024</w:t>
      </w:r>
      <w:r>
        <w:rPr>
          <w:rFonts w:hint="eastAsia" w:ascii="方正仿宋_GBK" w:hAnsi="方正仿宋_GBK" w:eastAsia="方正仿宋_GBK" w:cs="方正仿宋_GBK"/>
          <w:i w:val="0"/>
          <w:iCs w:val="0"/>
          <w:caps w:val="0"/>
          <w:color w:val="333333"/>
          <w:spacing w:val="0"/>
          <w:sz w:val="32"/>
          <w:szCs w:val="32"/>
          <w:shd w:val="clear" w:fill="FFFFFF"/>
        </w:rPr>
        <w:t>年度一般公共财政拨款基本支出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28.2</w:t>
      </w:r>
      <w:r>
        <w:rPr>
          <w:rFonts w:hint="default" w:ascii="Times New Roman" w:hAnsi="Times New Roman" w:eastAsia="方正仿宋_GBK" w:cs="Times New Roman"/>
          <w:i w:val="0"/>
          <w:iCs w:val="0"/>
          <w:caps w:val="0"/>
          <w:color w:val="333333"/>
          <w:spacing w:val="0"/>
          <w:sz w:val="32"/>
          <w:szCs w:val="32"/>
          <w:shd w:val="clear" w:fill="FFFFFF"/>
        </w:rPr>
        <w:t>6</w:t>
      </w:r>
      <w:r>
        <w:rPr>
          <w:rFonts w:hint="eastAsia" w:ascii="方正仿宋_GBK" w:hAnsi="方正仿宋_GBK" w:eastAsia="方正仿宋_GBK" w:cs="方正仿宋_GBK"/>
          <w:i w:val="0"/>
          <w:iCs w:val="0"/>
          <w:caps w:val="0"/>
          <w:color w:val="333333"/>
          <w:spacing w:val="0"/>
          <w:sz w:val="32"/>
          <w:szCs w:val="32"/>
          <w:shd w:val="clear" w:fill="FFFFFF"/>
        </w:rPr>
        <w:t>万元。其中：人员经费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28.11</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28.11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年文化服务中心未单独进行财务核算及决算处理，纳入政府核算及决算。人员经费用途主要包括基本工资、津贴补贴、奖金、伙食补助费、绩效工资、社会保障缴费及住房公积金等。公用经费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.15</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.15</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lang w:eastAsia="zh-CN"/>
        </w:rPr>
        <w:t>主</w:t>
      </w:r>
      <w:r>
        <w:rPr>
          <w:rFonts w:hint="eastAsia" w:ascii="Times New Roman" w:hAnsi="Times New Roman" w:eastAsia="方正仿宋_GBK" w:cs="Times New Roman"/>
          <w:i w:val="0"/>
          <w:iCs w:val="0"/>
          <w:caps w:val="0"/>
          <w:color w:val="333333"/>
          <w:spacing w:val="0"/>
          <w:sz w:val="32"/>
          <w:szCs w:val="32"/>
          <w:shd w:val="clear" w:fill="FFFFFF"/>
        </w:rPr>
        <w:t>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Times New Roman" w:hAnsi="Times New Roman" w:eastAsia="方正仿宋_GBK" w:cs="Times New Roman"/>
          <w:i w:val="0"/>
          <w:iCs w:val="0"/>
          <w:caps w:val="0"/>
          <w:color w:val="333333"/>
          <w:spacing w:val="0"/>
          <w:sz w:val="32"/>
          <w:szCs w:val="32"/>
          <w:shd w:val="clear" w:fill="FFFFFF"/>
        </w:rPr>
        <w:t>年</w:t>
      </w:r>
      <w:r>
        <w:rPr>
          <w:rFonts w:hint="eastAsia" w:ascii="Times New Roman" w:hAnsi="Times New Roman" w:eastAsia="方正仿宋_GBK" w:cs="Times New Roman"/>
          <w:i w:val="0"/>
          <w:iCs w:val="0"/>
          <w:caps w:val="0"/>
          <w:color w:val="333333"/>
          <w:spacing w:val="0"/>
          <w:sz w:val="32"/>
          <w:szCs w:val="32"/>
          <w:shd w:val="clear" w:fill="FFFFFF"/>
          <w:lang w:eastAsia="zh-CN"/>
        </w:rPr>
        <w:t>文化</w:t>
      </w:r>
      <w:r>
        <w:rPr>
          <w:rFonts w:hint="eastAsia" w:ascii="Times New Roman" w:hAnsi="Times New Roman" w:eastAsia="方正仿宋_GBK" w:cs="Times New Roman"/>
          <w:i w:val="0"/>
          <w:iCs w:val="0"/>
          <w:caps w:val="0"/>
          <w:color w:val="333333"/>
          <w:spacing w:val="0"/>
          <w:sz w:val="32"/>
          <w:szCs w:val="32"/>
          <w:shd w:val="clear" w:fill="FFFFFF"/>
        </w:rPr>
        <w:t>服务中心未单独进行财务核算及决算处理，纳入政府核算及决算。公用经费用途主要包括办公费、差旅费、劳务费、公务接待费及公务用车运行维护费等。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（五）政府性基金预算收支决算情况说明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年度无政府性基金预算财政拨款收支。</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三、财政拨款“三公”经费情况说明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（一）“三公”经费支出总体情况说明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方正仿宋_GBK" w:cs="宋体"/>
          <w:i w:val="0"/>
          <w:iCs w:val="0"/>
          <w:caps w:val="0"/>
          <w:color w:val="333333"/>
          <w:spacing w:val="0"/>
          <w:sz w:val="32"/>
          <w:szCs w:val="32"/>
          <w:lang w:eastAsia="zh-CN"/>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年度本单位“三公”经费支出共计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万元，主要原因是年中从政府（本级）调整预算到下属事业单位，未将“三公”经费支出调整至文化服务中心</w:t>
      </w:r>
      <w:r>
        <w:rPr>
          <w:rFonts w:hint="eastAsia" w:ascii="方正仿宋_GBK" w:hAnsi="方正仿宋_GBK" w:eastAsia="方正仿宋_GBK" w:cs="方正仿宋_GBK"/>
          <w:i w:val="0"/>
          <w:iCs w:val="0"/>
          <w:caps w:val="0"/>
          <w:color w:val="333333"/>
          <w:spacing w:val="0"/>
          <w:sz w:val="32"/>
          <w:szCs w:val="32"/>
          <w:shd w:val="clear" w:fill="FFFFFF"/>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（二）“三公”经费分项支出情况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年度本单位因公出国（境）费用</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万元，主要原因是上年、本年均未安排单位人员出国出访。</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公务车购置费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万元，主要原因是本年度未进行公务车购置。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公务车运行维护费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县内因公出行、安全生产监管、乡村振兴、巩固脱贫攻坚成果等工作所需车辆的燃料费、维修费、保险费等。费用支出较年初预算数无增减，较上年支出数无增减。主要原因是公务车运行维护费统一在政府（本级）列支，下属事业单位未单独列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方正仿宋_GBK" w:cs="宋体"/>
          <w:i w:val="0"/>
          <w:iCs w:val="0"/>
          <w:caps w:val="0"/>
          <w:color w:val="333333"/>
          <w:spacing w:val="0"/>
          <w:sz w:val="32"/>
          <w:szCs w:val="32"/>
          <w:lang w:eastAsia="zh-CN"/>
        </w:rPr>
      </w:pPr>
      <w:r>
        <w:rPr>
          <w:rFonts w:hint="eastAsia" w:ascii="方正仿宋_GBK" w:hAnsi="方正仿宋_GBK" w:eastAsia="方正仿宋_GBK" w:cs="方正仿宋_GBK"/>
          <w:i w:val="0"/>
          <w:iCs w:val="0"/>
          <w:caps w:val="0"/>
          <w:color w:val="333333"/>
          <w:spacing w:val="0"/>
          <w:sz w:val="32"/>
          <w:szCs w:val="32"/>
          <w:shd w:val="clear" w:fill="FFFFFF"/>
        </w:rPr>
        <w:t>公务接待费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万元，主要用于接待相关部门检查指导工作发生的接待支出；费用支出与年初预算数持平。主要原因是年中从政府（本级）调整预算到下属事业单位，未将“三公”经费支出调整至文化服务中心</w:t>
      </w:r>
      <w:r>
        <w:rPr>
          <w:rFonts w:hint="eastAsia" w:ascii="方正仿宋_GBK" w:hAnsi="方正仿宋_GBK" w:eastAsia="方正仿宋_GBK" w:cs="方正仿宋_GBK"/>
          <w:i w:val="0"/>
          <w:iCs w:val="0"/>
          <w:caps w:val="0"/>
          <w:color w:val="333333"/>
          <w:spacing w:val="0"/>
          <w:sz w:val="32"/>
          <w:szCs w:val="32"/>
          <w:shd w:val="clear" w:fill="FFFFFF"/>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（三）“三公”经费实物量情况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年度本单位无因公出国（境）支出；公务用车购置</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辆，公务车保有量为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辆；国内公务接待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人，其中：国内外事接待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人；国（境）外公务接待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年本单位人均接待费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元，车均购置费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万元，车均维护费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四、其他需要说明的事项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（一）机关运行经费情况说明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按照部门决算列报口径，我单位不在机关运行经费统计范围之内。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此外，本年度会议费支出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年度未单独安排会议费。本年度培训费支出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万元，较上年决算数无变化，主要原因是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（二）国有资产占用情况说明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截至</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12</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default" w:ascii="Times New Roman" w:hAnsi="Times New Roman" w:eastAsia="方正仿宋_GBK" w:cs="Times New Roman"/>
          <w:i w:val="0"/>
          <w:iCs w:val="0"/>
          <w:caps w:val="0"/>
          <w:color w:val="333333"/>
          <w:spacing w:val="0"/>
          <w:sz w:val="32"/>
          <w:szCs w:val="32"/>
          <w:shd w:val="clear" w:fill="FFFFFF"/>
        </w:rPr>
        <w:t>31</w:t>
      </w:r>
      <w:r>
        <w:rPr>
          <w:rFonts w:hint="eastAsia" w:ascii="方正仿宋_GBK" w:hAnsi="方正仿宋_GBK" w:eastAsia="方正仿宋_GBK" w:cs="方正仿宋_GBK"/>
          <w:i w:val="0"/>
          <w:iCs w:val="0"/>
          <w:caps w:val="0"/>
          <w:color w:val="333333"/>
          <w:spacing w:val="0"/>
          <w:sz w:val="32"/>
          <w:szCs w:val="32"/>
          <w:shd w:val="clear" w:fill="FFFFFF"/>
        </w:rPr>
        <w:t>日，本单位共有车辆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辆，其中，副部（省）级及以上领导用车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辆、主要负责人用车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辆、机要通信用车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辆、应急保障用车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辆、执法执勤用车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辆，特种专业技术用车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辆，离退休干部用车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辆。单价</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万元（含）以上专用设备</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台（套）。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（三）政府采购支出情况说明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年度本单位政府采购支出总额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万元，其中：政府采购货物支出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万元、政府采购工程支出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万元、政府采购服务支出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万元。  </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五、2024年度预算绩效管理情况说明</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仿宋_GBK" w:hAnsi="方正仿宋_GBK" w:eastAsia="方正仿宋_GBK" w:cs="方正仿宋_GBK"/>
          <w:i w:val="0"/>
          <w:iCs w:val="0"/>
          <w:caps w:val="0"/>
          <w:color w:val="333333"/>
          <w:spacing w:val="0"/>
          <w:sz w:val="32"/>
          <w:szCs w:val="32"/>
          <w:shd w:val="clear" w:fill="FFFFFF"/>
        </w:rPr>
        <w:t>根据预算绩效管理要求，政府（本级）对部门整体</w:t>
      </w:r>
      <w:r>
        <w:rPr>
          <w:rFonts w:hint="eastAsia" w:ascii="方正仿宋_GBK" w:hAnsi="方正仿宋_GBK" w:eastAsia="方正仿宋_GBK" w:cs="方正仿宋_GBK"/>
          <w:i w:val="0"/>
          <w:iCs w:val="0"/>
          <w:caps w:val="0"/>
          <w:color w:val="auto"/>
          <w:spacing w:val="0"/>
          <w:sz w:val="32"/>
          <w:szCs w:val="32"/>
          <w:shd w:val="clear" w:fill="FFFFFF"/>
        </w:rPr>
        <w:t>和</w:t>
      </w:r>
      <w:r>
        <w:rPr>
          <w:rFonts w:hint="eastAsia" w:ascii="Times New Roman" w:hAnsi="Times New Roman" w:eastAsia="方正仿宋_GBK" w:cs="Times New Roman"/>
          <w:i w:val="0"/>
          <w:iCs w:val="0"/>
          <w:caps w:val="0"/>
          <w:color w:val="auto"/>
          <w:spacing w:val="0"/>
          <w:sz w:val="32"/>
          <w:szCs w:val="32"/>
          <w:shd w:val="clear" w:fill="FFFFFF"/>
          <w:lang w:val="en-US" w:eastAsia="zh-CN"/>
        </w:rPr>
        <w:t>59</w:t>
      </w:r>
      <w:r>
        <w:rPr>
          <w:rFonts w:hint="eastAsia" w:ascii="方正仿宋_GBK" w:hAnsi="方正仿宋_GBK" w:eastAsia="方正仿宋_GBK" w:cs="方正仿宋_GBK"/>
          <w:i w:val="0"/>
          <w:iCs w:val="0"/>
          <w:caps w:val="0"/>
          <w:color w:val="333333"/>
          <w:spacing w:val="0"/>
          <w:sz w:val="32"/>
          <w:szCs w:val="32"/>
          <w:shd w:val="clear" w:fill="FFFFFF"/>
        </w:rPr>
        <w:t>个项目开展了绩效自评，故本站所</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黑体_GBK" w:hAnsi="方正黑体_GBK" w:eastAsia="方正黑体_GBK" w:cs="方正黑体_GBK"/>
          <w:b/>
          <w:bCs/>
          <w:sz w:val="32"/>
          <w:szCs w:val="32"/>
          <w:shd w:val="clear" w:fill="FFFFFF"/>
          <w:lang w:val="en-US" w:eastAsia="zh-CN"/>
        </w:rPr>
        <w:t xml:space="preserve">  </w:t>
      </w:r>
      <w:r>
        <w:rPr>
          <w:rStyle w:val="13"/>
          <w:rFonts w:hint="eastAsia" w:ascii="方正黑体_GBK" w:hAnsi="方正黑体_GBK" w:eastAsia="方正黑体_GBK" w:cs="方正黑体_GBK"/>
          <w:sz w:val="32"/>
          <w:szCs w:val="32"/>
          <w:shd w:val="clear" w:color="auto" w:fill="FFFFFF"/>
          <w:lang w:val="en-US" w:eastAsia="zh-CN" w:bidi="ar-SA"/>
        </w:rPr>
        <w:t xml:space="preserve"> 六、专业名词解释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方正仿宋_GBK" w:hAnsi="方正仿宋_GBK" w:eastAsia="方正仿宋_GBK" w:cs="方正仿宋_GBK"/>
          <w:b w:val="0"/>
          <w:bCs w:val="0"/>
          <w:kern w:val="0"/>
          <w:sz w:val="32"/>
          <w:szCs w:val="32"/>
          <w:shd w:val="clear" w:fill="FFFFFF"/>
          <w:lang w:val="en-US" w:eastAsia="zh-CN" w:bidi="ar-SA"/>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（一）财政拨款收入：</w:t>
      </w:r>
      <w:r>
        <w:rPr>
          <w:rFonts w:ascii="方正仿宋_GBK" w:hAnsi="方正仿宋_GBK" w:eastAsia="方正仿宋_GBK" w:cs="方正仿宋_GBK"/>
          <w:i w:val="0"/>
          <w:iCs w:val="0"/>
          <w:caps w:val="0"/>
          <w:color w:val="333333"/>
          <w:spacing w:val="0"/>
          <w:sz w:val="31"/>
          <w:szCs w:val="31"/>
          <w:shd w:val="clear" w:fill="FFFFFF"/>
        </w:rPr>
        <w:t>指</w:t>
      </w:r>
      <w:r>
        <w:rPr>
          <w:rFonts w:hint="eastAsia" w:ascii="方正仿宋_GBK" w:hAnsi="方正仿宋_GBK" w:eastAsia="方正仿宋_GBK" w:cs="方正仿宋_GBK"/>
          <w:b w:val="0"/>
          <w:bCs w:val="0"/>
          <w:kern w:val="0"/>
          <w:sz w:val="32"/>
          <w:szCs w:val="32"/>
          <w:shd w:val="clear" w:fill="FFFFFF"/>
          <w:lang w:val="en-US" w:eastAsia="zh-CN" w:bidi="ar-SA"/>
        </w:rPr>
        <w:t>本年度从本级财政部门取得的财政拨款，包括一般公共预算财政拨款和政府性基金预算财政拨款。</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方正仿宋_GBK" w:hAnsi="方正仿宋_GBK" w:eastAsia="方正仿宋_GBK" w:cs="方正仿宋_GBK"/>
          <w:b w:val="0"/>
          <w:bCs w:val="0"/>
          <w:kern w:val="0"/>
          <w:sz w:val="32"/>
          <w:szCs w:val="32"/>
          <w:shd w:val="clear" w:fill="FFFFFF"/>
          <w:lang w:val="en-US" w:eastAsia="zh-CN" w:bidi="ar-SA"/>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（二）事业收入</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b w:val="0"/>
          <w:bCs w:val="0"/>
          <w:kern w:val="0"/>
          <w:sz w:val="32"/>
          <w:szCs w:val="32"/>
          <w:shd w:val="clear" w:fill="FFFFFF"/>
          <w:lang w:val="en-US" w:eastAsia="zh-CN" w:bidi="ar-SA"/>
        </w:rPr>
        <w:t>指事业单位开展专业业务活动及其辅助活动取得的现金流入；事业单位收到的财政专户实际核拨的教育收费等资金在此反映。</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方正仿宋_GBK" w:hAnsi="方正仿宋_GBK" w:eastAsia="方正仿宋_GBK" w:cs="方正仿宋_GBK"/>
          <w:b w:val="0"/>
          <w:bCs w:val="0"/>
          <w:kern w:val="0"/>
          <w:sz w:val="32"/>
          <w:szCs w:val="32"/>
          <w:shd w:val="clear" w:fill="FFFFFF"/>
          <w:lang w:val="en-US" w:eastAsia="zh-CN" w:bidi="ar-SA"/>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（三）经营收入：</w:t>
      </w:r>
      <w:r>
        <w:rPr>
          <w:rFonts w:hint="eastAsia" w:ascii="方正仿宋_GBK" w:hAnsi="方正仿宋_GBK" w:eastAsia="方正仿宋_GBK" w:cs="方正仿宋_GBK"/>
          <w:b w:val="0"/>
          <w:bCs w:val="0"/>
          <w:kern w:val="0"/>
          <w:sz w:val="32"/>
          <w:szCs w:val="32"/>
          <w:shd w:val="clear" w:fill="FFFFFF"/>
          <w:lang w:val="en-US" w:eastAsia="zh-CN" w:bidi="ar-SA"/>
        </w:rPr>
        <w:t>指事业单位在专业业务活动及其辅助活动之外开展非独立核算经营活动取得的现金流入。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方正仿宋_GBK" w:hAnsi="方正仿宋_GBK" w:eastAsia="方正仿宋_GBK" w:cs="方正仿宋_GBK"/>
          <w:b w:val="0"/>
          <w:bCs w:val="0"/>
          <w:kern w:val="0"/>
          <w:sz w:val="32"/>
          <w:szCs w:val="32"/>
          <w:shd w:val="clear" w:fill="FFFFFF"/>
          <w:lang w:val="en-US" w:eastAsia="zh-CN" w:bidi="ar-SA"/>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（四）其他收入：</w:t>
      </w:r>
      <w:r>
        <w:rPr>
          <w:rFonts w:hint="eastAsia" w:ascii="方正仿宋_GBK" w:hAnsi="方正仿宋_GBK" w:eastAsia="方正仿宋_GBK" w:cs="方正仿宋_GBK"/>
          <w:b w:val="0"/>
          <w:bCs w:val="0"/>
          <w:kern w:val="0"/>
          <w:sz w:val="32"/>
          <w:szCs w:val="32"/>
          <w:shd w:val="clear" w:fill="FFFFFF"/>
          <w:lang w:val="en-US" w:eastAsia="zh-CN" w:bidi="ar-S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（五）使用非财政拨款结余（含专用结余）</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b w:val="0"/>
          <w:bCs w:val="0"/>
          <w:kern w:val="0"/>
          <w:sz w:val="32"/>
          <w:szCs w:val="32"/>
          <w:shd w:val="clear" w:fill="FFFFFF"/>
          <w:lang w:val="en-US" w:eastAsia="zh-CN" w:bidi="ar-SA"/>
        </w:rPr>
        <w:t>指单位在当年的“财政拨款收入”、“事业收入”、“经营收入”、“其他收入”等不足以安排当年支出的情况下，使用以前年度积累的非财政拨款结余弥补本年度收支缺口的资金。</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（六）年初结转和结余</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b w:val="0"/>
          <w:bCs w:val="0"/>
          <w:kern w:val="0"/>
          <w:sz w:val="32"/>
          <w:szCs w:val="32"/>
          <w:shd w:val="clear" w:fill="FFFFFF"/>
          <w:lang w:val="en-US" w:eastAsia="zh-CN" w:bidi="ar-SA"/>
        </w:rPr>
        <w:t>指单位上年结转本年使用的基本支出结转、项目支出结转和结余、经营结余。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（七）结余分配：</w:t>
      </w:r>
      <w:r>
        <w:rPr>
          <w:rFonts w:hint="eastAsia" w:ascii="方正仿宋_GBK" w:hAnsi="方正仿宋_GBK" w:eastAsia="方正仿宋_GBK" w:cs="方正仿宋_GBK"/>
          <w:b w:val="0"/>
          <w:bCs w:val="0"/>
          <w:kern w:val="0"/>
          <w:sz w:val="32"/>
          <w:szCs w:val="32"/>
          <w:shd w:val="clear" w:fill="FFFFFF"/>
          <w:lang w:val="en-US" w:eastAsia="zh-CN" w:bidi="ar-SA"/>
        </w:rPr>
        <w:t>指单位按照国家有关规定，缴纳所得税、提取专用基金、转入非财政拨款结余等当年结余的分配情况。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（八）年末结转和结余：</w:t>
      </w:r>
      <w:r>
        <w:rPr>
          <w:rFonts w:hint="eastAsia" w:ascii="方正仿宋_GBK" w:hAnsi="方正仿宋_GBK" w:eastAsia="方正仿宋_GBK" w:cs="方正仿宋_GBK"/>
          <w:b w:val="0"/>
          <w:bCs w:val="0"/>
          <w:kern w:val="0"/>
          <w:sz w:val="32"/>
          <w:szCs w:val="32"/>
          <w:shd w:val="clear" w:fill="FFFFFF"/>
          <w:lang w:val="en-US" w:eastAsia="zh-CN" w:bidi="ar-SA"/>
        </w:rPr>
        <w:t>指单位结转下年的基本支出结转、项目支出结转和结余、经营结余。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（九）基本支出：</w:t>
      </w:r>
      <w:r>
        <w:rPr>
          <w:rFonts w:hint="eastAsia" w:ascii="方正仿宋_GBK" w:hAnsi="方正仿宋_GBK" w:eastAsia="方正仿宋_GBK" w:cs="方正仿宋_GBK"/>
          <w:b w:val="0"/>
          <w:bCs w:val="0"/>
          <w:kern w:val="0"/>
          <w:sz w:val="32"/>
          <w:szCs w:val="32"/>
          <w:shd w:val="clear" w:fill="FFFFFF"/>
          <w:lang w:val="en-US" w:eastAsia="zh-CN" w:bidi="ar-S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（十）项目支出：</w:t>
      </w:r>
      <w:r>
        <w:rPr>
          <w:rFonts w:hint="eastAsia" w:ascii="方正仿宋_GBK" w:hAnsi="方正仿宋_GBK" w:eastAsia="方正仿宋_GBK" w:cs="方正仿宋_GBK"/>
          <w:b w:val="0"/>
          <w:bCs w:val="0"/>
          <w:kern w:val="0"/>
          <w:sz w:val="32"/>
          <w:szCs w:val="32"/>
          <w:shd w:val="clear" w:fill="FFFFFF"/>
          <w:lang w:val="en-US" w:eastAsia="zh-CN" w:bidi="ar-SA"/>
        </w:rPr>
        <w:t>指在基本支出之外为完成特定行政任务和事业发展目标所发生的支出。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（十一）经营支出</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b w:val="0"/>
          <w:bCs w:val="0"/>
          <w:kern w:val="0"/>
          <w:sz w:val="32"/>
          <w:szCs w:val="32"/>
          <w:shd w:val="clear" w:fill="FFFFFF"/>
          <w:lang w:val="en-US" w:eastAsia="zh-CN" w:bidi="ar-SA"/>
        </w:rPr>
        <w:t>指事业单位在专业业务活动及其辅助活动之外开展非独立核算经营活动发生的支出。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方正仿宋_GBK" w:hAnsi="方正仿宋_GBK" w:eastAsia="方正仿宋_GBK" w:cs="方正仿宋_GBK"/>
          <w:kern w:val="0"/>
          <w:sz w:val="32"/>
          <w:szCs w:val="32"/>
          <w:shd w:val="clear" w:fill="FFFFFF"/>
          <w:lang w:val="en-US" w:eastAsia="zh-CN" w:bidi="ar-SA"/>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（十二）“三公”经费</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kern w:val="0"/>
          <w:sz w:val="32"/>
          <w:szCs w:val="32"/>
          <w:shd w:val="clear" w:fill="FFFFFF"/>
          <w:lang w:val="en-US" w:eastAsia="zh-CN" w:bidi="ar-SA"/>
        </w:rPr>
        <w:t>指用一般公共预算财政拨款安排的因公出国（境）费、公务用车购置及运行维护费、公务接待费。其中，因公出国（境）费</w:t>
      </w:r>
      <w:r>
        <w:rPr>
          <w:rFonts w:hint="eastAsia" w:ascii="方正仿宋_GBK" w:hAnsi="方正仿宋_GBK" w:eastAsia="方正仿宋_GBK" w:cs="方正仿宋_GBK"/>
          <w:b w:val="0"/>
          <w:bCs w:val="0"/>
          <w:kern w:val="0"/>
          <w:sz w:val="32"/>
          <w:szCs w:val="32"/>
          <w:shd w:val="clear" w:fill="FFFFFF"/>
          <w:lang w:val="en-US" w:eastAsia="zh-CN" w:bidi="ar-SA"/>
        </w:rPr>
        <w:t>反映单位公务</w:t>
      </w:r>
      <w:r>
        <w:rPr>
          <w:rFonts w:hint="eastAsia" w:ascii="方正仿宋_GBK" w:hAnsi="方正仿宋_GBK" w:eastAsia="方正仿宋_GBK" w:cs="方正仿宋_GBK"/>
          <w:kern w:val="0"/>
          <w:sz w:val="32"/>
          <w:szCs w:val="32"/>
          <w:shd w:val="clear" w:fill="FFFFFF"/>
          <w:lang w:val="en-US" w:eastAsia="zh-CN" w:bidi="ar-SA"/>
        </w:rPr>
        <w:t>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方正仿宋_GBK" w:hAnsi="方正仿宋_GBK" w:eastAsia="方正仿宋_GBK" w:cs="方正仿宋_GBK"/>
          <w:b w:val="0"/>
          <w:bCs w:val="0"/>
          <w:kern w:val="0"/>
          <w:sz w:val="32"/>
          <w:szCs w:val="32"/>
          <w:shd w:val="clear" w:fill="FFFFFF"/>
          <w:lang w:val="en-US" w:eastAsia="zh-CN" w:bidi="ar-SA"/>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（十三）机关运行经费：</w:t>
      </w:r>
      <w:r>
        <w:rPr>
          <w:rFonts w:hint="eastAsia" w:ascii="方正仿宋_GBK" w:hAnsi="方正仿宋_GBK" w:eastAsia="方正仿宋_GBK" w:cs="方正仿宋_GBK"/>
          <w:b w:val="0"/>
          <w:bCs w:val="0"/>
          <w:kern w:val="0"/>
          <w:sz w:val="32"/>
          <w:szCs w:val="32"/>
          <w:shd w:val="clear" w:fill="FFFFFF"/>
          <w:lang w:val="en-US" w:eastAsia="zh-CN" w:bidi="ar-S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（十四）工资福利支出（支出经济分类科目类级）</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i w:val="0"/>
          <w:iCs w:val="0"/>
          <w:caps w:val="0"/>
          <w:color w:val="333333"/>
          <w:spacing w:val="0"/>
          <w:sz w:val="31"/>
          <w:szCs w:val="31"/>
          <w:shd w:val="clear" w:fill="FFFFFF"/>
        </w:rPr>
        <w:t>反映单位开支的在职职工和编制外长期聘用人员的各类劳动报酬，以及为上述人员缴纳的各项社会保险费等。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（十五）商品和服务支出（支出经济分类科目类级）</w:t>
      </w:r>
      <w:r>
        <w:rPr>
          <w:rStyle w:val="13"/>
          <w:rFonts w:hint="default" w:ascii="楷体" w:hAnsi="楷体" w:eastAsia="楷体" w:cs="楷体"/>
          <w:i w:val="0"/>
          <w:iCs w:val="0"/>
          <w:caps w:val="0"/>
          <w:color w:val="333333"/>
          <w:spacing w:val="0"/>
          <w:sz w:val="31"/>
          <w:szCs w:val="31"/>
          <w:shd w:val="clear" w:fill="FFFFFF"/>
        </w:rPr>
        <w:t>：</w:t>
      </w:r>
      <w:r>
        <w:rPr>
          <w:rFonts w:hint="eastAsia" w:ascii="方正仿宋_GBK" w:hAnsi="方正仿宋_GBK" w:eastAsia="方正仿宋_GBK" w:cs="方正仿宋_GBK"/>
          <w:i w:val="0"/>
          <w:iCs w:val="0"/>
          <w:caps w:val="0"/>
          <w:color w:val="333333"/>
          <w:spacing w:val="0"/>
          <w:sz w:val="31"/>
          <w:szCs w:val="31"/>
          <w:shd w:val="clear" w:fill="FFFFFF"/>
        </w:rPr>
        <w:t>反映单位购买商品和服务的支出（不包括用于购置固定资产的支出、战略性和应急储备支出）。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24"/>
          <w:szCs w:val="24"/>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（十六）对个人和家庭的补助（支出经济分类科目类级）：</w:t>
      </w:r>
      <w:r>
        <w:rPr>
          <w:rFonts w:hint="eastAsia" w:ascii="方正仿宋_GBK" w:hAnsi="方正仿宋_GBK" w:eastAsia="方正仿宋_GBK" w:cs="方正仿宋_GBK"/>
          <w:i w:val="0"/>
          <w:iCs w:val="0"/>
          <w:caps w:val="0"/>
          <w:color w:val="333333"/>
          <w:spacing w:val="0"/>
          <w:sz w:val="31"/>
          <w:szCs w:val="31"/>
          <w:shd w:val="clear" w:fill="FFFFFF"/>
        </w:rPr>
        <w:t>反映用于对个人和家庭的补助支出。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方正仿宋_GBK" w:hAnsi="方正仿宋_GBK" w:eastAsia="方正仿宋_GBK" w:cs="方正仿宋_GBK"/>
          <w:kern w:val="0"/>
          <w:sz w:val="32"/>
          <w:szCs w:val="32"/>
        </w:rPr>
      </w:pPr>
      <w:r>
        <w:rPr>
          <w:rFonts w:hint="default" w:ascii="方正楷体_GBK" w:hAnsi="方正楷体_GBK" w:eastAsia="方正楷体_GBK" w:cs="方正楷体_GBK"/>
          <w:i w:val="0"/>
          <w:iCs w:val="0"/>
          <w:caps w:val="0"/>
          <w:color w:val="333333"/>
          <w:spacing w:val="0"/>
          <w:kern w:val="0"/>
          <w:sz w:val="32"/>
          <w:szCs w:val="32"/>
          <w:shd w:val="clear" w:fill="FFFFFF"/>
          <w:lang w:val="en-US" w:eastAsia="zh-CN" w:bidi="ar"/>
        </w:rPr>
        <w:t>（十七）其他资本性支出（支出经济分类科目类级）：</w:t>
      </w:r>
      <w:r>
        <w:rPr>
          <w:rFonts w:hint="eastAsia" w:ascii="方正仿宋_GBK" w:hAnsi="方正仿宋_GBK" w:eastAsia="方正仿宋_GBK" w:cs="方正仿宋_GBK"/>
          <w:i w:val="0"/>
          <w:iCs w:val="0"/>
          <w:caps w:val="0"/>
          <w:color w:val="333333"/>
          <w:spacing w:val="0"/>
          <w:sz w:val="31"/>
          <w:szCs w:val="31"/>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auto"/>
          <w:kern w:val="0"/>
          <w:sz w:val="32"/>
          <w:szCs w:val="32"/>
          <w:lang w:val="en-US" w:eastAsia="zh-CN"/>
        </w:rPr>
      </w:pPr>
      <w:bookmarkStart w:id="0" w:name="_GoBack"/>
      <w:bookmarkEnd w:id="0"/>
      <w:r>
        <w:rPr>
          <w:rFonts w:hint="eastAsia" w:ascii="方正仿宋_GBK" w:hAnsi="方正仿宋_GBK" w:eastAsia="方正仿宋_GBK" w:cs="方正仿宋_GBK"/>
          <w:color w:val="auto"/>
          <w:kern w:val="0"/>
          <w:sz w:val="32"/>
          <w:szCs w:val="32"/>
          <w:shd w:val="clear" w:fill="FFFFFF"/>
          <w:lang w:val="en-US" w:eastAsia="zh-CN"/>
        </w:rPr>
        <w:t>高楠镇人民政府</w:t>
      </w:r>
      <w:r>
        <w:rPr>
          <w:rFonts w:hint="eastAsia" w:ascii="方正仿宋_GBK" w:hAnsi="方正仿宋_GBK" w:eastAsia="方正仿宋_GBK" w:cs="方正仿宋_GBK"/>
          <w:color w:val="auto"/>
          <w:kern w:val="0"/>
          <w:sz w:val="32"/>
          <w:szCs w:val="32"/>
          <w:shd w:val="clear" w:fill="FFFFFF"/>
        </w:rPr>
        <w:t xml:space="preserve">   023-</w:t>
      </w:r>
      <w:r>
        <w:rPr>
          <w:rFonts w:hint="eastAsia" w:ascii="方正仿宋_GBK" w:hAnsi="方正仿宋_GBK" w:eastAsia="方正仿宋_GBK" w:cs="方正仿宋_GBK"/>
          <w:color w:val="auto"/>
          <w:kern w:val="0"/>
          <w:sz w:val="32"/>
          <w:szCs w:val="32"/>
          <w:shd w:val="clear" w:fill="FFFFFF"/>
          <w:lang w:val="en-US" w:eastAsia="zh-CN"/>
        </w:rPr>
        <w:t>59500000</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3132"/>
        <w:gridCol w:w="940"/>
        <w:gridCol w:w="2963"/>
        <w:gridCol w:w="1273"/>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ascii="Arial" w:hAnsi="Arial" w:cs="Arial"/>
                <w:color w:val="000000"/>
                <w:sz w:val="22"/>
                <w:szCs w:val="22"/>
              </w:rPr>
            </w:pPr>
            <w:r>
              <w:rPr>
                <w:rFonts w:cs="宋体"/>
                <w:sz w:val="20"/>
                <w:szCs w:val="20"/>
              </w:rPr>
              <w:t>单位：</w:t>
            </w:r>
            <w:r>
              <w:rPr>
                <w:sz w:val="20"/>
                <w:u w:color="auto"/>
              </w:rPr>
              <w:t>高楠镇文化服务中心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40" w:firstLineChars="200"/>
              <w:jc w:val="both"/>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28.26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3.28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28.26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28.26</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28.26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28.26</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776"/>
        <w:gridCol w:w="1583"/>
        <w:gridCol w:w="858"/>
        <w:gridCol w:w="786"/>
        <w:gridCol w:w="681"/>
        <w:gridCol w:w="779"/>
        <w:gridCol w:w="792"/>
        <w:gridCol w:w="703"/>
        <w:gridCol w:w="732"/>
        <w:gridCol w:w="717"/>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sz w:val="20"/>
                <w:u w:color="auto"/>
              </w:rPr>
              <w:t>高楠镇文化服务中心</w:t>
            </w: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28.26</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28.26</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20701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2070109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群众文化</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701"/>
        <w:gridCol w:w="1953"/>
        <w:gridCol w:w="998"/>
        <w:gridCol w:w="958"/>
        <w:gridCol w:w="881"/>
        <w:gridCol w:w="844"/>
        <w:gridCol w:w="917"/>
        <w:gridCol w:w="1057"/>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高楠镇文化服务中心 </w:t>
            </w: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28.26</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28.26</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文化旅游体育与传媒支出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20701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文化和旅游</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2070109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群众文化</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2.19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246"/>
        <w:gridCol w:w="681"/>
        <w:gridCol w:w="2380"/>
        <w:gridCol w:w="682"/>
        <w:gridCol w:w="682"/>
        <w:gridCol w:w="517"/>
        <w:gridCol w:w="1120"/>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高楠镇文化服务中心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21.98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21.98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3.28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3.28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1.20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1.20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28.26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07"/>
        <w:gridCol w:w="2208"/>
        <w:gridCol w:w="1793"/>
        <w:gridCol w:w="1788"/>
        <w:gridCol w:w="1812"/>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高楠镇文化服务中心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28.26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28.26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文化旅游体育与传媒支出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20701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文化和旅游</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21.98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2070109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群众文化</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21.98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3.28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2.19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2.19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1.09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1.09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1.16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1.64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436"/>
        <w:gridCol w:w="1523"/>
        <w:gridCol w:w="835"/>
        <w:gridCol w:w="473"/>
        <w:gridCol w:w="1102"/>
        <w:gridCol w:w="769"/>
        <w:gridCol w:w="473"/>
        <w:gridCol w:w="1878"/>
        <w:gridCol w:w="80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高楠镇文化服务中心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28.11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5.18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1.90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14.90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2.19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1.09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0.04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hint="default" w:ascii="Times New Roman" w:hAnsi="Times New Roman"/>
                <w:color w:val="000000"/>
                <w:sz w:val="18"/>
                <w:szCs w:val="18"/>
              </w:rPr>
              <w:t>28.11</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15"/>
        <w:gridCol w:w="1948"/>
        <w:gridCol w:w="923"/>
        <w:gridCol w:w="923"/>
        <w:gridCol w:w="923"/>
        <w:gridCol w:w="923"/>
        <w:gridCol w:w="958"/>
        <w:gridCol w:w="997"/>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高楠镇文化服务中心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01"/>
        <w:gridCol w:w="1960"/>
        <w:gridCol w:w="1775"/>
        <w:gridCol w:w="102"/>
        <w:gridCol w:w="1878"/>
        <w:gridCol w:w="46"/>
        <w:gridCol w:w="1845"/>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高楠镇文化服务中心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1724"/>
        <w:gridCol w:w="1311"/>
        <w:gridCol w:w="1288"/>
        <w:gridCol w:w="1991"/>
        <w:gridCol w:w="1348"/>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高楠镇文化服务中心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r>
    </w:tbl>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3" w:type="default"/>
      <w:footerReference r:id="rId4" w:type="default"/>
      <w:pgSz w:w="11850" w:h="16783"/>
      <w:pgMar w:top="2098" w:right="1474" w:bottom="1984" w:left="2098"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3E780A"/>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B91D8"/>
    <w:rsid w:val="4FFE7F08"/>
    <w:rsid w:val="504B6EAA"/>
    <w:rsid w:val="50F06B6E"/>
    <w:rsid w:val="51064DCD"/>
    <w:rsid w:val="517233A6"/>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7AAAD8"/>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BEA9CDA"/>
    <w:rsid w:val="7C3A7C0B"/>
    <w:rsid w:val="7C5248E4"/>
    <w:rsid w:val="7C566698"/>
    <w:rsid w:val="7C5866A3"/>
    <w:rsid w:val="7D7406BB"/>
    <w:rsid w:val="7DE94331"/>
    <w:rsid w:val="7F446A19"/>
    <w:rsid w:val="7F7452B9"/>
    <w:rsid w:val="7FF73FE2"/>
    <w:rsid w:val="D37D1445"/>
    <w:rsid w:val="FCEFE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autoRedefine/>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autoRedefine/>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autoRedefine/>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autoRedefine/>
    <w:qFormat/>
    <w:uiPriority w:val="99"/>
    <w:pPr>
      <w:ind w:firstLine="420" w:firstLineChars="200"/>
    </w:pPr>
    <w:rPr>
      <w:rFonts w:hint="default"/>
    </w:rPr>
  </w:style>
  <w:style w:type="paragraph" w:customStyle="1" w:styleId="15">
    <w:name w:val="普通(网站) Char"/>
    <w:autoRedefine/>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autoRedefine/>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autoRedefine/>
    <w:qFormat/>
    <w:uiPriority w:val="0"/>
    <w:rPr>
      <w:rFonts w:ascii="宋体" w:hAnsi="宋体"/>
      <w:sz w:val="18"/>
      <w:szCs w:val="18"/>
    </w:rPr>
  </w:style>
  <w:style w:type="paragraph" w:customStyle="1" w:styleId="19">
    <w:name w:val="List Paragraph"/>
    <w:basedOn w:val="1"/>
    <w:autoRedefine/>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3935</Words>
  <Characters>22430</Characters>
  <Lines>186</Lines>
  <Paragraphs>52</Paragraphs>
  <TotalTime>0</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2024-07-12T18:00:00Z</dcterms:created>
  <dc:creator>Administrator</dc:creator>
  <cp:lastModifiedBy>1+</cp:lastModifiedBy>
  <dcterms:modified xsi:type="dcterms:W3CDTF">2025-09-25T08:03:47Z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BB46EABDBB2749749395447164B066B3_12</vt:lpwstr>
  </property>
</Properties>
</file>