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spacing w:line="560"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val="en-US" w:eastAsia="zh-CN"/>
        </w:rPr>
        <w:t>高观镇便民服务中心</w:t>
      </w:r>
      <w:r>
        <w:rPr>
          <w:rFonts w:hint="default" w:ascii="Times New Roman" w:hAnsi="Times New Roman" w:eastAsia="方正小标宋_GBK" w:cs="Times New Roman"/>
          <w:sz w:val="44"/>
          <w:szCs w:val="44"/>
          <w:lang w:eastAsia="zh-CN"/>
        </w:rPr>
        <w:t>202</w:t>
      </w:r>
      <w:r>
        <w:rPr>
          <w:rFonts w:hint="eastAsia"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lang w:eastAsia="zh-CN"/>
        </w:rPr>
        <w:t>年</w:t>
      </w:r>
    </w:p>
    <w:p>
      <w:pPr>
        <w:spacing w:line="560"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部门预算情况说明</w:t>
      </w:r>
    </w:p>
    <w:p>
      <w:pPr>
        <w:spacing w:line="560" w:lineRule="exact"/>
        <w:jc w:val="center"/>
        <w:rPr>
          <w:rFonts w:hint="eastAsia" w:eastAsia="方正小标宋_GBK"/>
          <w:sz w:val="44"/>
          <w:szCs w:val="44"/>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eastAsia"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贯彻执行党和国家方针政策</w:t>
      </w:r>
      <w:r>
        <w:rPr>
          <w:rFonts w:hint="eastAsia" w:ascii="方正仿宋_GBK" w:hAnsi="方正仿宋_GBK" w:eastAsia="方正仿宋_GBK" w:cs="方正仿宋_GBK"/>
          <w:i w:val="0"/>
          <w:iCs w:val="0"/>
          <w:caps w:val="0"/>
          <w:color w:val="333333"/>
          <w:spacing w:val="0"/>
          <w:sz w:val="31"/>
          <w:szCs w:val="31"/>
          <w:shd w:val="clear" w:fill="FFFFFF"/>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贯彻落实党的路线、方针、政策和上级党委、政府的决策部署。依法履行基层政府职能，组织实施辖区内经济社会发展规划。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）推动经济社会发展 </w:t>
      </w:r>
      <w:r>
        <w:rPr>
          <w:rFonts w:hint="eastAsia" w:ascii="方正仿宋_GBK" w:hAnsi="方正仿宋_GBK" w:eastAsia="方正仿宋_GBK" w:cs="方正仿宋_GBK"/>
          <w:i w:val="0"/>
          <w:iCs w:val="0"/>
          <w:caps w:val="0"/>
          <w:color w:val="333333"/>
          <w:spacing w:val="0"/>
          <w:sz w:val="31"/>
          <w:szCs w:val="31"/>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r>
        <w:rPr>
          <w:rFonts w:hint="eastAsia" w:ascii="方正仿宋_GBK" w:hAnsi="方正仿宋_GBK" w:eastAsia="方正仿宋_GBK" w:cs="方正仿宋_GBK"/>
          <w:i w:val="0"/>
          <w:iCs w:val="0"/>
          <w:caps w:val="0"/>
          <w:color w:val="333333"/>
          <w:spacing w:val="0"/>
          <w:sz w:val="31"/>
          <w:szCs w:val="31"/>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）提供公共服务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加强社会治安综合治理，化解矛盾纠纷，维护群众合法权益。落实安全生产监管责任，防范重大安全事故。开展法治宣传教育，推进平安乡镇建设。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指导村（社区）依法开展自治活动，提升基层治理能力。加强村（社区）干部队伍建设，完善村级组织运行机制。 </w:t>
      </w:r>
      <w:r>
        <w:rPr>
          <w:rFonts w:hint="eastAsia" w:ascii="方正仿宋_GBK" w:hAnsi="方正仿宋_GBK" w:eastAsia="方正仿宋_GBK" w:cs="方正仿宋_GBK"/>
          <w:i w:val="0"/>
          <w:iCs w:val="0"/>
          <w:caps w:val="0"/>
          <w:color w:val="333333"/>
          <w:spacing w:val="0"/>
          <w:sz w:val="31"/>
          <w:szCs w:val="31"/>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（一）收入预算：</w:t>
      </w:r>
      <w:r>
        <w:rPr>
          <w:rFonts w:hint="default" w:ascii="Times New Roman" w:hAnsi="Times New Roman" w:eastAsia="方正仿宋_GBK" w:cs="Times New Roman"/>
          <w:i w:val="0"/>
          <w:iCs w:val="0"/>
          <w:caps w:val="0"/>
          <w:color w:val="333333"/>
          <w:spacing w:val="0"/>
          <w:sz w:val="32"/>
          <w:szCs w:val="32"/>
          <w:shd w:val="clear" w:fill="FFFFFF"/>
        </w:rPr>
        <w:t>202</w:t>
      </w:r>
      <w:r>
        <w:rPr>
          <w:rFonts w:hint="eastAsia" w:ascii="Times New Roman" w:hAnsi="Times New Roman" w:eastAsia="方正仿宋_GBK" w:cs="Times New Roman"/>
          <w:i w:val="0"/>
          <w:iCs w:val="0"/>
          <w:caps w:val="0"/>
          <w:color w:val="333333"/>
          <w:spacing w:val="0"/>
          <w:sz w:val="32"/>
          <w:szCs w:val="32"/>
          <w:shd w:val="clear" w:fill="FFFFFF"/>
          <w:lang w:val="en-US" w:eastAsia="zh-CN"/>
        </w:rPr>
        <w:t>6</w:t>
      </w:r>
      <w:r>
        <w:rPr>
          <w:rFonts w:hint="default"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73.35</w:t>
      </w:r>
      <w:r>
        <w:rPr>
          <w:rFonts w:hint="default" w:ascii="Times New Roman" w:hAnsi="Times New Roman" w:eastAsia="方正仿宋_GBK" w:cs="Times New Roman"/>
          <w:i w:val="0"/>
          <w:iCs w:val="0"/>
          <w:caps w:val="0"/>
          <w:color w:val="333333"/>
          <w:spacing w:val="0"/>
          <w:sz w:val="32"/>
          <w:szCs w:val="32"/>
          <w:shd w:val="clear" w:fill="FFFFFF"/>
        </w:rPr>
        <w:t>万元，其中：一般公共预算拨款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73.35</w:t>
      </w:r>
      <w:r>
        <w:rPr>
          <w:rFonts w:hint="default" w:ascii="Times New Roman" w:hAnsi="Times New Roman" w:eastAsia="方正仿宋_GBK" w:cs="Times New Roman"/>
          <w:i w:val="0"/>
          <w:iCs w:val="0"/>
          <w:caps w:val="0"/>
          <w:color w:val="333333"/>
          <w:spacing w:val="0"/>
          <w:sz w:val="32"/>
          <w:szCs w:val="32"/>
          <w:shd w:val="clear" w:fill="FFFFFF"/>
        </w:rPr>
        <w:t>万元，政府性基金预算拨款0万元，国有资本经营预算收入0万元，事业收入0万元，事业单位经营收入0万元，其他收入0万元。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（二）支出预算：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73.35</w:t>
      </w:r>
      <w:r>
        <w:rPr>
          <w:rFonts w:hint="eastAsia" w:ascii="Times New Roman" w:hAnsi="Times New Roman" w:eastAsia="方正仿宋_GBK" w:cs="Times New Roman"/>
          <w:i w:val="0"/>
          <w:iCs w:val="0"/>
          <w:caps w:val="0"/>
          <w:color w:val="333333"/>
          <w:spacing w:val="0"/>
          <w:sz w:val="32"/>
          <w:szCs w:val="32"/>
          <w:shd w:val="clear" w:fill="FFFFFF"/>
        </w:rPr>
        <w:t>万元，其中社会保障和就业支出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66.79</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3.21</w:t>
      </w:r>
      <w:r>
        <w:rPr>
          <w:rFonts w:hint="eastAsia" w:ascii="Times New Roman" w:hAnsi="Times New Roman" w:eastAsia="方正仿宋_GBK" w:cs="Times New Roman"/>
          <w:i w:val="0"/>
          <w:iCs w:val="0"/>
          <w:caps w:val="0"/>
          <w:color w:val="333333"/>
          <w:spacing w:val="0"/>
          <w:sz w:val="32"/>
          <w:szCs w:val="32"/>
          <w:shd w:val="clear" w:fill="FFFFFF"/>
        </w:rPr>
        <w:t>万元；住房保障支出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3.74</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lang w:eastAsia="zh-CN"/>
        </w:rPr>
      </w:pPr>
      <w:r>
        <w:rPr>
          <w:rFonts w:hint="eastAsia" w:ascii="Times New Roman" w:hAnsi="Times New Roman" w:eastAsia="方正仿宋_GBK" w:cs="Times New Roman"/>
          <w:i w:val="0"/>
          <w:iCs w:val="0"/>
          <w:caps w:val="0"/>
          <w:color w:val="333333"/>
          <w:spacing w:val="0"/>
          <w:sz w:val="31"/>
          <w:szCs w:val="31"/>
          <w:shd w:val="clear" w:fill="FFFFFF"/>
          <w:lang w:eastAsia="zh-CN"/>
        </w:rPr>
        <w:t>2026</w:t>
      </w:r>
      <w:r>
        <w:rPr>
          <w:rFonts w:hint="eastAsia" w:ascii="方正仿宋_GBK" w:hAnsi="方正仿宋_GBK" w:eastAsia="方正仿宋_GBK" w:cs="方正仿宋_GBK"/>
          <w:i w:val="0"/>
          <w:iCs w:val="0"/>
          <w:caps w:val="0"/>
          <w:color w:val="333333"/>
          <w:spacing w:val="0"/>
          <w:sz w:val="31"/>
          <w:szCs w:val="31"/>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73.35</w:t>
      </w:r>
      <w:r>
        <w:rPr>
          <w:rFonts w:hint="eastAsia" w:ascii="方正仿宋_GBK" w:hAnsi="方正仿宋_GBK" w:eastAsia="方正仿宋_GBK" w:cs="方正仿宋_GBK"/>
          <w:i w:val="0"/>
          <w:iCs w:val="0"/>
          <w:caps w:val="0"/>
          <w:color w:val="333333"/>
          <w:spacing w:val="0"/>
          <w:sz w:val="31"/>
          <w:szCs w:val="31"/>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73.35</w:t>
      </w:r>
      <w:r>
        <w:rPr>
          <w:rFonts w:hint="eastAsia" w:ascii="方正仿宋_GBK" w:hAnsi="方正仿宋_GBK" w:eastAsia="方正仿宋_GBK" w:cs="方正仿宋_GBK"/>
          <w:i w:val="0"/>
          <w:iCs w:val="0"/>
          <w:caps w:val="0"/>
          <w:color w:val="333333"/>
          <w:spacing w:val="0"/>
          <w:sz w:val="31"/>
          <w:szCs w:val="31"/>
          <w:shd w:val="clear" w:fill="FFFFFF"/>
        </w:rPr>
        <w:t>万元</w:t>
      </w:r>
      <w:r>
        <w:rPr>
          <w:rFonts w:hint="eastAsia" w:ascii="方正仿宋_GBK" w:hAnsi="方正仿宋_GBK" w:eastAsia="方正仿宋_GBK" w:cs="方正仿宋_GBK"/>
          <w:i w:val="0"/>
          <w:iCs w:val="0"/>
          <w:caps w:val="0"/>
          <w:color w:val="333333"/>
          <w:spacing w:val="0"/>
          <w:sz w:val="31"/>
          <w:szCs w:val="31"/>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Calibri" w:hAnsi="Calibri" w:cs="Calibri"/>
          <w:i w:val="0"/>
          <w:iCs w:val="0"/>
          <w:caps w:val="0"/>
          <w:color w:val="333333"/>
          <w:spacing w:val="0"/>
          <w:sz w:val="21"/>
          <w:szCs w:val="21"/>
        </w:rPr>
      </w:pPr>
      <w:r>
        <w:rPr>
          <w:rFonts w:hint="eastAsia" w:ascii="Times New Roman" w:hAnsi="Times New Roman" w:eastAsia="方正仿宋_GBK" w:cs="Times New Roman"/>
          <w:i w:val="0"/>
          <w:iCs w:val="0"/>
          <w:caps w:val="0"/>
          <w:color w:val="333333"/>
          <w:spacing w:val="0"/>
          <w:sz w:val="31"/>
          <w:szCs w:val="31"/>
          <w:shd w:val="clear" w:fill="FFFFFF"/>
          <w:lang w:eastAsia="zh-CN"/>
        </w:rPr>
        <w:t>2026</w:t>
      </w:r>
      <w:r>
        <w:rPr>
          <w:rFonts w:hint="eastAsia" w:ascii="方正仿宋_GBK" w:hAnsi="方正仿宋_GBK" w:eastAsia="方正仿宋_GBK" w:cs="方正仿宋_GBK"/>
          <w:i w:val="0"/>
          <w:iCs w:val="0"/>
          <w:caps w:val="0"/>
          <w:color w:val="333333"/>
          <w:spacing w:val="0"/>
          <w:sz w:val="31"/>
          <w:szCs w:val="31"/>
          <w:shd w:val="clear" w:fill="FFFFFF"/>
        </w:rPr>
        <w:t>年本单位无政府性基金预算。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四、“三公”经费情况说明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default" w:ascii="Times New Roman" w:hAnsi="Times New Roman" w:eastAsia="方正仿宋_GBK" w:cs="Times New Roman"/>
          <w:i w:val="0"/>
          <w:iCs w:val="0"/>
          <w:caps w:val="0"/>
          <w:color w:val="333333"/>
          <w:spacing w:val="0"/>
          <w:sz w:val="32"/>
          <w:szCs w:val="32"/>
          <w:shd w:val="clear" w:fill="FFFFFF"/>
        </w:rPr>
        <w:t>202</w:t>
      </w:r>
      <w:r>
        <w:rPr>
          <w:rFonts w:hint="eastAsia" w:ascii="Times New Roman" w:hAnsi="Times New Roman" w:eastAsia="方正仿宋_GBK" w:cs="Times New Roman"/>
          <w:i w:val="0"/>
          <w:iCs w:val="0"/>
          <w:caps w:val="0"/>
          <w:color w:val="333333"/>
          <w:spacing w:val="0"/>
          <w:sz w:val="32"/>
          <w:szCs w:val="32"/>
          <w:shd w:val="clear" w:fill="FFFFFF"/>
          <w:lang w:val="en-US" w:eastAsia="zh-CN"/>
        </w:rPr>
        <w:t>6</w:t>
      </w:r>
      <w:r>
        <w:rPr>
          <w:rFonts w:hint="eastAsia" w:ascii="Times New Roman" w:hAnsi="Times New Roman" w:eastAsia="方正仿宋_GBK" w:cs="Times New Roman"/>
          <w:i w:val="0"/>
          <w:iCs w:val="0"/>
          <w:caps w:val="0"/>
          <w:color w:val="333333"/>
          <w:spacing w:val="0"/>
          <w:sz w:val="32"/>
          <w:szCs w:val="32"/>
          <w:shd w:val="clear" w:fill="FFFFFF"/>
        </w:rPr>
        <w:t>年本单位无</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eastAsia" w:ascii="Times New Roman" w:hAnsi="Times New Roman" w:eastAsia="方正仿宋_GBK" w:cs="Times New Roman"/>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lang w:val="en-US" w:eastAsia="zh-CN"/>
        </w:rPr>
      </w:pPr>
      <w:r>
        <w:rPr>
          <w:rFonts w:hint="default" w:ascii="方正黑体_GBK" w:hAnsi="方正黑体_GBK" w:eastAsia="方正黑体_GBK" w:cs="方正黑体_GBK"/>
          <w:i w:val="0"/>
          <w:iCs w:val="0"/>
          <w:caps w:val="0"/>
          <w:color w:val="333333"/>
          <w:spacing w:val="0"/>
          <w:sz w:val="32"/>
          <w:szCs w:val="32"/>
          <w:shd w:val="clear" w:fill="FFFFFF"/>
        </w:rPr>
        <w:t>五、</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2026年财政主要工作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（一）聚焦增收固本，持续夯实财政保障基础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做强产业财源。立足镇域资源禀赋与区位优势，狠抓招商引资、项目建设和市场主体培育，推动特色产业提质增效，不断壮大骨干税源、挖掘新增税源，筑牢财政增收根基。二是抓实收入征管。加强与税务部门协同联动，强化重点行业、重点企业税源监测与分析研判，严格依法征管、应收尽收，健全收入推进机制，确保圆满完成年度收入目标任务。三是积极向上争资。紧盯上级政策导向和资金投向，精准谋划包装项目，主动对接汇报，全力争取上级转移支付、专项补助和项目资金，切实增强镇域财政保障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（二）从严管控提效，不断规范财政运行管理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一是强化预算刚性约束。严格执行预算编制、执行、监督全流程管理，规范资金审批拨付程序，加强国有资产监管，坚决杜绝无预算、超预算、超标准支出。二是坚持厉行节约。牢固树立 “过紧日子” 思想，从严控制一般性支出和 “三公” 经费，优化支出结构，集中财力保障重点工作、重点项目落地见效。三是深化绩效管理。推进预算与绩效深度融合，健全事前评估、事中监控、事后评价闭环管理机制，强化绩效结果运用，切实提高财政资金使用效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Calibri" w:hAnsi="Calibri" w:cs="Calibri"/>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w:t>
      </w:r>
      <w:bookmarkStart w:id="0" w:name="_GoBack"/>
      <w:bookmarkEnd w:id="0"/>
      <w:r>
        <w:rPr>
          <w:rFonts w:hint="eastAsia" w:ascii="Times New Roman" w:hAnsi="Times New Roman" w:eastAsia="方正仿宋_GBK" w:cs="Times New Roman"/>
          <w:i w:val="0"/>
          <w:iCs w:val="0"/>
          <w:caps w:val="0"/>
          <w:color w:val="333333"/>
          <w:spacing w:val="0"/>
          <w:sz w:val="32"/>
          <w:szCs w:val="32"/>
          <w:shd w:val="clear" w:fill="FFFFFF"/>
        </w:rPr>
        <w:t>门取得的财政拨款，包括一般公共预算财政拨款和政府性基金预算财政拨款。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lang w:eastAsia="zh-CN"/>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r>
        <w:rPr>
          <w:rFonts w:hint="eastAsia" w:ascii="方正仿宋_GBK" w:hAnsi="方正仿宋_GBK" w:eastAsia="方正仿宋_GBK" w:cs="方正仿宋_GBK"/>
          <w:i w:val="0"/>
          <w:iCs w:val="0"/>
          <w:caps w:val="0"/>
          <w:color w:val="333333"/>
          <w:spacing w:val="0"/>
          <w:sz w:val="31"/>
          <w:szCs w:val="31"/>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lang w:eastAsia="zh-CN"/>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lang w:eastAsia="zh-CN"/>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（五）</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三公</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098" w:right="1474" w:bottom="198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F7B84"/>
    <w:rsid w:val="0BF46BA5"/>
    <w:rsid w:val="0F7803CA"/>
    <w:rsid w:val="27FF1A7E"/>
    <w:rsid w:val="36E96793"/>
    <w:rsid w:val="38DF7B84"/>
    <w:rsid w:val="C7CF6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1579</Words>
  <Characters>1661</Characters>
  <Lines>0</Lines>
  <Paragraphs>0</Paragraphs>
  <TotalTime>7</TotalTime>
  <ScaleCrop>false</ScaleCrop>
  <LinksUpToDate>false</LinksUpToDate>
  <CharactersWithSpaces>1678</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2025-05-07T10:12:00Z</dcterms:created>
  <dc:creator>胥俊龙</dc:creator>
  <cp:lastModifiedBy>ckuos</cp:lastModifiedBy>
  <dcterms:modified xsi:type="dcterms:W3CDTF">2026-03-06T13:19:11Z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4A4E37D81D07416C86D6256A82594C98_11</vt:lpwstr>
  </property>
  <property fmtid="{D5CDD505-2E9C-101B-9397-08002B2CF9AE}" pid="4" name="KSOTemplateDocerSaveRecord">
    <vt:lpwstr>eyJoZGlkIjoiZjdkMTJmM2I4ZjRmYzNmYmI3M2NlY2UyZmYzZWE2NzAiLCJ1c2VySWQiOiI4OTQ4NDczNzgifQ==</vt:lpwstr>
  </property>
</Properties>
</file>