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spacing w:line="560"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val="en-US" w:eastAsia="zh-CN"/>
        </w:rPr>
        <w:t>高观镇产业发展服务中心</w:t>
      </w:r>
      <w:r>
        <w:rPr>
          <w:rFonts w:hint="eastAsia" w:ascii="Times New Roman" w:hAnsi="Times New Roman" w:eastAsia="方正小标宋_GBK" w:cs="Times New Roman"/>
          <w:sz w:val="44"/>
          <w:szCs w:val="44"/>
          <w:lang w:eastAsia="zh-CN"/>
        </w:rPr>
        <w:t>2026</w:t>
      </w:r>
      <w:r>
        <w:rPr>
          <w:rFonts w:hint="default" w:ascii="Times New Roman" w:hAnsi="Times New Roman" w:eastAsia="方正小标宋_GBK" w:cs="Times New Roman"/>
          <w:sz w:val="44"/>
          <w:szCs w:val="44"/>
          <w:lang w:eastAsia="zh-CN"/>
        </w:rPr>
        <w:t>年</w:t>
      </w:r>
    </w:p>
    <w:p>
      <w:pPr>
        <w:spacing w:line="560" w:lineRule="exact"/>
        <w:jc w:val="center"/>
        <w:rPr>
          <w:rFonts w:hint="eastAsia" w:eastAsia="方正小标宋_GBK"/>
          <w:sz w:val="44"/>
          <w:szCs w:val="44"/>
          <w:lang w:eastAsia="zh-CN"/>
        </w:rPr>
      </w:pPr>
      <w:r>
        <w:rPr>
          <w:rFonts w:hint="default" w:ascii="Times New Roman" w:hAnsi="Times New Roman" w:eastAsia="方正小标宋_GBK" w:cs="Times New Roman"/>
          <w:sz w:val="44"/>
          <w:szCs w:val="44"/>
          <w:lang w:eastAsia="zh-CN"/>
        </w:rPr>
        <w:t>部门预算情况说明</w:t>
      </w:r>
    </w:p>
    <w:p>
      <w:pPr>
        <w:spacing w:line="560" w:lineRule="exact"/>
        <w:jc w:val="center"/>
        <w:rPr>
          <w:rFonts w:hint="eastAsia" w:eastAsia="方正小标宋_GBK"/>
          <w:sz w:val="44"/>
          <w:szCs w:val="44"/>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default"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 xml:space="preserve">贯彻执行党和国家方针政策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 xml:space="preserve">贯彻落实党的路线、方针、政策和上级党委、政府的决策部署。依法履行基层政府职能，组织实施辖区内经济社会发展规划。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）推动经济社会发展</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）提供公共服务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加强社会治安综合治理，化解矛盾纠纷，维护群众合法权益。落实安全生产监管责任，防范重大安全事故。开展法治宣传教育，推进平安乡镇建设。 </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指导村（社区）依法开展自治活动，提升基层治理能力。加强村（社区）干部队伍建设，完善村级组织运行机制。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（一）收入预算：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122.6</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122.6</w:t>
      </w:r>
      <w:r>
        <w:rPr>
          <w:rFonts w:hint="eastAsia" w:ascii="Times New Roman" w:hAnsi="Times New Roman" w:eastAsia="方正仿宋_GBK" w:cs="Times New Roman"/>
          <w:i w:val="0"/>
          <w:iCs w:val="0"/>
          <w:caps w:val="0"/>
          <w:color w:val="333333"/>
          <w:spacing w:val="0"/>
          <w:sz w:val="32"/>
          <w:szCs w:val="32"/>
          <w:shd w:val="clear" w:fill="FFFFFF"/>
        </w:rPr>
        <w:t>万元，政府性基金预算拨款</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万元，国有资本经营预算收入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万元，事业单位经营收入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万元，其他收入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（二）支出预算：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122.6</w:t>
      </w:r>
      <w:r>
        <w:rPr>
          <w:rFonts w:hint="eastAsia" w:ascii="Times New Roman" w:hAnsi="Times New Roman" w:eastAsia="方正仿宋_GBK" w:cs="Times New Roman"/>
          <w:i w:val="0"/>
          <w:iCs w:val="0"/>
          <w:caps w:val="0"/>
          <w:color w:val="333333"/>
          <w:spacing w:val="0"/>
          <w:sz w:val="32"/>
          <w:szCs w:val="32"/>
          <w:shd w:val="clear" w:fill="FFFFFF"/>
        </w:rPr>
        <w:t>万元，其中一般公共服务支出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0.52</w:t>
      </w:r>
      <w:r>
        <w:rPr>
          <w:rFonts w:hint="eastAsia" w:ascii="Times New Roman" w:hAnsi="Times New Roman" w:eastAsia="方正仿宋_GBK" w:cs="Times New Roman"/>
          <w:i w:val="0"/>
          <w:iCs w:val="0"/>
          <w:caps w:val="0"/>
          <w:color w:val="333333"/>
          <w:spacing w:val="0"/>
          <w:sz w:val="32"/>
          <w:szCs w:val="32"/>
          <w:shd w:val="clear" w:fill="FFFFFF"/>
        </w:rPr>
        <w:t>万元；社会保障和就业支出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15.54</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4.81</w:t>
      </w:r>
      <w:r>
        <w:rPr>
          <w:rFonts w:hint="eastAsia" w:ascii="Times New Roman" w:hAnsi="Times New Roman" w:eastAsia="方正仿宋_GBK" w:cs="Times New Roman"/>
          <w:i w:val="0"/>
          <w:iCs w:val="0"/>
          <w:caps w:val="0"/>
          <w:color w:val="333333"/>
          <w:spacing w:val="0"/>
          <w:sz w:val="32"/>
          <w:szCs w:val="32"/>
          <w:shd w:val="clear" w:fill="FFFFFF"/>
        </w:rPr>
        <w:t>万元；</w:t>
      </w:r>
      <w:r>
        <w:rPr>
          <w:rFonts w:hint="eastAsia" w:ascii="Times New Roman" w:hAnsi="Times New Roman" w:eastAsia="方正仿宋_GBK" w:cs="Times New Roman"/>
          <w:i w:val="0"/>
          <w:iCs w:val="0"/>
          <w:caps w:val="0"/>
          <w:color w:val="333333"/>
          <w:spacing w:val="0"/>
          <w:sz w:val="32"/>
          <w:szCs w:val="32"/>
          <w:shd w:val="clear" w:fill="FFFFFF"/>
          <w:lang w:val="en-US" w:eastAsia="zh-CN"/>
        </w:rPr>
        <w:t>农林水支出96.11万元；</w:t>
      </w:r>
      <w:r>
        <w:rPr>
          <w:rFonts w:hint="eastAsia" w:ascii="Times New Roman" w:hAnsi="Times New Roman" w:eastAsia="方正仿宋_GBK" w:cs="Times New Roman"/>
          <w:i w:val="0"/>
          <w:iCs w:val="0"/>
          <w:caps w:val="0"/>
          <w:color w:val="333333"/>
          <w:spacing w:val="0"/>
          <w:sz w:val="32"/>
          <w:szCs w:val="32"/>
          <w:shd w:val="clear" w:fill="FFFFFF"/>
        </w:rPr>
        <w:t>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5.61</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val="en-US"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122.6</w:t>
      </w:r>
      <w:r>
        <w:rPr>
          <w:rFonts w:hint="eastAsia" w:ascii="Times New Roman" w:hAnsi="Times New Roman" w:eastAsia="方正仿宋_GBK" w:cs="Times New Roman"/>
          <w:i w:val="0"/>
          <w:iCs w:val="0"/>
          <w:caps w:val="0"/>
          <w:color w:val="333333"/>
          <w:spacing w:val="0"/>
          <w:sz w:val="32"/>
          <w:szCs w:val="32"/>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122.6</w:t>
      </w:r>
      <w:r>
        <w:rPr>
          <w:rFonts w:hint="eastAsia" w:ascii="Times New Roman" w:hAnsi="Times New Roman" w:eastAsia="方正仿宋_GBK" w:cs="Times New Roman"/>
          <w:i w:val="0"/>
          <w:iCs w:val="0"/>
          <w:caps w:val="0"/>
          <w:color w:val="333333"/>
          <w:spacing w:val="0"/>
          <w:sz w:val="32"/>
          <w:szCs w:val="32"/>
          <w:shd w:val="clear" w:fill="FFFFFF"/>
        </w:rPr>
        <w:t>万元</w:t>
      </w:r>
      <w:r>
        <w:rPr>
          <w:rFonts w:hint="eastAsia" w:ascii="Times New Roman" w:hAnsi="Times New Roman" w:eastAsia="方正仿宋_GBK" w:cs="Times New Roman"/>
          <w:i w:val="0"/>
          <w:iCs w:val="0"/>
          <w:caps w:val="0"/>
          <w:color w:val="333333"/>
          <w:spacing w:val="0"/>
          <w:sz w:val="32"/>
          <w:szCs w:val="32"/>
          <w:shd w:val="clear" w:fill="FFFFFF"/>
          <w:lang w:eastAsia="zh-CN"/>
        </w:rPr>
        <w:t>。</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年本单位无政府性基金预算。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四、</w:t>
      </w:r>
      <w:r>
        <w:rPr>
          <w:rFonts w:hint="default" w:ascii="Times New Roman" w:hAnsi="Times New Roman" w:cs="Times New Roman"/>
          <w:i w:val="0"/>
          <w:iCs w:val="0"/>
          <w:caps w:val="0"/>
          <w:color w:val="333333"/>
          <w:spacing w:val="0"/>
          <w:sz w:val="32"/>
          <w:szCs w:val="32"/>
          <w:shd w:val="clear" w:fill="FFFFFF"/>
        </w:rPr>
        <w:t>“</w:t>
      </w:r>
      <w:r>
        <w:rPr>
          <w:rFonts w:hint="default" w:ascii="方正黑体_GBK" w:hAnsi="方正黑体_GBK" w:eastAsia="方正黑体_GBK" w:cs="方正黑体_GBK"/>
          <w:i w:val="0"/>
          <w:iCs w:val="0"/>
          <w:caps w:val="0"/>
          <w:color w:val="333333"/>
          <w:spacing w:val="0"/>
          <w:sz w:val="32"/>
          <w:szCs w:val="32"/>
          <w:shd w:val="clear" w:fill="FFFFFF"/>
        </w:rPr>
        <w:t>三公</w:t>
      </w:r>
      <w:r>
        <w:rPr>
          <w:rFonts w:hint="default" w:ascii="Times New Roman" w:hAnsi="Times New Roman" w:cs="Times New Roman"/>
          <w:i w:val="0"/>
          <w:iCs w:val="0"/>
          <w:caps w:val="0"/>
          <w:color w:val="333333"/>
          <w:spacing w:val="0"/>
          <w:sz w:val="32"/>
          <w:szCs w:val="32"/>
          <w:shd w:val="clear" w:fill="FFFFFF"/>
        </w:rPr>
        <w:t>”</w:t>
      </w:r>
      <w:r>
        <w:rPr>
          <w:rFonts w:hint="default" w:ascii="方正黑体_GBK" w:hAnsi="方正黑体_GBK" w:eastAsia="方正黑体_GBK" w:cs="方正黑体_GBK"/>
          <w:i w:val="0"/>
          <w:iCs w:val="0"/>
          <w:caps w:val="0"/>
          <w:color w:val="333333"/>
          <w:spacing w:val="0"/>
          <w:sz w:val="32"/>
          <w:szCs w:val="32"/>
          <w:shd w:val="clear" w:fill="FFFFFF"/>
        </w:rPr>
        <w:t>经费情况说明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default" w:ascii="Times New Roman" w:hAnsi="Times New Roman" w:eastAsia="方正仿宋_GBK" w:cs="Times New Roman"/>
          <w:i w:val="0"/>
          <w:iCs w:val="0"/>
          <w:caps w:val="0"/>
          <w:color w:val="333333"/>
          <w:spacing w:val="0"/>
          <w:sz w:val="32"/>
          <w:szCs w:val="32"/>
          <w:shd w:val="clear" w:fill="FFFFFF"/>
        </w:rPr>
        <w:t>202</w:t>
      </w:r>
      <w:r>
        <w:rPr>
          <w:rFonts w:hint="eastAsia" w:ascii="Times New Roman" w:hAnsi="Times New Roman" w:eastAsia="方正仿宋_GBK" w:cs="Times New Roman"/>
          <w:i w:val="0"/>
          <w:iCs w:val="0"/>
          <w:caps w:val="0"/>
          <w:color w:val="333333"/>
          <w:spacing w:val="0"/>
          <w:sz w:val="32"/>
          <w:szCs w:val="32"/>
          <w:shd w:val="clear" w:fill="FFFFFF"/>
          <w:lang w:val="en-US" w:eastAsia="zh-CN"/>
        </w:rPr>
        <w:t>6</w:t>
      </w:r>
      <w:r>
        <w:rPr>
          <w:rFonts w:hint="eastAsia" w:ascii="Times New Roman" w:hAnsi="Times New Roman" w:eastAsia="方正仿宋_GBK" w:cs="Times New Roman"/>
          <w:i w:val="0"/>
          <w:iCs w:val="0"/>
          <w:caps w:val="0"/>
          <w:color w:val="333333"/>
          <w:spacing w:val="0"/>
          <w:sz w:val="32"/>
          <w:szCs w:val="32"/>
          <w:shd w:val="clear" w:fill="FFFFFF"/>
        </w:rPr>
        <w:t>年本单位无</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eastAsia" w:ascii="Times New Roman" w:hAnsi="Times New Roman" w:eastAsia="方正仿宋_GBK" w:cs="Times New Roman"/>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lang w:val="en-US" w:eastAsia="zh-CN"/>
        </w:rPr>
      </w:pPr>
      <w:r>
        <w:rPr>
          <w:rFonts w:hint="default" w:ascii="方正黑体_GBK" w:hAnsi="方正黑体_GBK" w:eastAsia="方正黑体_GBK" w:cs="方正黑体_GBK"/>
          <w:i w:val="0"/>
          <w:iCs w:val="0"/>
          <w:caps w:val="0"/>
          <w:color w:val="333333"/>
          <w:spacing w:val="0"/>
          <w:sz w:val="32"/>
          <w:szCs w:val="32"/>
          <w:shd w:val="clear" w:fill="FFFFFF"/>
        </w:rPr>
        <w:t>五、</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2026年财政主要工作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（一）聚焦增收固本，持续夯实财政保障基础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做强产业财源。立足镇域资源禀赋与区位优势，狠抓招商引资、项目建设和市场主体培育，推动特色产业提质增效，不断壮大骨干税源、挖掘新增税源，筑牢财政增收根基。二是抓实收入征管。加强与税务部门协同联动，强化重点行业、重点企业税源监测与分析研判，严格依法征管、应收尽收，健全收入推进机制，确保圆满完成年度收入目标任务。三是积极向上争资。紧盯上级政策导向和资金投向，精准谋划包装项目，主动对接汇报，全力争取上级转移支付、专项补助和项目资金，切实增强镇域财政保障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（二）从严管控提效，不断规范财政运行管理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一是强化预算刚性约束。严格执行预算编制、执行、监督全流程管理，规范资金审批拨付程序，加强国有资产监管，坚决杜绝无预算、超预算、超标准支出。二是坚持厉行节约。牢固树立 “过紧日子” 思想，从严控制一般性支出和 “三公” 经费，优化支出结构，集中财力保障重点工作、重点项目落地见效。三是深化绩效管理。推进预算与绩效深度融合，健全事前评估、事中监控、事后评价闭环管理机制，强化绩效结果运用，切实提高财政资金使用效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lang w:eastAsia="zh-CN"/>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（五）</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三公</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C345E"/>
    <w:rsid w:val="314E3878"/>
    <w:rsid w:val="3AC84793"/>
    <w:rsid w:val="440D548E"/>
    <w:rsid w:val="476F3AA1"/>
    <w:rsid w:val="55A20D01"/>
    <w:rsid w:val="640C3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1590</Words>
  <Characters>1682</Characters>
  <Lines>0</Lines>
  <Paragraphs>0</Paragraphs>
  <TotalTime>0</TotalTime>
  <ScaleCrop>false</ScaleCrop>
  <LinksUpToDate>false</LinksUpToDate>
  <CharactersWithSpaces>1701</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2025-05-07T10:02:00Z</dcterms:created>
  <dc:creator>胥俊龙</dc:creator>
  <cp:lastModifiedBy>ckuos</cp:lastModifiedBy>
  <dcterms:modified xsi:type="dcterms:W3CDTF">2026-03-06T13:19:55Z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B649F488857F4F28A8771E9F3242AD29_11</vt:lpwstr>
  </property>
  <property fmtid="{D5CDD505-2E9C-101B-9397-08002B2CF9AE}" pid="4" name="KSOTemplateDocerSaveRecord">
    <vt:lpwstr>eyJoZGlkIjoiZjdkMTJmM2I4ZjRmYzNmYmI3M2NlY2UyZmYzZWE2NzAiLCJ1c2VySWQiOiI4OTQ4NDczNzgifQ==</vt:lpwstr>
  </property>
</Properties>
</file>