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right" w:leader="dot" w:pos="8400"/>
          <w:tab w:val="right" w:leader="dot" w:pos="861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0"/>
        <w:rPr>
          <w:rStyle w:val="9"/>
          <w:rFonts w:hint="eastAsia" w:ascii="方正小标宋_GBK" w:hAnsi="方正小标宋_GBK" w:eastAsia="方正小标宋_GBK" w:cs="方正小标宋_GBK"/>
          <w:lang w:eastAsia="zh-CN"/>
        </w:rPr>
      </w:pPr>
      <w:r>
        <w:rPr>
          <w:rStyle w:val="9"/>
          <w:rFonts w:hint="eastAsia" w:ascii="方正小标宋_GBK" w:hAnsi="方正小标宋_GBK" w:eastAsia="方正小标宋_GBK" w:cs="方正小标宋_GBK"/>
        </w:rPr>
        <w:t>高观镇20</w:t>
      </w:r>
      <w:r>
        <w:rPr>
          <w:rStyle w:val="9"/>
          <w:rFonts w:hint="eastAsia" w:ascii="方正小标宋_GBK" w:hAnsi="方正小标宋_GBK" w:eastAsia="方正小标宋_GBK" w:cs="方正小标宋_GBK"/>
          <w:lang w:val="en-US" w:eastAsia="zh-CN"/>
        </w:rPr>
        <w:t>2</w:t>
      </w:r>
      <w:r>
        <w:rPr>
          <w:rStyle w:val="9"/>
          <w:rFonts w:hint="eastAsia" w:ascii="方正小标宋_GBK" w:hAnsi="方正小标宋_GBK" w:cs="方正小标宋_GBK"/>
          <w:lang w:val="en-US" w:eastAsia="zh-CN"/>
        </w:rPr>
        <w:t>5</w:t>
      </w:r>
      <w:r>
        <w:rPr>
          <w:rStyle w:val="9"/>
          <w:rFonts w:hint="eastAsia" w:ascii="方正小标宋_GBK" w:hAnsi="方正小标宋_GBK" w:eastAsia="方正小标宋_GBK" w:cs="方正小标宋_GBK"/>
          <w:lang w:val="en-US" w:eastAsia="zh-CN"/>
        </w:rPr>
        <w:t>年</w:t>
      </w:r>
      <w:r>
        <w:rPr>
          <w:rStyle w:val="9"/>
          <w:rFonts w:hint="eastAsia" w:ascii="方正小标宋_GBK" w:hAnsi="方正小标宋_GBK" w:eastAsia="方正小标宋_GBK" w:cs="方正小标宋_GBK"/>
        </w:rPr>
        <w:t>财政预算执行情况</w:t>
      </w:r>
      <w:r>
        <w:rPr>
          <w:rStyle w:val="9"/>
          <w:rFonts w:hint="eastAsia" w:ascii="方正小标宋_GBK" w:hAnsi="方正小标宋_GBK" w:cs="方正小标宋_GBK"/>
          <w:lang w:val="en-US" w:eastAsia="zh-CN"/>
        </w:rPr>
        <w:t>与</w:t>
      </w:r>
      <w:r>
        <w:rPr>
          <w:rStyle w:val="9"/>
          <w:rFonts w:hint="eastAsia" w:ascii="方正小标宋_GBK" w:hAnsi="方正小标宋_GBK" w:eastAsia="方正小标宋_GBK" w:cs="方正小标宋_GBK"/>
        </w:rPr>
        <w:t>20</w:t>
      </w:r>
      <w:r>
        <w:rPr>
          <w:rStyle w:val="9"/>
          <w:rFonts w:hint="eastAsia" w:ascii="方正小标宋_GBK" w:hAnsi="方正小标宋_GBK" w:eastAsia="方正小标宋_GBK" w:cs="方正小标宋_GBK"/>
          <w:lang w:val="en-US" w:eastAsia="zh-CN"/>
        </w:rPr>
        <w:t>2</w:t>
      </w:r>
      <w:r>
        <w:rPr>
          <w:rStyle w:val="9"/>
          <w:rFonts w:hint="eastAsia" w:ascii="方正小标宋_GBK" w:hAnsi="方正小标宋_GBK" w:cs="方正小标宋_GBK"/>
          <w:lang w:val="en-US" w:eastAsia="zh-CN"/>
        </w:rPr>
        <w:t>6</w:t>
      </w:r>
      <w:r>
        <w:rPr>
          <w:rStyle w:val="9"/>
          <w:rFonts w:hint="eastAsia" w:ascii="方正小标宋_GBK" w:hAnsi="方正小标宋_GBK" w:eastAsia="方正小标宋_GBK" w:cs="方正小标宋_GBK"/>
        </w:rPr>
        <w:t>年财政预算</w:t>
      </w:r>
      <w:r>
        <w:rPr>
          <w:rStyle w:val="9"/>
          <w:rFonts w:hint="eastAsia" w:ascii="方正小标宋_GBK" w:hAnsi="方正小标宋_GBK" w:cs="方正小标宋_GBK"/>
          <w:lang w:val="en-US" w:eastAsia="zh-CN"/>
        </w:rPr>
        <w:t>草案</w:t>
      </w:r>
      <w:r>
        <w:rPr>
          <w:rStyle w:val="9"/>
          <w:rFonts w:hint="eastAsia" w:ascii="方正小标宋_GBK" w:hAnsi="方正小标宋_GBK" w:eastAsia="方正小标宋_GBK" w:cs="方正小标宋_GBK"/>
        </w:rPr>
        <w:t>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——在高观镇十九届人民代表大会第</w:t>
      </w:r>
      <w:r>
        <w:rPr>
          <w:rFonts w:hint="eastAsia" w:eastAsia="方正楷体_GBK" w:cs="Times New Roman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次会议上</w:t>
      </w:r>
    </w:p>
    <w:p>
      <w:pPr>
        <w:pStyle w:val="4"/>
        <w:pageBreakBefore w:val="0"/>
        <w:kinsoku/>
        <w:wordWrap/>
        <w:topLinePunct w:val="0"/>
        <w:bidi w:val="0"/>
        <w:spacing w:line="560" w:lineRule="exact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（202</w:t>
      </w:r>
      <w:r>
        <w:rPr>
          <w:rFonts w:hint="eastAsia" w:eastAsia="方正楷体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年</w:t>
      </w:r>
      <w:r>
        <w:rPr>
          <w:rFonts w:hint="eastAsia" w:eastAsia="方正楷体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月</w:t>
      </w:r>
      <w:r>
        <w:rPr>
          <w:rFonts w:hint="eastAsia" w:eastAsia="方正楷体_GBK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日）</w:t>
      </w:r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bidi w:val="0"/>
        <w:spacing w:line="560" w:lineRule="exac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各位代表：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受镇人民政府委托，现将</w:t>
      </w:r>
      <w:r>
        <w:rPr>
          <w:rFonts w:hint="eastAsia" w:eastAsia="方正仿宋_GBK" w:cs="Times New Roman"/>
          <w:color w:val="00000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高观镇20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年财政预算执行情况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年预算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草案的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报告</w:t>
      </w:r>
      <w:r>
        <w:rPr>
          <w:rFonts w:hint="eastAsia" w:eastAsia="方正仿宋_GBK" w:cs="Times New Roman"/>
          <w:color w:val="00000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提请大会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审查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，并请各位代表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和列席人员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提出意见。</w:t>
      </w:r>
    </w:p>
    <w:p>
      <w:pPr>
        <w:pageBreakBefore w:val="0"/>
        <w:kinsoku/>
        <w:wordWrap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outlineLvl w:val="0"/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</w:rPr>
      </w:pPr>
      <w:bookmarkStart w:id="0" w:name="_Toc4989"/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</w:rPr>
        <w:t>一、20</w:t>
      </w:r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黑体_GBK" w:cs="Times New Roman"/>
          <w:b w:val="0"/>
          <w:bCs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</w:rPr>
        <w:t>年预算执行情况</w:t>
      </w:r>
      <w:bookmarkEnd w:id="0"/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全镇完成财政总收入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3341.51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万元，一般公共预算收入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2870.21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万元（其中年初预算为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1003.87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万元，调整预算为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1866.34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万元），政府性基金预算收入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471.3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镇财政支出累计完成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3341.51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万元，（其中，一般公共预算支出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2870.21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万元，政府性基金预算支出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471.3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万元）。</w:t>
      </w:r>
    </w:p>
    <w:p>
      <w:pPr>
        <w:pageBreakBefore w:val="0"/>
        <w:kinsoku/>
        <w:wordWrap/>
        <w:topLinePunct w:val="0"/>
        <w:bidi w:val="0"/>
        <w:spacing w:line="560" w:lineRule="exact"/>
        <w:ind w:left="643"/>
        <w:rPr>
          <w:rFonts w:hint="eastAsia" w:ascii="Times New Roman" w:hAnsi="Times New Roman" w:eastAsia="方正楷体_GBK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000000"/>
          <w:sz w:val="32"/>
          <w:szCs w:val="32"/>
        </w:rPr>
        <w:t>（一）一般公共预算执行情况</w:t>
      </w:r>
      <w:r>
        <w:rPr>
          <w:rFonts w:hint="eastAsia" w:eastAsia="方正楷体_GBK" w:cs="Times New Roman"/>
          <w:b w:val="0"/>
          <w:bCs/>
          <w:color w:val="000000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left="643"/>
        <w:rPr>
          <w:rFonts w:hint="eastAsia" w:ascii="Times New Roman" w:hAnsi="Times New Roman" w:eastAsia="方正仿宋_GBK" w:cs="Times New Roman"/>
          <w:b/>
          <w:color w:val="000000"/>
          <w:sz w:val="32"/>
          <w:szCs w:val="32"/>
          <w:lang w:eastAsia="zh-CN"/>
        </w:rPr>
      </w:pPr>
      <w:bookmarkStart w:id="1" w:name="OLE_LINK1"/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1.收入项目执行情况</w:t>
      </w:r>
      <w:bookmarkEnd w:id="1"/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20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年镇级一般公共预算安排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2870.21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万元，（其中，年初预算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1003.87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调整预算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1866.34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万元）。 </w:t>
      </w:r>
    </w:p>
    <w:p>
      <w:pPr>
        <w:pageBreakBefore w:val="0"/>
        <w:kinsoku/>
        <w:wordWrap/>
        <w:topLinePunct w:val="0"/>
        <w:bidi w:val="0"/>
        <w:spacing w:line="560" w:lineRule="exact"/>
        <w:ind w:left="643"/>
        <w:rPr>
          <w:rFonts w:hint="eastAsia" w:ascii="Times New Roman" w:hAnsi="Times New Roman" w:eastAsia="方正仿宋_GBK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2.支出执行情况</w:t>
      </w:r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截止20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年12月，镇一般公共预算支出实现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2870.21</w:t>
      </w:r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万元，具体如下：</w:t>
      </w:r>
    </w:p>
    <w:p>
      <w:pPr>
        <w:pageBreakBefore w:val="0"/>
        <w:kinsoku/>
        <w:wordWrap/>
        <w:topLinePunct w:val="0"/>
        <w:autoSpaceDE w:val="0"/>
        <w:autoSpaceDN w:val="0"/>
        <w:bidi w:val="0"/>
        <w:adjustRightInd w:val="0"/>
        <w:spacing w:line="560" w:lineRule="exact"/>
        <w:ind w:firstLine="642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——一般公共服务支出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457.81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主要用于保障镇党政机关、人民团体单位基本支出；兑现干部职工基本工资提标，全额保障镇属财政供养人员津补贴、绩效考核奖和健康休养费发放。</w:t>
      </w:r>
    </w:p>
    <w:p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2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——文化体育与传媒支出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4.20万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主要用于我镇文旅宣传相关支出。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2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bookmarkStart w:id="2" w:name="OLE_LINK3"/>
      <w:r>
        <w:rPr>
          <w:rFonts w:hint="default" w:ascii="Times New Roman" w:hAnsi="Times New Roman" w:eastAsia="方正楷体_GBK" w:cs="Times New Roman"/>
          <w:b/>
          <w:color w:val="000000"/>
          <w:sz w:val="32"/>
          <w:szCs w:val="32"/>
        </w:rPr>
        <w:t>——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社会保障和就业支出</w:t>
      </w:r>
      <w:r>
        <w:rPr>
          <w:rFonts w:hint="eastAsia" w:eastAsia="方正楷体_GBK" w:cs="Times New Roman"/>
          <w:b/>
          <w:color w:val="000000"/>
          <w:sz w:val="32"/>
          <w:szCs w:val="32"/>
          <w:lang w:val="en-US" w:eastAsia="zh-CN"/>
        </w:rPr>
        <w:t>135.24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主要用于我镇职工及财政供养人员工资福利支出。及退休人员健康休养费、抚恤金等支出。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2" w:firstLineChars="200"/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卫生健康支出25.38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主要用于镇属行政事业单位职工基本医疗、大病医疗、工伤保险、生育保险等医疗保障缴费</w:t>
      </w: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。</w:t>
      </w:r>
      <w:bookmarkEnd w:id="2"/>
    </w:p>
    <w:p>
      <w:pPr>
        <w:pageBreakBefore w:val="0"/>
        <w:kinsoku/>
        <w:wordWrap/>
        <w:topLinePunct w:val="0"/>
        <w:bidi w:val="0"/>
        <w:spacing w:line="560" w:lineRule="exact"/>
        <w:ind w:firstLine="642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</w:t>
      </w:r>
      <w:r>
        <w:rPr>
          <w:rFonts w:hint="default" w:ascii="Times New Roman" w:hAnsi="Times New Roman" w:eastAsia="方正仿宋_GBK" w:cs="Times New Roman"/>
          <w:b/>
          <w:color w:val="auto"/>
          <w:sz w:val="32"/>
          <w:szCs w:val="32"/>
        </w:rPr>
        <w:t>城乡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社区支出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35.10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主要用于我镇城市建设、城市配套设施建设相关支出。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2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auto"/>
          <w:sz w:val="32"/>
          <w:szCs w:val="32"/>
        </w:rPr>
        <w:t>——农林水支出</w:t>
      </w:r>
      <w:r>
        <w:rPr>
          <w:rFonts w:hint="eastAsia" w:eastAsia="方正仿宋_GBK" w:cs="Times New Roman"/>
          <w:b/>
          <w:color w:val="auto"/>
          <w:sz w:val="32"/>
          <w:szCs w:val="32"/>
          <w:lang w:val="en-US" w:eastAsia="zh-CN"/>
        </w:rPr>
        <w:t>2166.44</w:t>
      </w:r>
      <w:r>
        <w:rPr>
          <w:rFonts w:hint="default" w:ascii="Times New Roman" w:hAnsi="Times New Roman" w:eastAsia="方正仿宋_GBK" w:cs="Times New Roman"/>
          <w:b/>
          <w:color w:val="auto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要用于我镇农业发展相关支出。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——灾害防治及应急管理支出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0.60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主要用于防汛抗旱应急救灾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支出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。</w:t>
      </w:r>
    </w:p>
    <w:p>
      <w:pPr>
        <w:pageBreakBefore w:val="0"/>
        <w:kinsoku/>
        <w:wordWrap/>
        <w:topLinePunct w:val="0"/>
        <w:autoSpaceDE w:val="0"/>
        <w:autoSpaceDN w:val="0"/>
        <w:bidi w:val="0"/>
        <w:adjustRightInd w:val="0"/>
        <w:spacing w:line="560" w:lineRule="exact"/>
        <w:ind w:firstLine="642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——住房保障支出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33.36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主要用于保障镇属干部职工住房公积金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支出。</w:t>
      </w:r>
    </w:p>
    <w:p>
      <w:pPr>
        <w:pageBreakBefore w:val="0"/>
        <w:kinsoku/>
        <w:wordWrap/>
        <w:topLinePunct w:val="0"/>
        <w:bidi w:val="0"/>
        <w:spacing w:line="560" w:lineRule="exact"/>
        <w:ind w:left="643"/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</w:rPr>
        <w:t>（二）政府性基金预算执行情况</w:t>
      </w:r>
      <w:r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left="643"/>
        <w:rPr>
          <w:rFonts w:hint="eastAsia" w:ascii="Times New Roman" w:hAnsi="Times New Roman" w:eastAsia="方正仿宋_GBK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1.收入项目执行情况</w:t>
      </w:r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20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年镇级政府性基金预算安排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471.3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元，（其中，年初预算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万元，追加预算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471.3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万元）。 </w:t>
      </w:r>
    </w:p>
    <w:p>
      <w:pPr>
        <w:pageBreakBefore w:val="0"/>
        <w:kinsoku/>
        <w:wordWrap/>
        <w:topLinePunct w:val="0"/>
        <w:bidi w:val="0"/>
        <w:spacing w:line="560" w:lineRule="exact"/>
        <w:ind w:left="643"/>
        <w:rPr>
          <w:rFonts w:hint="eastAsia" w:ascii="Times New Roman" w:hAnsi="Times New Roman" w:eastAsia="方正仿宋_GBK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2.支出执行情况</w:t>
      </w:r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截止20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年12月，镇级政府性基金预算支出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471.3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万元，完成预算的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%，具体如下：</w:t>
      </w:r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ind w:firstLine="642" w:firstLineChars="200"/>
        <w:jc w:val="left"/>
        <w:rPr>
          <w:rFonts w:hint="default" w:eastAsia="方正仿宋_GBK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用于巩固脱贫攻坚成果衔接乡村振兴的彩票公益金支出94.42万元。</w:t>
      </w:r>
    </w:p>
    <w:p>
      <w:pPr>
        <w:pageBreakBefore w:val="0"/>
        <w:kinsoku/>
        <w:wordWrap/>
        <w:topLinePunct w:val="0"/>
        <w:autoSpaceDE w:val="0"/>
        <w:autoSpaceDN w:val="0"/>
        <w:bidi w:val="0"/>
        <w:adjustRightInd w:val="0"/>
        <w:spacing w:line="560" w:lineRule="exact"/>
        <w:ind w:firstLine="642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用于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其他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政府性基金债务收入安排的支出369.88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万元。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从20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年我镇财政收支执行情况看，镇财政认真贯彻新《预算法》，全面落实镇党委决策部署和镇人大决议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决定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，扎实有效推进各项财政工作，有力有效地服务于全镇经济社会发展。主要集中体现在以下3个方面：</w:t>
      </w:r>
    </w:p>
    <w:p>
      <w:pPr>
        <w:pageBreakBefore w:val="0"/>
        <w:widowControl/>
        <w:numPr>
          <w:ilvl w:val="0"/>
          <w:numId w:val="1"/>
        </w:numPr>
        <w:kinsoku/>
        <w:wordWrap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0"/>
          <w:sz w:val="32"/>
          <w:szCs w:val="32"/>
        </w:rPr>
        <w:t>加强收入征管，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sz w:val="32"/>
          <w:szCs w:val="32"/>
        </w:rPr>
        <w:t>为完成全年任务打下坚实的基础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积极应对经济下行压力，按照“稳中求进”的总体思路，争取上级投入，统筹本级支出，加大财政投资，稳定经济增长。</w:t>
      </w:r>
      <w:r>
        <w:rPr>
          <w:rFonts w:hint="default" w:ascii="Times New Roman" w:hAnsi="Times New Roman" w:eastAsia="方正仿宋_GBK" w:cs="Times New Roman"/>
          <w:b/>
          <w:color w:val="000000"/>
          <w:kern w:val="0"/>
          <w:sz w:val="32"/>
          <w:szCs w:val="32"/>
        </w:rPr>
        <w:t>一是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加强财税收入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组织的预测和分析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。强化经济形势分析，全面收集镇域内基本建设、产业发展等财经数据，及时了解影响收入增减的各种因素，加强收入征管，增强组织收入的预见性和针对性，掌握主动权。</w:t>
      </w:r>
      <w:r>
        <w:rPr>
          <w:rFonts w:hint="default" w:ascii="Times New Roman" w:hAnsi="Times New Roman" w:eastAsia="方正仿宋_GBK" w:cs="Times New Roman"/>
          <w:b/>
          <w:color w:val="000000"/>
          <w:kern w:val="0"/>
          <w:sz w:val="32"/>
          <w:szCs w:val="32"/>
        </w:rPr>
        <w:t>二是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强化重点税源监管。结合本镇实际，抓好重大基建项目等重点税源监管工作，完善征管措施，堵塞征管漏洞，严格依法征收，确保应收尽收。</w:t>
      </w:r>
      <w:r>
        <w:rPr>
          <w:rFonts w:hint="default" w:ascii="Times New Roman" w:hAnsi="Times New Roman" w:eastAsia="方正仿宋_GBK" w:cs="Times New Roman"/>
          <w:b/>
          <w:color w:val="000000"/>
          <w:kern w:val="0"/>
          <w:sz w:val="32"/>
          <w:szCs w:val="32"/>
        </w:rPr>
        <w:t>三是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多渠道挖掘增收潜力。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在保障资金安全的前提下，加快项目资金调度</w:t>
      </w:r>
      <w:r>
        <w:rPr>
          <w:rFonts w:hint="eastAsia" w:eastAsia="方正仿宋_GBK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督促相关单位加快财政支出报账进度，确保项目资金尽快发挥效益，促进财政收入入库。坚持“抓大、稳中、盯小”并重的收入征管措施，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在加大税收征管的同时，加强城市建设配套费等非税收入管理，拓宽财政收入渠道。</w:t>
      </w:r>
    </w:p>
    <w:p>
      <w:pPr>
        <w:pageBreakBefore w:val="0"/>
        <w:widowControl/>
        <w:numPr>
          <w:ilvl w:val="0"/>
          <w:numId w:val="0"/>
        </w:numPr>
        <w:kinsoku/>
        <w:wordWrap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eastAsia="方正楷体_GBK" w:cs="Times New Roman"/>
          <w:b w:val="0"/>
          <w:bCs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eastAsia="方正楷体_GBK" w:cs="Times New Roman"/>
          <w:b w:val="0"/>
          <w:bCs/>
          <w:color w:val="000000"/>
          <w:kern w:val="0"/>
          <w:sz w:val="32"/>
          <w:szCs w:val="32"/>
          <w:lang w:val="en-US" w:eastAsia="zh-CN"/>
        </w:rPr>
        <w:t>二</w:t>
      </w:r>
      <w:r>
        <w:rPr>
          <w:rFonts w:hint="eastAsia" w:eastAsia="方正楷体_GBK" w:cs="Times New Roman"/>
          <w:b w:val="0"/>
          <w:bCs/>
          <w:color w:val="000000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0"/>
          <w:sz w:val="32"/>
          <w:szCs w:val="32"/>
        </w:rPr>
        <w:t>提高保障供给能力，确保全镇正常运转。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贯彻执行中央厉行节约规定，严格落实“三公”经费和财政供养人员只减不增，控制一般性开支，停止新建政府性楼堂馆所等规定，在压缩节庆、会议等一般性开支的同时，始终坚持科学发展观，调整优化财政支出结构，统筹兼顾，有保有压，全力保障镇属行政事业单位基本运行和刚性支出需求，兑现社会保障、涉农补贴等民生政策，</w:t>
      </w: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加大投入基础设施建设和产业发展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投入，确保全镇重点工程项目建设有序推进。</w:t>
      </w:r>
    </w:p>
    <w:p>
      <w:pPr>
        <w:pageBreakBefore w:val="0"/>
        <w:widowControl/>
        <w:numPr>
          <w:ilvl w:val="0"/>
          <w:numId w:val="0"/>
        </w:numPr>
        <w:kinsoku/>
        <w:wordWrap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eastAsia="方正楷体_GBK" w:cs="Times New Roman"/>
          <w:b w:val="0"/>
          <w:bCs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eastAsia="方正楷体_GBK" w:cs="Times New Roman"/>
          <w:b w:val="0"/>
          <w:bCs/>
          <w:color w:val="000000"/>
          <w:kern w:val="0"/>
          <w:sz w:val="32"/>
          <w:szCs w:val="32"/>
          <w:lang w:val="en-US" w:eastAsia="zh-CN"/>
        </w:rPr>
        <w:t>三</w:t>
      </w:r>
      <w:r>
        <w:rPr>
          <w:rFonts w:hint="eastAsia" w:eastAsia="方正楷体_GBK" w:cs="Times New Roman"/>
          <w:b w:val="0"/>
          <w:bCs/>
          <w:color w:val="000000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0"/>
          <w:sz w:val="32"/>
          <w:szCs w:val="32"/>
        </w:rPr>
        <w:t>加强预算管理，打造阳光财政。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建立健全财政预算管理规章制度和预算管理与绩效管理相结合、预算编制与预算执行相结合的运行机制，规范工作流程，实现财政事前、事中、事后的全过程监督。</w:t>
      </w:r>
      <w:r>
        <w:rPr>
          <w:rFonts w:hint="default" w:ascii="Times New Roman" w:hAnsi="Times New Roman" w:eastAsia="方正仿宋_GBK" w:cs="Times New Roman"/>
          <w:b/>
          <w:color w:val="000000"/>
          <w:kern w:val="0"/>
          <w:sz w:val="32"/>
          <w:szCs w:val="32"/>
        </w:rPr>
        <w:t>一是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进一步深化预算改革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细化预算项目及内容，保障预算的准确性和完整性；</w:t>
      </w:r>
      <w:r>
        <w:rPr>
          <w:rFonts w:hint="default" w:ascii="Times New Roman" w:hAnsi="Times New Roman" w:eastAsia="方正仿宋_GBK" w:cs="Times New Roman"/>
          <w:b/>
          <w:color w:val="000000"/>
          <w:kern w:val="0"/>
          <w:sz w:val="32"/>
          <w:szCs w:val="32"/>
        </w:rPr>
        <w:t>二是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严格执行预算追加制度，全面加强预算的执行监管，强化预算约束；</w:t>
      </w:r>
      <w:r>
        <w:rPr>
          <w:rFonts w:hint="default" w:ascii="Times New Roman" w:hAnsi="Times New Roman" w:eastAsia="方正仿宋_GBK" w:cs="Times New Roman"/>
          <w:b/>
          <w:color w:val="000000"/>
          <w:kern w:val="0"/>
          <w:sz w:val="32"/>
          <w:szCs w:val="32"/>
        </w:rPr>
        <w:t>三是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加大对所有财政性资金就地就近监管，对财政资金的流动情况按项目建立台账，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加强对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项目类资金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监管。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通过加强预算管理，财政运行的科学性、规范性进一步增强，有力推动了镇域经济社会发展。</w:t>
      </w:r>
    </w:p>
    <w:p>
      <w:pPr>
        <w:pageBreakBefore w:val="0"/>
        <w:widowControl/>
        <w:kinsoku/>
        <w:wordWrap/>
        <w:topLinePunct w:val="0"/>
        <w:bidi w:val="0"/>
        <w:spacing w:line="560" w:lineRule="exact"/>
        <w:ind w:firstLine="63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各位代表！一年来，镇财政工作取得了长足发展，但工作中也还存在许多差距和不足，新常态下财政改革与发展，还面临新的挑战：一是镇级财力总量较小，公共服务需求和民生改善任务繁重，财政支出刚性增长加快，收支矛盾更加突出。二是财政管理离新《预算法》的要求还有差距。日常财政财务管理的时间性、完整性、约束性不强，管理基础比较薄弱，没有达到新《预算法》的法律规定和刚性约束要求。三是内控制度不力，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还存在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资金、资产管理不严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的情况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。对此，镇财政高度重视，将采取务实有效措施，逐步加以解决。</w:t>
      </w:r>
    </w:p>
    <w:p>
      <w:pPr>
        <w:pageBreakBefore w:val="0"/>
        <w:kinsoku/>
        <w:wordWrap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outlineLvl w:val="0"/>
        <w:rPr>
          <w:rFonts w:hint="default" w:ascii="方正黑体_GBK" w:hAnsi="方正黑体_GBK" w:eastAsia="方正黑体_GBK" w:cs="方正黑体_GBK"/>
          <w:b w:val="0"/>
          <w:bCs/>
          <w:color w:val="000000"/>
          <w:sz w:val="32"/>
          <w:szCs w:val="32"/>
          <w:lang w:val="en-US" w:eastAsia="zh-CN"/>
        </w:rPr>
      </w:pPr>
      <w:bookmarkStart w:id="3" w:name="_Toc24632"/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二、202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年财政</w:t>
      </w:r>
      <w:bookmarkEnd w:id="3"/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val="en-US" w:eastAsia="zh-CN"/>
        </w:rPr>
        <w:t>工作安排</w:t>
      </w:r>
    </w:p>
    <w:p>
      <w:pPr>
        <w:pageBreakBefore w:val="0"/>
        <w:widowControl/>
        <w:kinsoku/>
        <w:wordWrap/>
        <w:topLinePunct w:val="0"/>
        <w:bidi w:val="0"/>
        <w:spacing w:line="560" w:lineRule="exact"/>
        <w:ind w:firstLine="63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202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年全镇财政预算安排的总体要求是：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按照上级关于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“深化财税体制改革、建立现代财政制度”的要求，坚持“统筹兼顾、突出重点、有保有压、收支平衡、讲求绩效”的预算编制原则，严格执行“厉行勤俭节约、反对铺张浪费”的政策规定，从严控制“三公”经费等一般性支出，硬化预算约束，加强绩效管理，严肃财经纪律，促进全镇经济社会持续健康发展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eastAsia" w:ascii="Times New Roman" w:hAnsi="Times New Roman" w:eastAsia="方正楷体_GBK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000000"/>
          <w:sz w:val="32"/>
          <w:szCs w:val="32"/>
        </w:rPr>
        <w:t>(一)一般公共预算</w:t>
      </w:r>
      <w:r>
        <w:rPr>
          <w:rFonts w:hint="eastAsia" w:eastAsia="方正楷体_GBK" w:cs="Times New Roman"/>
          <w:b w:val="0"/>
          <w:bCs/>
          <w:color w:val="000000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eastAsia" w:ascii="Times New Roman" w:hAnsi="Times New Roman" w:eastAsia="方正仿宋_GBK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1.一般公共预算收入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一般公共预算收入预计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1372.45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万元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eastAsia" w:ascii="Times New Roman" w:hAnsi="Times New Roman" w:eastAsia="方正仿宋_GBK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2、一般公共预算支出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按照收支平衡、不打赤字原则，安排202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年一般公共预算支出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1372.45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元（该预算为年初预算），调整预算以财政局适时的资金文件为准。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</w:rPr>
        <w:t>安排的全镇一般公共预算支出功能分类列报如下：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一般公共服务支出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612.12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自然资源海洋气象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3.01</w:t>
      </w:r>
      <w:bookmarkStart w:id="4" w:name="_GoBack"/>
      <w:bookmarkEnd w:id="4"/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社会保障和就业支出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143.93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卫生健康支出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48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农林水支出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538.36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住房保障支出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44.85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年，我镇没有编制政府性基金预算、国有资本经营预算和社会保险基金预算，因此，在大会不报告预算收支情况。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eastAsia" w:ascii="Times New Roman" w:hAnsi="Times New Roman" w:eastAsia="方正楷体_GBK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000000"/>
          <w:sz w:val="32"/>
          <w:szCs w:val="32"/>
        </w:rPr>
        <w:t>（二）完成202</w:t>
      </w:r>
      <w:r>
        <w:rPr>
          <w:rFonts w:hint="eastAsia" w:eastAsia="方正楷体_GBK" w:cs="Times New Roman"/>
          <w:b w:val="0"/>
          <w:bCs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sz w:val="32"/>
          <w:szCs w:val="32"/>
        </w:rPr>
        <w:t>年财政预算收支任务的工作措施</w:t>
      </w:r>
      <w:r>
        <w:rPr>
          <w:rFonts w:hint="eastAsia" w:eastAsia="方正楷体_GBK" w:cs="Times New Roman"/>
          <w:b w:val="0"/>
          <w:bCs/>
          <w:color w:val="000000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1.加强财政收入征管，促进财政收入稳定增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长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密切关注国内外宏观经济形势和财税政策动向，关注重点财源变化趋势，妥善处理结构性减税对财政增收的影响。加强分析和预测工作，增强组织财政收入的主动性和预见性。健全完善协税护税和信息共享机制，坚持依法治税，确保应收尽收，努力提升财政收入质量，确保财政收入的全面完成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left"/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加强民生投入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按照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“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坚持底线、突出重点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”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的工作思路，镇将继续压缩一般性支出，切实改善民生，将政策支持和财力保障的重点向民生领域倾斜，保证各项资金落实到位；提高困难群众生活保障水平；落实积极就业政策，支持开展镇劳动力就业培训；推进农村危旧房改造建设，努力改善居民的住房条件；加大财政投入、整合扶贫资金，落实各项财政惠农补贴政策；支持农村基础设施、美丽乡村建设等切实改善农村生产生活环境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left"/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推进预算管理制度改革，提高依法理财水平。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认真贯彻落实新《预算法》，强化年度预算的约束，增强预算的前瞻性和可持续性。加大各类预算统筹力度，加强结转结余管理，对两年以上结转结余资金、年度执行中支出进度较慢和规定时间内不能实现支出的项目，相应调减预算。开展部门拨款结转结余、财政往来款项、债权债务和国有资产专项清理工作，盘活财政存量资金、资源。进一步加大项目资金使用管理，规范基本建设程序，健全政府投资项目预（决）算评审和批复制度。深化政府采购改革，推动政府采购工作规范化、制度化和法制化 。加大财政监督力度。加强财经纪律监督检查，对财政性资金运行实行全过程监督，确保各项财政政策落到实处，切实提高会计信息质量。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left"/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4. 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全力以赴保障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“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三保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”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和重点支出需求。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坚持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“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履行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‘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三保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’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支出责任是基层财政运行的底线，也是公共财政的基本要求，必须放在第一位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”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的底线工作思维。落实好财政预算编制工作，坚持量入为出、收支平衡的原则，规范预算支出管理，坚持先有预算后有支出，强化预算执行约束。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right="0"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各位代表！新一年的财政工作任务艰巨，责任重大。我们将在镇党委的正确领导下，在镇人大的依法监督下，在社会各界的大力支持下，齐心协力，奋发进取，创新工作，圆满完成全年任务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tabs>
          <w:tab w:val="right" w:leader="dot" w:pos="8400"/>
          <w:tab w:val="right" w:leader="dot" w:pos="861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0"/>
        <w:rPr>
          <w:rStyle w:val="9"/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right" w:leader="dot" w:pos="8400"/>
          <w:tab w:val="right" w:leader="dot" w:pos="861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0"/>
        <w:rPr>
          <w:rStyle w:val="9"/>
          <w:rFonts w:hint="default" w:ascii="Times New Roman" w:hAnsi="Times New Roman" w:cs="Times New Roman"/>
          <w:color w:val="FF0000"/>
          <w:lang w:eastAsia="zh-CN"/>
        </w:rPr>
      </w:pPr>
      <w:r>
        <w:rPr>
          <w:rStyle w:val="9"/>
          <w:rFonts w:hint="default" w:ascii="Times New Roman" w:hAnsi="Times New Roman" w:cs="Times New Roman"/>
          <w:lang w:val="en-US" w:eastAsia="zh-CN"/>
        </w:rPr>
        <w:t>高观镇202</w:t>
      </w:r>
      <w:r>
        <w:rPr>
          <w:rStyle w:val="9"/>
          <w:rFonts w:hint="eastAsia" w:cs="Times New Roman"/>
          <w:lang w:val="en-US" w:eastAsia="zh-CN"/>
        </w:rPr>
        <w:t>5</w:t>
      </w:r>
      <w:r>
        <w:rPr>
          <w:rStyle w:val="9"/>
          <w:rFonts w:hint="default" w:ascii="Times New Roman" w:hAnsi="Times New Roman" w:cs="Times New Roman"/>
          <w:lang w:val="en-US" w:eastAsia="zh-CN"/>
        </w:rPr>
        <w:t>年财政预算执行情况</w:t>
      </w:r>
      <w:r>
        <w:rPr>
          <w:rStyle w:val="9"/>
          <w:rFonts w:hint="eastAsia" w:cs="Times New Roman"/>
          <w:lang w:val="en-US" w:eastAsia="zh-CN"/>
        </w:rPr>
        <w:t>与</w:t>
      </w:r>
      <w:r>
        <w:rPr>
          <w:rStyle w:val="9"/>
          <w:rFonts w:hint="default" w:ascii="Times New Roman" w:hAnsi="Times New Roman" w:cs="Times New Roman"/>
          <w:lang w:val="en-US" w:eastAsia="zh-CN"/>
        </w:rPr>
        <w:t>202</w:t>
      </w:r>
      <w:r>
        <w:rPr>
          <w:rStyle w:val="9"/>
          <w:rFonts w:hint="eastAsia" w:cs="Times New Roman"/>
          <w:lang w:val="en-US" w:eastAsia="zh-CN"/>
        </w:rPr>
        <w:t>6</w:t>
      </w:r>
      <w:r>
        <w:rPr>
          <w:rStyle w:val="9"/>
          <w:rFonts w:hint="default" w:ascii="Times New Roman" w:hAnsi="Times New Roman" w:cs="Times New Roman"/>
          <w:lang w:val="en-US" w:eastAsia="zh-CN"/>
        </w:rPr>
        <w:t>年财政预算</w:t>
      </w:r>
      <w:r>
        <w:rPr>
          <w:rStyle w:val="9"/>
          <w:rFonts w:hint="eastAsia" w:cs="Times New Roman"/>
          <w:lang w:val="en-US" w:eastAsia="zh-CN"/>
        </w:rPr>
        <w:t>草案</w:t>
      </w:r>
      <w:r>
        <w:rPr>
          <w:rStyle w:val="9"/>
          <w:rFonts w:hint="default" w:ascii="Times New Roman" w:hAnsi="Times New Roman" w:cs="Times New Roman"/>
          <w:lang w:val="en-US" w:eastAsia="zh-CN"/>
        </w:rPr>
        <w:t>的报告决议</w:t>
      </w:r>
      <w:r>
        <w:rPr>
          <w:rStyle w:val="9"/>
          <w:rFonts w:hint="default" w:ascii="Times New Roman" w:hAnsi="Times New Roman" w:cs="Times New Roman"/>
          <w:color w:val="FF0000"/>
          <w:lang w:val="en-US" w:eastAsia="zh-CN"/>
        </w:rPr>
        <w:t>（草案）</w:t>
      </w:r>
    </w:p>
    <w:p>
      <w:pPr>
        <w:keepNext w:val="0"/>
        <w:keepLines w:val="0"/>
        <w:pageBreakBefore w:val="0"/>
        <w:widowControl w:val="0"/>
        <w:tabs>
          <w:tab w:val="right" w:leader="dot" w:pos="8400"/>
          <w:tab w:val="right" w:leader="dot" w:pos="861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Style w:val="9"/>
          <w:rFonts w:hint="default" w:ascii="Times New Roman" w:hAnsi="Times New Roman" w:cs="Times New Roman"/>
        </w:rPr>
      </w:pP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高观镇第十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九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届人民代表大会第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次会议审议了高观镇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人民政府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《高观镇202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年财政预算执行情况及202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年财政预算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草案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的报告》。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会议认为，过去的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年，我镇财政在国民经济保持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平稳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增长的同时，千方百计挖掘潜力，加强税收征管，财政支出基本上保证了经济建设的需要，促进了各项事业的发展，这是镇党委正确领导的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结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果，是全镇干群共同努力、通力协作的结果。20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年财政预算的执行情况良好，财政收入增长较快。镇政府提出20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年财政预算符合我镇实际情况，所提出的各项措施切实可行。会议决定批准这个报告。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会议强调，今后财政工作要进一步加强预算管理，努力提高资金的使用效率；要进一步优化支出结构，确保建设、发展、社会稳定等重点需求，促进财政实现收支平衡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要以新的工作目标为动力，进一步壮大财政实力。全镇上下要齐心协力、自我加压、强化监管，为促进全镇经济社会事业协调、健康、可持续发展奠定坚实的基础！</w:t>
      </w:r>
    </w:p>
    <w:p>
      <w:pPr>
        <w:pStyle w:val="4"/>
        <w:jc w:val="both"/>
        <w:rPr>
          <w:rFonts w:hint="default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Segoe UI">
    <w:altName w:val="Noto Music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62DED"/>
    <w:multiLevelType w:val="singleLevel"/>
    <w:tmpl w:val="7D462DE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xOWUzZWRlN2ZlOWEyNGU3NDUxYWE5ODA1ZmNmNjEifQ=="/>
  </w:docVars>
  <w:rsids>
    <w:rsidRoot w:val="23DF59C6"/>
    <w:rsid w:val="05B324E7"/>
    <w:rsid w:val="0FFA00C0"/>
    <w:rsid w:val="14072DAB"/>
    <w:rsid w:val="142A0FE9"/>
    <w:rsid w:val="14587163"/>
    <w:rsid w:val="1BEA61FD"/>
    <w:rsid w:val="1F4D741E"/>
    <w:rsid w:val="1FE12702"/>
    <w:rsid w:val="1FFFD43B"/>
    <w:rsid w:val="23DF59C6"/>
    <w:rsid w:val="258204E4"/>
    <w:rsid w:val="258D7606"/>
    <w:rsid w:val="285048C9"/>
    <w:rsid w:val="2BE27F2E"/>
    <w:rsid w:val="325E5F08"/>
    <w:rsid w:val="3A5B15D7"/>
    <w:rsid w:val="3A771ADE"/>
    <w:rsid w:val="3AB24F6F"/>
    <w:rsid w:val="3C776471"/>
    <w:rsid w:val="3E0B65E6"/>
    <w:rsid w:val="3EA177D5"/>
    <w:rsid w:val="3F2521B4"/>
    <w:rsid w:val="41AE6491"/>
    <w:rsid w:val="44421112"/>
    <w:rsid w:val="451F76A5"/>
    <w:rsid w:val="45513D03"/>
    <w:rsid w:val="468E6891"/>
    <w:rsid w:val="474319B9"/>
    <w:rsid w:val="499E503D"/>
    <w:rsid w:val="4D5A6673"/>
    <w:rsid w:val="4FEF4502"/>
    <w:rsid w:val="52345C72"/>
    <w:rsid w:val="52D715BF"/>
    <w:rsid w:val="535D7D17"/>
    <w:rsid w:val="56292132"/>
    <w:rsid w:val="591F781C"/>
    <w:rsid w:val="59851D75"/>
    <w:rsid w:val="5B665367"/>
    <w:rsid w:val="5B7025B1"/>
    <w:rsid w:val="5EB033F0"/>
    <w:rsid w:val="5F3A89EC"/>
    <w:rsid w:val="5FAB4C3F"/>
    <w:rsid w:val="5FDF9EA8"/>
    <w:rsid w:val="61D373F6"/>
    <w:rsid w:val="627806C9"/>
    <w:rsid w:val="62D022B3"/>
    <w:rsid w:val="64B65DA2"/>
    <w:rsid w:val="689A54AC"/>
    <w:rsid w:val="6D192AA9"/>
    <w:rsid w:val="6F01605B"/>
    <w:rsid w:val="70BF74C3"/>
    <w:rsid w:val="719A3A8C"/>
    <w:rsid w:val="74381A66"/>
    <w:rsid w:val="75A03D67"/>
    <w:rsid w:val="75D73501"/>
    <w:rsid w:val="768E0063"/>
    <w:rsid w:val="76A76B79"/>
    <w:rsid w:val="773152F6"/>
    <w:rsid w:val="78104AA8"/>
    <w:rsid w:val="79312F28"/>
    <w:rsid w:val="7D3134F6"/>
    <w:rsid w:val="7DB303AF"/>
    <w:rsid w:val="7F0D50B3"/>
    <w:rsid w:val="7FFFBAC9"/>
    <w:rsid w:val="BC5F7FDB"/>
    <w:rsid w:val="ECFF9A32"/>
    <w:rsid w:val="F7FF35EB"/>
    <w:rsid w:val="FF7D8D3C"/>
    <w:rsid w:val="FFF7E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小标宋_GBK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Autospacing="0" w:afterAutospacing="0" w:line="240" w:lineRule="exact"/>
      <w:jc w:val="center"/>
      <w:outlineLvl w:val="0"/>
    </w:pPr>
    <w:rPr>
      <w:rFonts w:ascii="Times New Roman" w:hAnsi="Times New Roman" w:eastAsia="方正小标宋_GBK" w:cs="Times New Roman"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szCs w:val="22"/>
    </w:rPr>
  </w:style>
  <w:style w:type="paragraph" w:styleId="4">
    <w:name w:val="Body Text"/>
    <w:basedOn w:val="1"/>
    <w:next w:val="1"/>
    <w:qFormat/>
    <w:uiPriority w:val="0"/>
    <w:pPr>
      <w:jc w:val="center"/>
    </w:pPr>
    <w:rPr>
      <w:rFonts w:eastAsia="黑体"/>
      <w:sz w:val="30"/>
      <w:szCs w:val="20"/>
    </w:rPr>
  </w:style>
  <w:style w:type="paragraph" w:styleId="5">
    <w:name w:val="List 2"/>
    <w:basedOn w:val="1"/>
    <w:qFormat/>
    <w:uiPriority w:val="0"/>
    <w:pPr>
      <w:ind w:left="840" w:hanging="420"/>
    </w:pPr>
    <w:rPr>
      <w:rFonts w:eastAsia="楷体_GB2312"/>
      <w:sz w:val="32"/>
      <w:szCs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标题 1 Char"/>
    <w:link w:val="3"/>
    <w:qFormat/>
    <w:uiPriority w:val="0"/>
    <w:rPr>
      <w:rFonts w:ascii="Times New Roman" w:hAnsi="Times New Roman" w:eastAsia="方正小标宋_GBK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3650</Words>
  <Characters>3907</Characters>
  <Lines>0</Lines>
  <Paragraphs>0</Paragraphs>
  <TotalTime>24</TotalTime>
  <ScaleCrop>false</ScaleCrop>
  <LinksUpToDate>false</LinksUpToDate>
  <CharactersWithSpaces>3911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2024-12-28T01:06:00Z</dcterms:created>
  <dc:creator>浮华若梦お</dc:creator>
  <cp:lastModifiedBy>ckuos</cp:lastModifiedBy>
  <cp:lastPrinted>2026-01-28T20:56:00Z</cp:lastPrinted>
  <dcterms:modified xsi:type="dcterms:W3CDTF">2026-03-06T13:26:46Z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9C8B6F11948F4ECEB307A5D588D90596_13</vt:lpwstr>
  </property>
  <property fmtid="{D5CDD505-2E9C-101B-9397-08002B2CF9AE}" pid="4" name="KSOTemplateDocerSaveRecord">
    <vt:lpwstr>eyJoZGlkIjoiMjNkMDkzNDIwM2I0ZjdiZDhlN2JhMDBmNTcyYzc4NjkiLCJ1c2VySWQiOiI0MTkwNTI4MTEifQ==</vt:lpwstr>
  </property>
</Properties>
</file>