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82788">
      <w:pPr>
        <w:spacing w:line="56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48399BAA">
      <w:pPr>
        <w:spacing w:line="560" w:lineRule="exact"/>
        <w:jc w:val="center"/>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城口县</w:t>
      </w:r>
      <w:r>
        <w:rPr>
          <w:rFonts w:hint="default" w:ascii="Times New Roman" w:hAnsi="Times New Roman" w:eastAsia="方正小标宋_GBK" w:cs="Times New Roman"/>
          <w:sz w:val="44"/>
          <w:szCs w:val="44"/>
          <w:lang w:val="en-US" w:eastAsia="zh-CN"/>
        </w:rPr>
        <w:t>高观镇产业发展服务中心</w:t>
      </w:r>
      <w:r>
        <w:rPr>
          <w:rFonts w:hint="default" w:ascii="Times New Roman" w:hAnsi="Times New Roman" w:eastAsia="方正小标宋_GBK" w:cs="Times New Roman"/>
          <w:sz w:val="44"/>
          <w:szCs w:val="44"/>
          <w:lang w:eastAsia="zh-CN"/>
        </w:rPr>
        <w:t>2025年</w:t>
      </w:r>
    </w:p>
    <w:p w14:paraId="3F8A44CA">
      <w:pPr>
        <w:spacing w:line="560" w:lineRule="exact"/>
        <w:jc w:val="center"/>
        <w:rPr>
          <w:rFonts w:hint="eastAsia" w:eastAsia="方正小标宋_GBK"/>
          <w:sz w:val="44"/>
          <w:szCs w:val="44"/>
          <w:lang w:eastAsia="zh-CN"/>
        </w:rPr>
      </w:pPr>
      <w:r>
        <w:rPr>
          <w:rFonts w:hint="default" w:ascii="Times New Roman" w:hAnsi="Times New Roman" w:eastAsia="方正小标宋_GBK" w:cs="Times New Roman"/>
          <w:sz w:val="44"/>
          <w:szCs w:val="44"/>
          <w:lang w:eastAsia="zh-CN"/>
        </w:rPr>
        <w:t>部门预算情况说明</w:t>
      </w:r>
    </w:p>
    <w:p w14:paraId="42105DB0">
      <w:pPr>
        <w:spacing w:line="560" w:lineRule="exact"/>
        <w:jc w:val="center"/>
        <w:rPr>
          <w:rFonts w:hint="eastAsia" w:eastAsia="方正小标宋_GBK"/>
          <w:sz w:val="44"/>
          <w:szCs w:val="44"/>
          <w:lang w:eastAsia="zh-CN"/>
        </w:rPr>
      </w:pPr>
    </w:p>
    <w:p w14:paraId="2414FC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eastAsia" w:ascii="方正黑体_GBK" w:hAnsi="方正黑体_GBK" w:eastAsia="方正黑体_GBK" w:cs="方正黑体_GBK"/>
          <w:i w:val="0"/>
          <w:iCs w:val="0"/>
          <w:caps w:val="0"/>
          <w:color w:val="333333"/>
          <w:spacing w:val="0"/>
          <w:sz w:val="32"/>
          <w:szCs w:val="32"/>
          <w:shd w:val="clear" w:fill="FFFFFF"/>
          <w:lang w:eastAsia="zh-CN"/>
        </w:rPr>
      </w:pPr>
      <w:r>
        <w:rPr>
          <w:rFonts w:hint="default" w:ascii="方正黑体_GBK" w:hAnsi="方正黑体_GBK" w:eastAsia="方正黑体_GBK" w:cs="方正黑体_GBK"/>
          <w:i w:val="0"/>
          <w:iCs w:val="0"/>
          <w:caps w:val="0"/>
          <w:color w:val="333333"/>
          <w:spacing w:val="0"/>
          <w:sz w:val="32"/>
          <w:szCs w:val="32"/>
          <w:shd w:val="clear" w:fill="FFFFFF"/>
        </w:rPr>
        <w:t>一、单位基本情况</w:t>
      </w:r>
      <w:r>
        <w:rPr>
          <w:rFonts w:hint="eastAsia" w:ascii="方正黑体_GBK" w:hAnsi="方正黑体_GBK" w:eastAsia="方正黑体_GBK" w:cs="方正黑体_GBK"/>
          <w:i w:val="0"/>
          <w:iCs w:val="0"/>
          <w:caps w:val="0"/>
          <w:color w:val="333333"/>
          <w:spacing w:val="0"/>
          <w:sz w:val="32"/>
          <w:szCs w:val="32"/>
          <w:shd w:val="clear" w:fill="FFFFFF"/>
          <w:lang w:eastAsia="zh-CN"/>
        </w:rPr>
        <w:t>（</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职能职责</w:t>
      </w:r>
      <w:r>
        <w:rPr>
          <w:rFonts w:hint="eastAsia" w:ascii="方正黑体_GBK" w:hAnsi="方正黑体_GBK" w:eastAsia="方正黑体_GBK" w:cs="方正黑体_GBK"/>
          <w:i w:val="0"/>
          <w:iCs w:val="0"/>
          <w:caps w:val="0"/>
          <w:color w:val="333333"/>
          <w:spacing w:val="0"/>
          <w:sz w:val="32"/>
          <w:szCs w:val="32"/>
          <w:shd w:val="clear" w:fill="FFFFFF"/>
          <w:lang w:eastAsia="zh-CN"/>
        </w:rPr>
        <w:t>）</w:t>
      </w:r>
    </w:p>
    <w:p w14:paraId="69AAF6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一</w:t>
      </w: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rPr>
        <w:t xml:space="preserve">贯彻执行党和国家方针政策 </w:t>
      </w:r>
    </w:p>
    <w:p w14:paraId="672D31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 xml:space="preserve">贯彻落实党的路线、方针、政策和上级党委、政府的决策部署。依法履行基层政府职能，组织实施辖区内经济社会发展规划。  </w:t>
      </w:r>
    </w:p>
    <w:p w14:paraId="2B8097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二</w:t>
      </w:r>
      <w:r>
        <w:rPr>
          <w:rFonts w:hint="eastAsia" w:ascii="方正楷体_GBK" w:hAnsi="方正楷体_GBK" w:eastAsia="方正楷体_GBK" w:cs="方正楷体_GBK"/>
          <w:i w:val="0"/>
          <w:iCs w:val="0"/>
          <w:caps w:val="0"/>
          <w:color w:val="333333"/>
          <w:spacing w:val="0"/>
          <w:sz w:val="32"/>
          <w:szCs w:val="32"/>
          <w:shd w:val="clear" w:fill="FFFFFF"/>
          <w:lang w:eastAsia="zh-CN"/>
        </w:rPr>
        <w:t>）推动经济社会发展</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14:paraId="73915A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制定并落实镇域经济发展计划，优化产业结构，促进农业、旅游业等特色产业发展。统筹推进乡村振兴战略，巩固脱贫攻坚成果，推动农村集体经济和农民增收。加强生态保护与建设，落实绿色发展理念，推动生态文明建设。  </w:t>
      </w:r>
    </w:p>
    <w:p w14:paraId="159583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三</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）加强社会事务管理 </w:t>
      </w:r>
    </w:p>
    <w:p w14:paraId="78BCAB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负责民政、教育、科技、文化、卫生健康、社会保障等社会事业管理。 落实社会保障政策，做好社会救助、优抚安置、养老服务等工作。指导村（居）民委员会依法自治，推进基层民主政治建设。  </w:t>
      </w:r>
    </w:p>
    <w:p w14:paraId="608941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四</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）提供公共服务  </w:t>
      </w:r>
    </w:p>
    <w:p w14:paraId="26B739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完善基础设施和公共服务设施建设，改善农村生产生活条件。推进基本公共服务均等化，提升教育、医疗、文化等公共服务水平。组织协调抢险救灾、公共卫生事件应对等突发事件处置工作。  </w:t>
      </w:r>
    </w:p>
    <w:p w14:paraId="322DAA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五</w:t>
      </w:r>
      <w:r>
        <w:rPr>
          <w:rFonts w:hint="eastAsia" w:ascii="方正楷体_GBK" w:hAnsi="方正楷体_GBK" w:eastAsia="方正楷体_GBK" w:cs="方正楷体_GBK"/>
          <w:i w:val="0"/>
          <w:iCs w:val="0"/>
          <w:caps w:val="0"/>
          <w:color w:val="333333"/>
          <w:spacing w:val="0"/>
          <w:sz w:val="32"/>
          <w:szCs w:val="32"/>
          <w:shd w:val="clear" w:fill="FFFFFF"/>
          <w:lang w:eastAsia="zh-CN"/>
        </w:rPr>
        <w:t>）维护社会稳定</w:t>
      </w:r>
    </w:p>
    <w:p w14:paraId="58FF0E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加强社会治安综合治理，化解矛盾纠纷，维护群众合法权益。落实安全生产监管责任，防范重大安全事故。开展法治宣传教育，推进平安乡镇建设。 </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14:paraId="264EF8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六</w:t>
      </w:r>
      <w:r>
        <w:rPr>
          <w:rFonts w:hint="eastAsia" w:ascii="方正楷体_GBK" w:hAnsi="方正楷体_GBK" w:eastAsia="方正楷体_GBK" w:cs="方正楷体_GBK"/>
          <w:i w:val="0"/>
          <w:iCs w:val="0"/>
          <w:caps w:val="0"/>
          <w:color w:val="333333"/>
          <w:spacing w:val="0"/>
          <w:sz w:val="32"/>
          <w:szCs w:val="32"/>
          <w:shd w:val="clear" w:fill="FFFFFF"/>
          <w:lang w:eastAsia="zh-CN"/>
        </w:rPr>
        <w:t>）推进基层治理</w:t>
      </w:r>
    </w:p>
    <w:p w14:paraId="405DA7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指导村（社区）依法开展自治活动，提升基层治理能力。加强村（社区）干部队伍建设，完善村级组织运行机制。  </w:t>
      </w:r>
    </w:p>
    <w:p w14:paraId="335D08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Calibri" w:hAnsi="Calibri" w:cs="Calibri"/>
          <w:i w:val="0"/>
          <w:iCs w:val="0"/>
          <w:caps w:val="0"/>
          <w:color w:val="333333"/>
          <w:spacing w:val="0"/>
          <w:sz w:val="32"/>
          <w:szCs w:val="32"/>
        </w:rPr>
      </w:pPr>
      <w:r>
        <w:rPr>
          <w:rFonts w:hint="default" w:ascii="方正黑体_GBK" w:hAnsi="方正黑体_GBK" w:eastAsia="方正黑体_GBK" w:cs="方正黑体_GBK"/>
          <w:i w:val="0"/>
          <w:iCs w:val="0"/>
          <w:caps w:val="0"/>
          <w:color w:val="333333"/>
          <w:spacing w:val="0"/>
          <w:sz w:val="32"/>
          <w:szCs w:val="32"/>
          <w:shd w:val="clear" w:fill="FFFFFF"/>
        </w:rPr>
        <w:t>二、部门收支总体情况</w:t>
      </w:r>
    </w:p>
    <w:p w14:paraId="002978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（一）收入预算：</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年年初预算数</w:t>
      </w:r>
      <w:r>
        <w:rPr>
          <w:rFonts w:hint="eastAsia" w:ascii="Times New Roman" w:hAnsi="Times New Roman" w:eastAsia="方正仿宋_GBK" w:cs="Times New Roman"/>
          <w:i w:val="0"/>
          <w:iCs w:val="0"/>
          <w:caps w:val="0"/>
          <w:color w:val="333333"/>
          <w:spacing w:val="0"/>
          <w:sz w:val="32"/>
          <w:szCs w:val="32"/>
          <w:shd w:val="clear" w:fill="FFFFFF"/>
          <w:lang w:val="en-US" w:eastAsia="zh-CN"/>
        </w:rPr>
        <w:t>120.33</w:t>
      </w:r>
      <w:r>
        <w:rPr>
          <w:rFonts w:hint="eastAsia" w:ascii="Times New Roman" w:hAnsi="Times New Roman" w:eastAsia="方正仿宋_GBK" w:cs="Times New Roman"/>
          <w:i w:val="0"/>
          <w:iCs w:val="0"/>
          <w:caps w:val="0"/>
          <w:color w:val="333333"/>
          <w:spacing w:val="0"/>
          <w:sz w:val="32"/>
          <w:szCs w:val="32"/>
          <w:shd w:val="clear" w:fill="FFFFFF"/>
        </w:rPr>
        <w:t>万元，其中：一般公共预算拨款</w:t>
      </w:r>
      <w:r>
        <w:rPr>
          <w:rFonts w:hint="eastAsia" w:ascii="Times New Roman" w:hAnsi="Times New Roman" w:eastAsia="方正仿宋_GBK" w:cs="Times New Roman"/>
          <w:i w:val="0"/>
          <w:iCs w:val="0"/>
          <w:caps w:val="0"/>
          <w:color w:val="333333"/>
          <w:spacing w:val="0"/>
          <w:sz w:val="32"/>
          <w:szCs w:val="32"/>
          <w:shd w:val="clear" w:fill="FFFFFF"/>
          <w:lang w:val="en-US" w:eastAsia="zh-CN"/>
        </w:rPr>
        <w:t>120.33</w:t>
      </w:r>
      <w:r>
        <w:rPr>
          <w:rFonts w:hint="eastAsia" w:ascii="Times New Roman" w:hAnsi="Times New Roman" w:eastAsia="方正仿宋_GBK" w:cs="Times New Roman"/>
          <w:i w:val="0"/>
          <w:iCs w:val="0"/>
          <w:caps w:val="0"/>
          <w:color w:val="333333"/>
          <w:spacing w:val="0"/>
          <w:sz w:val="32"/>
          <w:szCs w:val="32"/>
          <w:shd w:val="clear" w:fill="FFFFFF"/>
        </w:rPr>
        <w:t>万元，政府性基金预算拨款</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万元，国有资本经营预算收入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万元，事业单位经营收入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万元，其他收入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w:t>
      </w:r>
    </w:p>
    <w:p w14:paraId="63D0BA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（二）支出预算：</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年预算</w:t>
      </w:r>
      <w:r>
        <w:rPr>
          <w:rFonts w:hint="eastAsia" w:ascii="Times New Roman" w:hAnsi="Times New Roman" w:eastAsia="方正仿宋_GBK" w:cs="Times New Roman"/>
          <w:i w:val="0"/>
          <w:iCs w:val="0"/>
          <w:caps w:val="0"/>
          <w:color w:val="333333"/>
          <w:spacing w:val="0"/>
          <w:sz w:val="32"/>
          <w:szCs w:val="32"/>
          <w:shd w:val="clear" w:fill="FFFFFF"/>
          <w:lang w:val="en-US" w:eastAsia="zh-CN"/>
        </w:rPr>
        <w:t>120.33</w:t>
      </w:r>
      <w:r>
        <w:rPr>
          <w:rFonts w:hint="eastAsia" w:ascii="Times New Roman" w:hAnsi="Times New Roman" w:eastAsia="方正仿宋_GBK" w:cs="Times New Roman"/>
          <w:i w:val="0"/>
          <w:iCs w:val="0"/>
          <w:caps w:val="0"/>
          <w:color w:val="333333"/>
          <w:spacing w:val="0"/>
          <w:sz w:val="32"/>
          <w:szCs w:val="32"/>
          <w:shd w:val="clear" w:fill="FFFFFF"/>
        </w:rPr>
        <w:t>万元，其中一般公共服务支出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35.31</w:t>
      </w:r>
      <w:r>
        <w:rPr>
          <w:rFonts w:hint="eastAsia" w:ascii="Times New Roman" w:hAnsi="Times New Roman" w:eastAsia="方正仿宋_GBK" w:cs="Times New Roman"/>
          <w:i w:val="0"/>
          <w:iCs w:val="0"/>
          <w:caps w:val="0"/>
          <w:color w:val="333333"/>
          <w:spacing w:val="0"/>
          <w:sz w:val="32"/>
          <w:szCs w:val="32"/>
          <w:shd w:val="clear" w:fill="FFFFFF"/>
        </w:rPr>
        <w:t>万元；社会保障和就业支出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14.45</w:t>
      </w:r>
      <w:r>
        <w:rPr>
          <w:rFonts w:hint="eastAsia" w:ascii="Times New Roman" w:hAnsi="Times New Roman" w:eastAsia="方正仿宋_GBK" w:cs="Times New Roman"/>
          <w:i w:val="0"/>
          <w:iCs w:val="0"/>
          <w:caps w:val="0"/>
          <w:color w:val="333333"/>
          <w:spacing w:val="0"/>
          <w:sz w:val="32"/>
          <w:szCs w:val="32"/>
          <w:shd w:val="clear" w:fill="FFFFFF"/>
        </w:rPr>
        <w:t>万元；卫生健康支出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4.29</w:t>
      </w:r>
      <w:r>
        <w:rPr>
          <w:rFonts w:hint="eastAsia" w:ascii="Times New Roman" w:hAnsi="Times New Roman" w:eastAsia="方正仿宋_GBK" w:cs="Times New Roman"/>
          <w:i w:val="0"/>
          <w:iCs w:val="0"/>
          <w:caps w:val="0"/>
          <w:color w:val="333333"/>
          <w:spacing w:val="0"/>
          <w:sz w:val="32"/>
          <w:szCs w:val="32"/>
          <w:shd w:val="clear" w:fill="FFFFFF"/>
        </w:rPr>
        <w:t>万元；</w:t>
      </w:r>
      <w:r>
        <w:rPr>
          <w:rFonts w:hint="eastAsia" w:ascii="Times New Roman" w:hAnsi="Times New Roman" w:eastAsia="方正仿宋_GBK" w:cs="Times New Roman"/>
          <w:i w:val="0"/>
          <w:iCs w:val="0"/>
          <w:caps w:val="0"/>
          <w:color w:val="333333"/>
          <w:spacing w:val="0"/>
          <w:sz w:val="32"/>
          <w:szCs w:val="32"/>
          <w:shd w:val="clear" w:fill="FFFFFF"/>
          <w:lang w:val="en-US" w:eastAsia="zh-CN"/>
        </w:rPr>
        <w:t>农林水支出61.27万元；</w:t>
      </w:r>
      <w:r>
        <w:rPr>
          <w:rFonts w:hint="eastAsia" w:ascii="Times New Roman" w:hAnsi="Times New Roman" w:eastAsia="方正仿宋_GBK" w:cs="Times New Roman"/>
          <w:i w:val="0"/>
          <w:iCs w:val="0"/>
          <w:caps w:val="0"/>
          <w:color w:val="333333"/>
          <w:spacing w:val="0"/>
          <w:sz w:val="32"/>
          <w:szCs w:val="32"/>
          <w:shd w:val="clear" w:fill="FFFFFF"/>
        </w:rPr>
        <w:t>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5.00</w:t>
      </w:r>
      <w:r>
        <w:rPr>
          <w:rFonts w:hint="eastAsia" w:ascii="Times New Roman" w:hAnsi="Times New Roman" w:eastAsia="方正仿宋_GBK" w:cs="Times New Roman"/>
          <w:i w:val="0"/>
          <w:iCs w:val="0"/>
          <w:caps w:val="0"/>
          <w:color w:val="333333"/>
          <w:spacing w:val="0"/>
          <w:sz w:val="32"/>
          <w:szCs w:val="32"/>
          <w:shd w:val="clear" w:fill="FFFFFF"/>
        </w:rPr>
        <w:t>万元。</w:t>
      </w:r>
    </w:p>
    <w:p w14:paraId="5EAF85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Calibri" w:hAnsi="Calibri" w:cs="Calibri"/>
          <w:i w:val="0"/>
          <w:iCs w:val="0"/>
          <w:caps w:val="0"/>
          <w:color w:val="333333"/>
          <w:spacing w:val="0"/>
          <w:sz w:val="32"/>
          <w:szCs w:val="32"/>
        </w:rPr>
      </w:pPr>
      <w:r>
        <w:rPr>
          <w:rFonts w:hint="default" w:ascii="方正黑体_GBK" w:hAnsi="方正黑体_GBK" w:eastAsia="方正黑体_GBK" w:cs="方正黑体_GBK"/>
          <w:i w:val="0"/>
          <w:iCs w:val="0"/>
          <w:caps w:val="0"/>
          <w:color w:val="333333"/>
          <w:spacing w:val="0"/>
          <w:sz w:val="32"/>
          <w:szCs w:val="32"/>
          <w:shd w:val="clear" w:fill="FFFFFF"/>
        </w:rPr>
        <w:t>三、部门预算情况说明</w:t>
      </w:r>
    </w:p>
    <w:p w14:paraId="4F9A1F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120.33</w:t>
      </w:r>
      <w:r>
        <w:rPr>
          <w:rFonts w:hint="eastAsia" w:ascii="Times New Roman" w:hAnsi="Times New Roman" w:eastAsia="方正仿宋_GBK" w:cs="Times New Roman"/>
          <w:i w:val="0"/>
          <w:iCs w:val="0"/>
          <w:caps w:val="0"/>
          <w:color w:val="333333"/>
          <w:spacing w:val="0"/>
          <w:sz w:val="32"/>
          <w:szCs w:val="32"/>
          <w:shd w:val="clear" w:fill="FFFFFF"/>
        </w:rPr>
        <w:t>万元，一般公共预算财政拨款支出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120.33</w:t>
      </w:r>
      <w:r>
        <w:rPr>
          <w:rFonts w:hint="eastAsia" w:ascii="Times New Roman" w:hAnsi="Times New Roman" w:eastAsia="方正仿宋_GBK" w:cs="Times New Roman"/>
          <w:i w:val="0"/>
          <w:iCs w:val="0"/>
          <w:caps w:val="0"/>
          <w:color w:val="333333"/>
          <w:spacing w:val="0"/>
          <w:sz w:val="32"/>
          <w:szCs w:val="32"/>
          <w:shd w:val="clear" w:fill="FFFFFF"/>
        </w:rPr>
        <w:t>万元，相比</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Times New Roman" w:hAnsi="Times New Roman" w:eastAsia="方正仿宋_GBK" w:cs="Times New Roman"/>
          <w:i w:val="0"/>
          <w:iCs w:val="0"/>
          <w:caps w:val="0"/>
          <w:color w:val="333333"/>
          <w:spacing w:val="0"/>
          <w:sz w:val="32"/>
          <w:szCs w:val="32"/>
          <w:shd w:val="clear" w:fill="FFFFFF"/>
        </w:rPr>
        <w:t>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120.33</w:t>
      </w:r>
      <w:r>
        <w:rPr>
          <w:rFonts w:hint="eastAsia" w:ascii="Times New Roman" w:hAnsi="Times New Roman" w:eastAsia="方正仿宋_GBK" w:cs="Times New Roman"/>
          <w:i w:val="0"/>
          <w:iCs w:val="0"/>
          <w:caps w:val="0"/>
          <w:color w:val="333333"/>
          <w:spacing w:val="0"/>
          <w:sz w:val="32"/>
          <w:szCs w:val="32"/>
          <w:shd w:val="clear" w:fill="FFFFFF"/>
        </w:rPr>
        <w:t>万元，主要原因为本事业单位为</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年机构改革，是新纳入独立核算单位。</w:t>
      </w:r>
    </w:p>
    <w:p w14:paraId="6B831F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年本单位无政府性基金预算。</w:t>
      </w:r>
    </w:p>
    <w:p w14:paraId="55BDC7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Calibri" w:hAnsi="Calibri" w:cs="Calibri"/>
          <w:i w:val="0"/>
          <w:iCs w:val="0"/>
          <w:caps w:val="0"/>
          <w:color w:val="333333"/>
          <w:spacing w:val="0"/>
          <w:sz w:val="32"/>
          <w:szCs w:val="32"/>
        </w:rPr>
      </w:pPr>
      <w:r>
        <w:rPr>
          <w:rFonts w:hint="default" w:ascii="方正黑体_GBK" w:hAnsi="方正黑体_GBK" w:eastAsia="方正黑体_GBK" w:cs="方正黑体_GBK"/>
          <w:i w:val="0"/>
          <w:iCs w:val="0"/>
          <w:caps w:val="0"/>
          <w:color w:val="333333"/>
          <w:spacing w:val="0"/>
          <w:sz w:val="32"/>
          <w:szCs w:val="32"/>
          <w:shd w:val="clear" w:fill="FFFFFF"/>
        </w:rPr>
        <w:t>四、</w:t>
      </w:r>
      <w:r>
        <w:rPr>
          <w:rFonts w:hint="default" w:ascii="Times New Roman" w:hAnsi="Times New Roman" w:cs="Times New Roman"/>
          <w:i w:val="0"/>
          <w:iCs w:val="0"/>
          <w:caps w:val="0"/>
          <w:color w:val="333333"/>
          <w:spacing w:val="0"/>
          <w:sz w:val="32"/>
          <w:szCs w:val="32"/>
          <w:shd w:val="clear" w:fill="FFFFFF"/>
        </w:rPr>
        <w:t>“</w:t>
      </w:r>
      <w:r>
        <w:rPr>
          <w:rFonts w:hint="default" w:ascii="方正黑体_GBK" w:hAnsi="方正黑体_GBK" w:eastAsia="方正黑体_GBK" w:cs="方正黑体_GBK"/>
          <w:i w:val="0"/>
          <w:iCs w:val="0"/>
          <w:caps w:val="0"/>
          <w:color w:val="333333"/>
          <w:spacing w:val="0"/>
          <w:sz w:val="32"/>
          <w:szCs w:val="32"/>
          <w:shd w:val="clear" w:fill="FFFFFF"/>
        </w:rPr>
        <w:t>三公</w:t>
      </w:r>
      <w:r>
        <w:rPr>
          <w:rFonts w:hint="default" w:ascii="Times New Roman" w:hAnsi="Times New Roman" w:cs="Times New Roman"/>
          <w:i w:val="0"/>
          <w:iCs w:val="0"/>
          <w:caps w:val="0"/>
          <w:color w:val="333333"/>
          <w:spacing w:val="0"/>
          <w:sz w:val="32"/>
          <w:szCs w:val="32"/>
          <w:shd w:val="clear" w:fill="FFFFFF"/>
        </w:rPr>
        <w:t>”</w:t>
      </w:r>
      <w:r>
        <w:rPr>
          <w:rFonts w:hint="default" w:ascii="方正黑体_GBK" w:hAnsi="方正黑体_GBK" w:eastAsia="方正黑体_GBK" w:cs="方正黑体_GBK"/>
          <w:i w:val="0"/>
          <w:iCs w:val="0"/>
          <w:caps w:val="0"/>
          <w:color w:val="333333"/>
          <w:spacing w:val="0"/>
          <w:sz w:val="32"/>
          <w:szCs w:val="32"/>
          <w:shd w:val="clear" w:fill="FFFFFF"/>
        </w:rPr>
        <w:t>经费情况说明</w:t>
      </w:r>
    </w:p>
    <w:p w14:paraId="58280E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三公</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经费预算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万元，本事业单位为</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年新纳入独立核算单位，故较上年数无变化。</w:t>
      </w:r>
    </w:p>
    <w:p w14:paraId="2132B4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Calibri" w:hAnsi="Calibri" w:cs="Calibri"/>
          <w:i w:val="0"/>
          <w:iCs w:val="0"/>
          <w:caps w:val="0"/>
          <w:color w:val="333333"/>
          <w:spacing w:val="0"/>
          <w:sz w:val="32"/>
          <w:szCs w:val="32"/>
        </w:rPr>
      </w:pPr>
      <w:r>
        <w:rPr>
          <w:rFonts w:hint="default" w:ascii="方正黑体_GBK" w:hAnsi="方正黑体_GBK" w:eastAsia="方正黑体_GBK" w:cs="方正黑体_GBK"/>
          <w:i w:val="0"/>
          <w:iCs w:val="0"/>
          <w:caps w:val="0"/>
          <w:color w:val="333333"/>
          <w:spacing w:val="0"/>
          <w:sz w:val="32"/>
          <w:szCs w:val="32"/>
          <w:shd w:val="clear" w:fill="FFFFFF"/>
        </w:rPr>
        <w:t>五、其他重要事项的情况说明</w:t>
      </w:r>
    </w:p>
    <w:p w14:paraId="1E891F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Times New Roman" w:hAnsi="Times New Roman" w:eastAsia="方正仿宋_GBK" w:cs="Times New Roman"/>
          <w:i w:val="0"/>
          <w:iCs w:val="0"/>
          <w:caps w:val="0"/>
          <w:color w:val="333333"/>
          <w:spacing w:val="0"/>
          <w:sz w:val="32"/>
          <w:szCs w:val="32"/>
          <w:shd w:val="clear" w:fill="FFFFFF"/>
        </w:rPr>
        <w:t>、机关运行经费未单独预算。</w:t>
      </w:r>
    </w:p>
    <w:p w14:paraId="619447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Times New Roman" w:hAnsi="Times New Roman" w:eastAsia="方正仿宋_GBK" w:cs="Times New Roman"/>
          <w:i w:val="0"/>
          <w:iCs w:val="0"/>
          <w:caps w:val="0"/>
          <w:color w:val="333333"/>
          <w:spacing w:val="0"/>
          <w:sz w:val="32"/>
          <w:szCs w:val="32"/>
          <w:shd w:val="clear" w:fill="FFFFFF"/>
        </w:rPr>
        <w:t>、政府采购情况。所属各预算单位政府采购预算总额</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万元：政府采购货物预算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万元、政府采购工程预算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万元、政府采购服务预算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万元；其中一般公共预算拨款政府采购</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万元：政府采购货物预算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万元、政府采购工程预算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万元、政府采购服务预算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w:t>
      </w:r>
    </w:p>
    <w:p w14:paraId="75F0ED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w:t>
      </w:r>
      <w:r>
        <w:rPr>
          <w:rFonts w:hint="eastAsia" w:ascii="Times New Roman" w:hAnsi="Times New Roman" w:eastAsia="方正仿宋_GBK" w:cs="Times New Roman"/>
          <w:i w:val="0"/>
          <w:iCs w:val="0"/>
          <w:caps w:val="0"/>
          <w:color w:val="333333"/>
          <w:spacing w:val="0"/>
          <w:sz w:val="32"/>
          <w:szCs w:val="32"/>
          <w:shd w:val="clear" w:fill="FFFFFF"/>
        </w:rPr>
        <w:t>、绩效目标设置情况。</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年未单独预算项目。</w:t>
      </w:r>
    </w:p>
    <w:p w14:paraId="4A133A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4</w:t>
      </w:r>
      <w:r>
        <w:rPr>
          <w:rFonts w:hint="eastAsia" w:ascii="Times New Roman" w:hAnsi="Times New Roman" w:eastAsia="方正仿宋_GBK" w:cs="Times New Roman"/>
          <w:i w:val="0"/>
          <w:iCs w:val="0"/>
          <w:caps w:val="0"/>
          <w:color w:val="333333"/>
          <w:spacing w:val="0"/>
          <w:sz w:val="32"/>
          <w:szCs w:val="32"/>
          <w:shd w:val="clear" w:fill="FFFFFF"/>
        </w:rPr>
        <w:t>、国有资产占有使用情况。所属各预算单位共有车辆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辆，其中一般公务用车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辆、执勤执法用车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年一般公共预算安排购置车辆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辆，其中一般公务用车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辆、执勤执法用车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w:t>
      </w:r>
    </w:p>
    <w:p w14:paraId="08CD53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Calibri" w:hAnsi="Calibri" w:cs="Calibri"/>
          <w:i w:val="0"/>
          <w:iCs w:val="0"/>
          <w:caps w:val="0"/>
          <w:color w:val="333333"/>
          <w:spacing w:val="0"/>
          <w:sz w:val="32"/>
          <w:szCs w:val="32"/>
        </w:rPr>
      </w:pPr>
      <w:r>
        <w:rPr>
          <w:rFonts w:hint="default" w:ascii="方正黑体_GBK" w:hAnsi="方正黑体_GBK" w:eastAsia="方正黑体_GBK" w:cs="方正黑体_GBK"/>
          <w:i w:val="0"/>
          <w:iCs w:val="0"/>
          <w:caps w:val="0"/>
          <w:color w:val="333333"/>
          <w:spacing w:val="0"/>
          <w:sz w:val="32"/>
          <w:szCs w:val="32"/>
          <w:shd w:val="clear" w:fill="FFFFFF"/>
        </w:rPr>
        <w:t>六、专业性名词解释（纳入向社会公开范围的部门必须填写！）</w:t>
      </w:r>
    </w:p>
    <w:p w14:paraId="7601A0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（以下为常见专业名词解释，部门应根据实际情况进行解释和增减。）</w:t>
      </w:r>
    </w:p>
    <w:p w14:paraId="6A6FC7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（一）财政拨款收入：</w:t>
      </w:r>
      <w:r>
        <w:rPr>
          <w:rFonts w:hint="eastAsia" w:ascii="Times New Roman" w:hAnsi="Times New Roman" w:eastAsia="方正仿宋_GBK" w:cs="Times New Roman"/>
          <w:i w:val="0"/>
          <w:iCs w:val="0"/>
          <w:caps w:val="0"/>
          <w:color w:val="333333"/>
          <w:spacing w:val="0"/>
          <w:sz w:val="32"/>
          <w:szCs w:val="32"/>
          <w:shd w:val="clear" w:fill="FFFFFF"/>
        </w:rPr>
        <w:t>指本年度从本级财政部门取得的财政拨款，包括一般公共预算财政拨款和政府性基金预算财政拨款。</w:t>
      </w:r>
    </w:p>
    <w:p w14:paraId="0C377F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（二）其他收入：</w:t>
      </w:r>
      <w:r>
        <w:rPr>
          <w:rFonts w:hint="eastAsia" w:ascii="Times New Roman" w:hAnsi="Times New Roman" w:eastAsia="方正仿宋_GBK" w:cs="Times New Roman"/>
          <w:i w:val="0"/>
          <w:iCs w:val="0"/>
          <w:caps w:val="0"/>
          <w:color w:val="333333"/>
          <w:spacing w:val="0"/>
          <w:sz w:val="32"/>
          <w:szCs w:val="32"/>
          <w:shd w:val="clear" w:fill="FFFFFF"/>
        </w:rPr>
        <w:t>指单位取得的除</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财政拨款收入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事业收入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经营收入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等以外的收入。</w:t>
      </w:r>
    </w:p>
    <w:p w14:paraId="611E7C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微软雅黑" w:hAnsi="微软雅黑" w:eastAsia="微软雅黑" w:cs="微软雅黑"/>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lang w:eastAsia="zh-CN"/>
        </w:rPr>
        <w:t>（三）基本支出：</w:t>
      </w:r>
      <w:r>
        <w:rPr>
          <w:rFonts w:hint="eastAsia" w:ascii="Times New Roman" w:hAnsi="Times New Roman" w:eastAsia="方正仿宋_GBK" w:cs="Times New Roman"/>
          <w:i w:val="0"/>
          <w:iCs w:val="0"/>
          <w:caps w:val="0"/>
          <w:color w:val="333333"/>
          <w:spacing w:val="0"/>
          <w:sz w:val="32"/>
          <w:szCs w:val="32"/>
          <w:shd w:val="clear" w:fill="FFFFFF"/>
        </w:rPr>
        <w:t>指为保障机构正常运转、完成日常工作任务而发生的人员经费和公用经费。</w:t>
      </w:r>
    </w:p>
    <w:p w14:paraId="5F82B8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（四）项目支出：</w:t>
      </w:r>
      <w:r>
        <w:rPr>
          <w:rFonts w:hint="eastAsia" w:ascii="Times New Roman" w:hAnsi="Times New Roman" w:eastAsia="方正仿宋_GBK" w:cs="Times New Roman"/>
          <w:i w:val="0"/>
          <w:iCs w:val="0"/>
          <w:caps w:val="0"/>
          <w:color w:val="333333"/>
          <w:spacing w:val="0"/>
          <w:sz w:val="32"/>
          <w:szCs w:val="32"/>
          <w:shd w:val="clear" w:fill="FFFFFF"/>
        </w:rPr>
        <w:t>指在基本支出之外为完成特定行政任务和事业发展目标所发生的支出。</w:t>
      </w:r>
    </w:p>
    <w:p w14:paraId="2D6D61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bookmarkStart w:id="0" w:name="_GoBack"/>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五</w:t>
      </w:r>
      <w:bookmarkEnd w:id="0"/>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default"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三公</w:t>
      </w:r>
      <w:r>
        <w:rPr>
          <w:rFonts w:hint="default"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经费：</w:t>
      </w:r>
      <w:r>
        <w:rPr>
          <w:rFonts w:hint="eastAsia" w:ascii="Times New Roman" w:hAnsi="Times New Roman" w:eastAsia="方正仿宋_GBK" w:cs="Times New Roman"/>
          <w:i w:val="0"/>
          <w:iCs w:val="0"/>
          <w:caps w:val="0"/>
          <w:color w:val="333333"/>
          <w:spacing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F4E74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部门预算公开联系方式：</w:t>
      </w:r>
      <w:r>
        <w:rPr>
          <w:rFonts w:hint="default" w:ascii="Times New Roman" w:hAnsi="Times New Roman" w:eastAsia="方正仿宋_GBK" w:cs="Times New Roman"/>
          <w:i w:val="0"/>
          <w:iCs w:val="0"/>
          <w:caps w:val="0"/>
          <w:color w:val="333333"/>
          <w:spacing w:val="0"/>
          <w:sz w:val="32"/>
          <w:szCs w:val="32"/>
          <w:shd w:val="clear" w:fill="FFFFFF"/>
          <w:lang w:val="en-US" w:eastAsia="zh-CN"/>
        </w:rPr>
        <w:t>高观</w:t>
      </w:r>
      <w:r>
        <w:rPr>
          <w:rFonts w:hint="default" w:ascii="Times New Roman" w:hAnsi="Times New Roman" w:eastAsia="方正仿宋_GBK" w:cs="Times New Roman"/>
          <w:i w:val="0"/>
          <w:iCs w:val="0"/>
          <w:caps w:val="0"/>
          <w:color w:val="333333"/>
          <w:spacing w:val="0"/>
          <w:sz w:val="32"/>
          <w:szCs w:val="32"/>
          <w:shd w:val="clear" w:fill="FFFFFF"/>
        </w:rPr>
        <w:t>镇人民政府</w:t>
      </w:r>
      <w:r>
        <w:rPr>
          <w:rFonts w:hint="default" w:ascii="Times New Roman" w:hAnsi="Times New Roman" w:eastAsia="方正仿宋_GBK" w:cs="Times New Roman"/>
          <w:i w:val="0"/>
          <w:iCs w:val="0"/>
          <w:caps w:val="0"/>
          <w:color w:val="333333"/>
          <w:spacing w:val="0"/>
          <w:sz w:val="32"/>
          <w:szCs w:val="32"/>
          <w:shd w:val="clear" w:fill="FFFFFF"/>
          <w:lang w:val="en-US" w:eastAsia="zh-CN"/>
        </w:rPr>
        <w:t>023-59263001</w:t>
      </w:r>
    </w:p>
    <w:p w14:paraId="166AF34D"/>
    <w:p w14:paraId="37C26D8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0C345E"/>
    <w:rsid w:val="440D548E"/>
    <w:rsid w:val="640C3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1590</Words>
  <Characters>1683</Characters>
  <Lines>0</Lines>
  <Paragraphs>0</Paragraphs>
  <TotalTime>11</TotalTime>
  <ScaleCrop>false</ScaleCrop>
  <LinksUpToDate>false</LinksUpToDate>
  <CharactersWithSpaces>1708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2025-05-07T02:02:00Z</dcterms:created>
  <dc:creator>胥俊龙</dc:creator>
  <cp:lastModifiedBy>Jennie</cp:lastModifiedBy>
  <dcterms:modified xsi:type="dcterms:W3CDTF">2025-05-07T03:27:15Z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B649F488857F4F28A8771E9F3242AD29_11</vt:lpwstr>
  </property>
  <property fmtid="{D5CDD505-2E9C-101B-9397-08002B2CF9AE}" pid="4" name="KSOTemplateDocerSaveRecord">
    <vt:lpwstr>eyJoZGlkIjoiNWI5ZmFhMmY3OTFkMWQ1ZGJmY2U2MzhhMzA2YzY1YmUiLCJ1c2VySWQiOiI3NjE1MzQwOTAifQ==</vt:lpwstr>
  </property>
</Properties>
</file>