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keepNext w:val="0"/>
        <w:keepLines w:val="0"/>
        <w:pageBreakBefore w:val="0"/>
        <w:widowControl/>
        <w:kinsoku/>
        <w:wordWrap/>
        <w:overflowPunct/>
        <w:topLinePunct w:val="0"/>
        <w:autoSpaceDN/>
        <w:bidi w:val="0"/>
        <w:adjustRightInd/>
        <w:spacing w:line="560" w:lineRule="exact"/>
        <w:textAlignment w:val="auto"/>
        <w:rPr>
          <w:rFonts w:hint="eastAsia" w:ascii="方正小标宋_GBK" w:hAnsi="方正小标宋_GBK" w:eastAsia="方正小标宋_GBK" w:cs="方正小标宋_GBK"/>
          <w:sz w:val="44"/>
          <w:szCs w:val="44"/>
        </w:rPr>
      </w:pPr>
    </w:p>
    <w:p>
      <w:pPr>
        <w:pStyle w:val="8"/>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城口县</w:t>
      </w:r>
      <w:r>
        <w:rPr>
          <w:rFonts w:hint="eastAsia" w:ascii="方正小标宋_GBK" w:hAnsi="方正小标宋_GBK" w:eastAsia="方正小标宋_GBK" w:cs="方正小标宋_GBK"/>
          <w:sz w:val="44"/>
          <w:szCs w:val="44"/>
          <w:lang w:eastAsia="zh-CN"/>
        </w:rPr>
        <w:t>高观</w:t>
      </w:r>
      <w:r>
        <w:rPr>
          <w:rFonts w:hint="eastAsia" w:ascii="方正小标宋_GBK" w:hAnsi="方正小标宋_GBK" w:eastAsia="方正小标宋_GBK" w:cs="方正小标宋_GBK"/>
          <w:sz w:val="44"/>
          <w:szCs w:val="44"/>
        </w:rPr>
        <w:t>镇</w:t>
      </w:r>
      <w:r>
        <w:rPr>
          <w:rFonts w:hint="eastAsia" w:ascii="方正小标宋_GBK" w:hAnsi="方正小标宋_GBK" w:eastAsia="方正小标宋_GBK" w:cs="方正小标宋_GBK"/>
          <w:sz w:val="44"/>
          <w:szCs w:val="44"/>
          <w:lang w:eastAsia="zh-CN"/>
        </w:rPr>
        <w:t>村镇建设服务中心</w:t>
      </w:r>
    </w:p>
    <w:p>
      <w:pPr>
        <w:pStyle w:val="8"/>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shd w:val="clear" w:color="auto" w:fill="FFFF00"/>
        </w:rPr>
      </w:pPr>
      <w:r>
        <w:rPr>
          <w:rFonts w:hint="eastAsia" w:ascii="方正小标宋_GBK" w:hAnsi="方正小标宋_GBK" w:eastAsia="方正小标宋_GBK" w:cs="方正小标宋_GBK"/>
          <w:sz w:val="44"/>
          <w:szCs w:val="44"/>
          <w:shd w:val="clear" w:color="auto" w:fill="FFFFFF"/>
        </w:rPr>
        <w:t>2024年度决算公开说明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Style w:val="13"/>
          <w:rFonts w:ascii="黑体" w:hAnsi="黑体" w:eastAsia="黑体" w:cs="黑体"/>
          <w:sz w:val="32"/>
          <w:szCs w:val="32"/>
          <w:shd w:val="clear" w:color="auto" w:fill="FFFFFF"/>
        </w:rPr>
      </w:pP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一、</w:t>
      </w:r>
      <w:r>
        <w:rPr>
          <w:rStyle w:val="13"/>
          <w:rFonts w:hint="eastAsia" w:ascii="方正黑体_GBK" w:hAnsi="方正黑体_GBK" w:eastAsia="方正黑体_GBK" w:cs="方正黑体_GBK"/>
          <w:b w:val="0"/>
          <w:bCs/>
          <w:sz w:val="32"/>
          <w:szCs w:val="32"/>
          <w:shd w:val="clear" w:color="auto" w:fill="FFFFFF"/>
          <w:lang w:eastAsia="zh-CN"/>
        </w:rPr>
        <w:t>单位</w:t>
      </w:r>
      <w:r>
        <w:rPr>
          <w:rStyle w:val="13"/>
          <w:rFonts w:hint="eastAsia" w:ascii="方正黑体_GBK" w:hAnsi="方正黑体_GBK" w:eastAsia="方正黑体_GBK" w:cs="方正黑体_GBK"/>
          <w:b w:val="0"/>
          <w:bCs/>
          <w:sz w:val="32"/>
          <w:szCs w:val="32"/>
          <w:shd w:val="clear" w:color="auto" w:fill="FFFFFF"/>
        </w:rPr>
        <w:t>基本情况</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Style w:val="13"/>
          <w:rFonts w:hint="eastAsia" w:ascii="Times New Roman" w:hAnsi="Times New Roman" w:eastAsia="方正楷体_GBK" w:cs="Times New Roman"/>
          <w:b w:val="0"/>
          <w:bCs w:val="0"/>
          <w:sz w:val="32"/>
          <w:szCs w:val="32"/>
          <w:shd w:val="clear" w:color="auto" w:fill="FFFFFF"/>
        </w:rPr>
      </w:pPr>
      <w:r>
        <w:rPr>
          <w:rStyle w:val="13"/>
          <w:rFonts w:hint="eastAsia" w:ascii="Times New Roman" w:hAnsi="Times New Roman" w:eastAsia="方正楷体_GBK" w:cs="Times New Roman"/>
          <w:b w:val="0"/>
          <w:bCs w:val="0"/>
          <w:sz w:val="32"/>
          <w:szCs w:val="32"/>
          <w:shd w:val="clear" w:color="auto" w:fill="FFFFFF"/>
        </w:rPr>
        <w:t>（一）职能职责</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Style w:val="13"/>
          <w:rFonts w:hint="eastAsia" w:ascii="Times New Roman" w:hAnsi="Times New Roman" w:eastAsia="方正仿宋_GBK" w:cs="Times New Roman"/>
          <w:b w:val="0"/>
          <w:bCs w:val="0"/>
          <w:sz w:val="32"/>
          <w:szCs w:val="32"/>
          <w:shd w:val="clear" w:color="auto" w:fill="FFFFFF"/>
          <w:lang w:eastAsia="zh-CN"/>
        </w:rPr>
      </w:pPr>
      <w:r>
        <w:rPr>
          <w:rStyle w:val="13"/>
          <w:rFonts w:hint="eastAsia" w:ascii="Times New Roman" w:hAnsi="Times New Roman" w:eastAsia="方正仿宋_GBK" w:cs="Times New Roman"/>
          <w:b w:val="0"/>
          <w:bCs w:val="0"/>
          <w:sz w:val="32"/>
          <w:szCs w:val="32"/>
          <w:shd w:val="clear" w:color="auto" w:fill="FFFFFF"/>
          <w:lang w:eastAsia="zh-CN"/>
        </w:rPr>
        <w:t>高观</w:t>
      </w:r>
      <w:r>
        <w:rPr>
          <w:rStyle w:val="13"/>
          <w:rFonts w:hint="eastAsia" w:ascii="Times New Roman" w:hAnsi="Times New Roman" w:eastAsia="方正仿宋_GBK" w:cs="Times New Roman"/>
          <w:b w:val="0"/>
          <w:bCs w:val="0"/>
          <w:sz w:val="32"/>
          <w:szCs w:val="32"/>
          <w:shd w:val="clear" w:color="auto" w:fill="FFFFFF"/>
        </w:rPr>
        <w:t>镇</w:t>
      </w:r>
      <w:r>
        <w:rPr>
          <w:rStyle w:val="13"/>
          <w:rFonts w:hint="eastAsia" w:ascii="Times New Roman" w:hAnsi="Times New Roman" w:eastAsia="方正仿宋_GBK" w:cs="Times New Roman"/>
          <w:b w:val="0"/>
          <w:bCs w:val="0"/>
          <w:sz w:val="32"/>
          <w:szCs w:val="32"/>
          <w:shd w:val="clear" w:color="auto" w:fill="FFFFFF"/>
          <w:lang w:eastAsia="zh-CN"/>
        </w:rPr>
        <w:t>村镇建设服务中心</w:t>
      </w:r>
      <w:r>
        <w:rPr>
          <w:rStyle w:val="13"/>
          <w:rFonts w:hint="eastAsia" w:ascii="Times New Roman" w:hAnsi="Times New Roman" w:eastAsia="方正仿宋_GBK" w:cs="Times New Roman"/>
          <w:b w:val="0"/>
          <w:bCs w:val="0"/>
          <w:sz w:val="32"/>
          <w:szCs w:val="32"/>
          <w:shd w:val="clear" w:color="auto" w:fill="FFFFFF"/>
        </w:rPr>
        <w:t>是</w:t>
      </w:r>
      <w:r>
        <w:rPr>
          <w:rStyle w:val="13"/>
          <w:rFonts w:hint="eastAsia" w:ascii="Times New Roman" w:hAnsi="Times New Roman" w:eastAsia="方正仿宋_GBK" w:cs="Times New Roman"/>
          <w:b w:val="0"/>
          <w:bCs w:val="0"/>
          <w:sz w:val="32"/>
          <w:szCs w:val="32"/>
          <w:shd w:val="clear" w:color="auto" w:fill="FFFFFF"/>
          <w:lang w:eastAsia="zh-CN"/>
        </w:rPr>
        <w:t>高观</w:t>
      </w:r>
      <w:r>
        <w:rPr>
          <w:rStyle w:val="13"/>
          <w:rFonts w:hint="eastAsia" w:ascii="Times New Roman" w:hAnsi="Times New Roman" w:eastAsia="方正仿宋_GBK" w:cs="Times New Roman"/>
          <w:b w:val="0"/>
          <w:bCs w:val="0"/>
          <w:sz w:val="32"/>
          <w:szCs w:val="32"/>
          <w:shd w:val="clear" w:color="auto" w:fill="FFFFFF"/>
        </w:rPr>
        <w:t>镇人民政府所属公益一类事业单位。其主要职能职责有</w:t>
      </w:r>
      <w:r>
        <w:rPr>
          <w:rStyle w:val="13"/>
          <w:rFonts w:hint="eastAsia" w:ascii="Times New Roman" w:hAnsi="Times New Roman" w:eastAsia="方正仿宋_GBK" w:cs="Times New Roman"/>
          <w:b w:val="0"/>
          <w:bCs w:val="0"/>
          <w:sz w:val="32"/>
          <w:szCs w:val="32"/>
          <w:shd w:val="clear" w:color="auto" w:fill="FFFFFF"/>
          <w:lang w:eastAsia="zh-CN"/>
        </w:rPr>
        <w:t>：负责公共服务事项和承接县级各部门下放给乡镇的各项行政审批职责；承担就业、再就业以及农村富余劳动力转移、劳动和社会保障等工作。</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二、</w:t>
      </w:r>
      <w:r>
        <w:rPr>
          <w:rStyle w:val="13"/>
          <w:rFonts w:hint="eastAsia" w:ascii="方正黑体_GBK" w:hAnsi="方正黑体_GBK" w:eastAsia="方正黑体_GBK" w:cs="方正黑体_GBK"/>
          <w:b w:val="0"/>
          <w:bCs/>
          <w:sz w:val="32"/>
          <w:szCs w:val="32"/>
          <w:shd w:val="clear" w:color="auto" w:fill="FFFFFF"/>
          <w:lang w:eastAsia="zh-CN"/>
        </w:rPr>
        <w:t>单位</w:t>
      </w:r>
      <w:r>
        <w:rPr>
          <w:rStyle w:val="13"/>
          <w:rFonts w:hint="eastAsia" w:ascii="方正黑体_GBK" w:hAnsi="方正黑体_GBK" w:eastAsia="方正黑体_GBK" w:cs="方正黑体_GBK"/>
          <w:b w:val="0"/>
          <w:bCs/>
          <w:sz w:val="32"/>
          <w:szCs w:val="32"/>
          <w:shd w:val="clear" w:color="auto" w:fill="FFFFFF"/>
        </w:rPr>
        <w:t>决算</w:t>
      </w:r>
      <w:r>
        <w:rPr>
          <w:rStyle w:val="13"/>
          <w:rFonts w:hint="eastAsia" w:ascii="方正黑体_GBK" w:hAnsi="方正黑体_GBK" w:eastAsia="方正黑体_GBK" w:cs="方正黑体_GBK"/>
          <w:b w:val="0"/>
          <w:bCs/>
          <w:sz w:val="32"/>
          <w:szCs w:val="32"/>
          <w:shd w:val="clear" w:color="auto" w:fill="FFFFFF"/>
          <w:lang w:eastAsia="zh-CN"/>
        </w:rPr>
        <w:t>收支</w:t>
      </w:r>
      <w:r>
        <w:rPr>
          <w:rStyle w:val="13"/>
          <w:rFonts w:hint="eastAsia" w:ascii="方正黑体_GBK" w:hAnsi="方正黑体_GBK" w:eastAsia="方正黑体_GBK" w:cs="方正黑体_GBK"/>
          <w:b w:val="0"/>
          <w:bCs/>
          <w:sz w:val="32"/>
          <w:szCs w:val="32"/>
          <w:shd w:val="clear" w:color="auto" w:fill="FFFFFF"/>
        </w:rPr>
        <w:t>情况说明</w:t>
      </w:r>
    </w:p>
    <w:p>
      <w:pPr>
        <w:pStyle w:val="14"/>
        <w:keepNext w:val="0"/>
        <w:keepLines w:val="0"/>
        <w:pageBreakBefore w:val="0"/>
        <w:widowControl/>
        <w:kinsoku/>
        <w:wordWrap/>
        <w:overflowPunct/>
        <w:topLinePunct w:val="0"/>
        <w:autoSpaceDE w:val="0"/>
        <w:autoSpaceDN/>
        <w:bidi w:val="0"/>
        <w:adjustRightInd/>
        <w:snapToGri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（一）收入支出决算总体情况说明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cs="Times New Roman"/>
          <w:sz w:val="32"/>
          <w:szCs w:val="32"/>
          <w:shd w:val="clear" w:color="auto" w:fill="FFFFFF"/>
        </w:rPr>
        <w:t>1.</w:t>
      </w:r>
      <w:r>
        <w:rPr>
          <w:rStyle w:val="13"/>
          <w:rFonts w:ascii="方正仿宋_GBK" w:hAnsi="方正仿宋_GBK" w:eastAsia="方正仿宋_GBK" w:cs="方正仿宋_GBK"/>
          <w:sz w:val="32"/>
          <w:szCs w:val="32"/>
          <w:shd w:val="clear" w:color="auto" w:fill="FFFFFF"/>
        </w:rPr>
        <w:t>总体情况。</w:t>
      </w:r>
      <w:r>
        <w:rPr>
          <w:rFonts w:hint="default" w:ascii="Times New Roman" w:hAnsi="Times New Roman" w:eastAsia="方正仿宋_GBK" w:cs="Times New Roman"/>
          <w:sz w:val="32"/>
          <w:szCs w:val="32"/>
          <w:shd w:val="clear" w:color="auto" w:fill="FFFFFF"/>
        </w:rPr>
        <w:t>202</w:t>
      </w:r>
      <w:r>
        <w:rPr>
          <w:rFonts w:hint="default" w:ascii="Times New Roman" w:hAnsi="Times New Roman" w:eastAsia="方正仿宋_GBK" w:cs="Times New Roman"/>
          <w:sz w:val="32"/>
          <w:szCs w:val="32"/>
          <w:shd w:val="clear" w:color="auto" w:fill="FFFFFF"/>
          <w:lang w:val="en-US" w:eastAsia="zh-CN"/>
        </w:rPr>
        <w:t>4</w:t>
      </w:r>
      <w:r>
        <w:rPr>
          <w:rFonts w:ascii="方正仿宋_GBK" w:hAnsi="方正仿宋_GBK" w:eastAsia="方正仿宋_GBK" w:cs="方正仿宋_GBK"/>
          <w:sz w:val="32"/>
          <w:szCs w:val="32"/>
          <w:shd w:val="clear" w:color="auto" w:fill="FFFFFF"/>
        </w:rPr>
        <w:t>年度收入总计</w:t>
      </w:r>
      <w:r>
        <w:rPr>
          <w:rFonts w:hint="eastAsia" w:ascii="Times New Roman" w:hAnsi="Times New Roman" w:eastAsia="方正仿宋_GBK" w:cs="Times New Roman"/>
          <w:sz w:val="32"/>
          <w:szCs w:val="32"/>
          <w:shd w:val="clear" w:color="auto" w:fill="FFFFFF"/>
          <w:lang w:val="en-US" w:eastAsia="zh-CN"/>
        </w:rPr>
        <w:t>22.88</w:t>
      </w:r>
      <w:r>
        <w:rPr>
          <w:rFonts w:hint="default" w:ascii="Times New Roman" w:hAnsi="Times New Roman" w:eastAsia="方正仿宋_GBK" w:cs="Times New Roman"/>
          <w:sz w:val="32"/>
          <w:szCs w:val="32"/>
          <w:shd w:val="clear" w:color="auto" w:fill="FFFFFF"/>
        </w:rPr>
        <w:t>万</w:t>
      </w:r>
      <w:r>
        <w:rPr>
          <w:rFonts w:ascii="方正仿宋_GBK" w:hAnsi="方正仿宋_GBK" w:eastAsia="方正仿宋_GBK" w:cs="方正仿宋_GBK"/>
          <w:sz w:val="32"/>
          <w:szCs w:val="32"/>
          <w:shd w:val="clear" w:color="auto" w:fill="FFFFFF"/>
        </w:rPr>
        <w:t>元，支出</w:t>
      </w:r>
      <w:r>
        <w:rPr>
          <w:rFonts w:hint="default" w:ascii="Times New Roman" w:hAnsi="Times New Roman" w:eastAsia="方正仿宋_GBK" w:cs="Times New Roman"/>
          <w:sz w:val="32"/>
          <w:szCs w:val="32"/>
          <w:shd w:val="clear" w:color="auto" w:fill="FFFFFF"/>
        </w:rPr>
        <w:t>总计</w:t>
      </w:r>
      <w:r>
        <w:rPr>
          <w:rFonts w:hint="eastAsia" w:ascii="Times New Roman" w:hAnsi="Times New Roman" w:eastAsia="方正仿宋_GBK" w:cs="Times New Roman"/>
          <w:sz w:val="32"/>
          <w:szCs w:val="32"/>
          <w:shd w:val="clear" w:color="auto" w:fill="FFFFFF"/>
          <w:lang w:val="en-US" w:eastAsia="zh-CN"/>
        </w:rPr>
        <w:t>22.88</w:t>
      </w:r>
      <w:r>
        <w:rPr>
          <w:rFonts w:hint="default" w:ascii="Times New Roman" w:hAnsi="Times New Roman" w:eastAsia="方正仿宋_GBK" w:cs="Times New Roman"/>
          <w:sz w:val="32"/>
          <w:szCs w:val="32"/>
          <w:shd w:val="clear" w:color="auto" w:fill="FFFFFF"/>
        </w:rPr>
        <w:t>万元。收支较上年决算数增加</w:t>
      </w:r>
      <w:r>
        <w:rPr>
          <w:rFonts w:hint="eastAsia" w:ascii="Times New Roman" w:hAnsi="Times New Roman" w:eastAsia="方正仿宋_GBK" w:cs="Times New Roman"/>
          <w:sz w:val="32"/>
          <w:szCs w:val="32"/>
          <w:shd w:val="clear" w:color="auto" w:fill="FFFFFF"/>
          <w:lang w:val="en-US" w:eastAsia="zh-CN"/>
        </w:rPr>
        <w:t>22.88</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村镇建设服务中心</w:t>
      </w:r>
      <w:r>
        <w:rPr>
          <w:rFonts w:hint="default" w:ascii="Times New Roman" w:hAnsi="Times New Roman" w:eastAsia="方正仿宋_GBK" w:cs="Times New Roman"/>
          <w:sz w:val="32"/>
          <w:szCs w:val="32"/>
          <w:shd w:val="clear" w:color="auto" w:fill="FFFFFF"/>
        </w:rPr>
        <w:t>未单独进行财务核算</w:t>
      </w:r>
      <w:r>
        <w:rPr>
          <w:rFonts w:ascii="方正仿宋_GBK" w:hAnsi="方正仿宋_GBK" w:eastAsia="方正仿宋_GBK" w:cs="方正仿宋_GBK"/>
          <w:sz w:val="32"/>
          <w:szCs w:val="32"/>
          <w:shd w:val="clear" w:color="auto" w:fill="FFFFFF"/>
        </w:rPr>
        <w:t>及决算处理，纳入政府核算及决算。</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Times New Roman" w:hAnsi="Times New Roman" w:eastAsia="方正仿宋_GBK" w:cs="Times New Roman"/>
          <w:sz w:val="32"/>
          <w:szCs w:val="32"/>
          <w:shd w:val="clear" w:color="auto" w:fill="FFFFFF"/>
        </w:rPr>
      </w:pPr>
      <w:r>
        <w:rPr>
          <w:rStyle w:val="13"/>
          <w:rFonts w:hint="default" w:ascii="Times New Roman" w:hAnsi="Times New Roman" w:eastAsia="方正仿宋_GBK" w:cs="Times New Roman"/>
          <w:sz w:val="32"/>
          <w:szCs w:val="32"/>
          <w:shd w:val="clear" w:color="auto" w:fill="FFFFFF"/>
        </w:rPr>
        <w:t>2.</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年度收入合计</w:t>
      </w:r>
      <w:r>
        <w:rPr>
          <w:rFonts w:hint="eastAsia" w:ascii="Times New Roman" w:hAnsi="Times New Roman" w:eastAsia="方正仿宋_GBK" w:cs="Times New Roman"/>
          <w:sz w:val="32"/>
          <w:szCs w:val="32"/>
          <w:shd w:val="clear" w:color="auto" w:fill="FFFFFF"/>
          <w:lang w:val="en-US" w:eastAsia="zh-CN"/>
        </w:rPr>
        <w:t>22.88</w:t>
      </w:r>
      <w:r>
        <w:rPr>
          <w:rFonts w:hint="default" w:ascii="Times New Roman" w:hAnsi="Times New Roman" w:eastAsia="方正仿宋_GBK" w:cs="Times New Roman"/>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22.88</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村镇建设服务中心</w:t>
      </w:r>
      <w:r>
        <w:rPr>
          <w:rFonts w:hint="default" w:ascii="Times New Roman" w:hAnsi="Times New Roman" w:eastAsia="方正仿宋_GBK" w:cs="Times New Roman"/>
          <w:sz w:val="32"/>
          <w:szCs w:val="32"/>
          <w:shd w:val="clear" w:color="auto" w:fill="FFFFFF"/>
        </w:rPr>
        <w:t>未单独进行财务核算及决算处理，纳入政府核算及决算。其中：财政拨款收入</w:t>
      </w:r>
      <w:r>
        <w:rPr>
          <w:rFonts w:hint="eastAsia" w:ascii="Times New Roman" w:hAnsi="Times New Roman" w:eastAsia="方正仿宋_GBK" w:cs="Times New Roman"/>
          <w:sz w:val="32"/>
          <w:szCs w:val="32"/>
          <w:shd w:val="clear" w:color="auto" w:fill="FFFFFF"/>
          <w:lang w:val="en-US" w:eastAsia="zh-CN"/>
        </w:rPr>
        <w:t>22.88</w:t>
      </w:r>
      <w:r>
        <w:rPr>
          <w:rFonts w:hint="default" w:ascii="Times New Roman" w:hAnsi="Times New Roman" w:eastAsia="方正仿宋_GBK" w:cs="Times New Roman"/>
          <w:sz w:val="32"/>
          <w:szCs w:val="32"/>
          <w:shd w:val="clear" w:color="auto" w:fill="FFFFFF"/>
        </w:rPr>
        <w:t>万元，占100.00%；事业收入0.00万元，占0.00%；经营收入0.00万元，占0.00%；其他收入0.00万元，占0.00%。此外，使用非财政拨款结余和专用结余0.00万元，年初结转和结余</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Times New Roman" w:hAnsi="Times New Roman" w:eastAsia="方正仿宋_GBK" w:cs="Times New Roman"/>
          <w:sz w:val="32"/>
          <w:szCs w:val="32"/>
          <w:shd w:val="clear" w:color="auto" w:fill="FFFFFF"/>
        </w:rPr>
      </w:pPr>
      <w:r>
        <w:rPr>
          <w:rStyle w:val="13"/>
          <w:rFonts w:hint="default" w:ascii="Times New Roman" w:hAnsi="Times New Roman" w:eastAsia="方正仿宋_GBK" w:cs="Times New Roman"/>
          <w:sz w:val="32"/>
          <w:szCs w:val="32"/>
          <w:shd w:val="clear" w:color="auto" w:fill="FFFFFF"/>
        </w:rPr>
        <w:t>3.</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年度支出合计</w:t>
      </w:r>
      <w:r>
        <w:rPr>
          <w:rFonts w:hint="eastAsia" w:ascii="Times New Roman" w:hAnsi="Times New Roman" w:eastAsia="方正仿宋_GBK" w:cs="Times New Roman"/>
          <w:sz w:val="32"/>
          <w:szCs w:val="32"/>
          <w:shd w:val="clear" w:color="auto" w:fill="FFFFFF"/>
          <w:lang w:val="en-US" w:eastAsia="zh-CN"/>
        </w:rPr>
        <w:t>22.88</w:t>
      </w:r>
      <w:r>
        <w:rPr>
          <w:rFonts w:hint="default" w:ascii="Times New Roman" w:hAnsi="Times New Roman" w:eastAsia="方正仿宋_GBK" w:cs="Times New Roman"/>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eastAsia="zh-CN"/>
        </w:rPr>
        <w:t>49.07</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村镇建设服务中心</w:t>
      </w:r>
      <w:r>
        <w:rPr>
          <w:rFonts w:hint="default" w:ascii="Times New Roman" w:hAnsi="Times New Roman" w:eastAsia="方正仿宋_GBK" w:cs="Times New Roman"/>
          <w:sz w:val="32"/>
          <w:szCs w:val="32"/>
          <w:shd w:val="clear" w:color="auto" w:fill="FFFFFF"/>
        </w:rPr>
        <w:t>未单独进行财务核算及决算处理，纳入政府核算及决算。其中：基本支出</w:t>
      </w:r>
      <w:r>
        <w:rPr>
          <w:rFonts w:hint="eastAsia" w:ascii="Times New Roman" w:hAnsi="Times New Roman" w:eastAsia="方正仿宋_GBK" w:cs="Times New Roman"/>
          <w:sz w:val="32"/>
          <w:szCs w:val="32"/>
          <w:shd w:val="clear" w:color="auto" w:fill="FFFFFF"/>
          <w:lang w:val="en-US" w:eastAsia="zh-CN"/>
        </w:rPr>
        <w:t>22.88</w:t>
      </w:r>
      <w:r>
        <w:rPr>
          <w:rFonts w:hint="default" w:ascii="Times New Roman" w:hAnsi="Times New Roman" w:eastAsia="方正仿宋_GBK" w:cs="Times New Roman"/>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%；项目支出</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万元，占0.00%；经营支出0.00万元，占0.00%。此外，结余分配0.00万元。</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Times New Roman" w:hAnsi="Times New Roman" w:eastAsia="方正仿宋_GBK" w:cs="Times New Roman"/>
          <w:sz w:val="32"/>
          <w:szCs w:val="32"/>
          <w:shd w:val="clear" w:color="auto" w:fill="FFFFFF"/>
        </w:rPr>
      </w:pPr>
      <w:r>
        <w:rPr>
          <w:rStyle w:val="13"/>
          <w:rFonts w:hint="default" w:ascii="Times New Roman" w:hAnsi="Times New Roman" w:eastAsia="方正仿宋_GBK" w:cs="Times New Roman"/>
          <w:sz w:val="32"/>
          <w:szCs w:val="32"/>
          <w:shd w:val="clear" w:color="auto" w:fill="FFFFFF"/>
        </w:rPr>
        <w:t>4.</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年度年末结转和结余0.00万元，较上年决算数无增减。</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（二）财政拨款收入支出决算总体情况说明</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年度财政拨款收、支总计</w:t>
      </w:r>
      <w:r>
        <w:rPr>
          <w:rFonts w:hint="eastAsia" w:ascii="Times New Roman" w:hAnsi="Times New Roman" w:eastAsia="方正仿宋_GBK" w:cs="Times New Roman"/>
          <w:sz w:val="32"/>
          <w:szCs w:val="32"/>
          <w:shd w:val="clear" w:color="auto" w:fill="FFFFFF"/>
          <w:lang w:val="en-US" w:eastAsia="zh-CN"/>
        </w:rPr>
        <w:t>22.88</w:t>
      </w:r>
      <w:r>
        <w:rPr>
          <w:rFonts w:hint="default" w:ascii="Times New Roman" w:hAnsi="Times New Roman" w:eastAsia="方正仿宋_GBK" w:cs="Times New Roman"/>
          <w:sz w:val="32"/>
          <w:szCs w:val="32"/>
          <w:shd w:val="clear" w:color="auto" w:fill="FFFFFF"/>
        </w:rPr>
        <w:t>万元。与202</w:t>
      </w:r>
      <w:r>
        <w:rPr>
          <w:rFonts w:hint="eastAsia" w:ascii="Times New Roman" w:hAnsi="Times New Roman" w:eastAsia="方正仿宋_GBK" w:cs="Times New Roman"/>
          <w:sz w:val="32"/>
          <w:szCs w:val="32"/>
          <w:shd w:val="clear" w:color="auto" w:fill="FFFFFF"/>
          <w:lang w:val="en-US" w:eastAsia="zh-CN"/>
        </w:rPr>
        <w:t>3</w:t>
      </w:r>
      <w:r>
        <w:rPr>
          <w:rFonts w:hint="default" w:ascii="Times New Roman" w:hAnsi="Times New Roman" w:eastAsia="方正仿宋_GBK" w:cs="Times New Roman"/>
          <w:sz w:val="32"/>
          <w:szCs w:val="32"/>
          <w:shd w:val="clear" w:color="auto" w:fill="FFFFFF"/>
        </w:rPr>
        <w:t>年相比，财政拨款收、支总计各</w:t>
      </w:r>
      <w:r>
        <w:rPr>
          <w:rFonts w:hint="eastAsia" w:ascii="Times New Roman" w:hAnsi="Times New Roman" w:eastAsia="方正仿宋_GBK" w:cs="Times New Roman"/>
          <w:sz w:val="32"/>
          <w:szCs w:val="32"/>
          <w:shd w:val="clear" w:color="auto" w:fill="FFFFFF"/>
          <w:lang w:val="en-US" w:eastAsia="zh-CN"/>
        </w:rPr>
        <w:t>增加22.88</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村镇建设服务中心</w:t>
      </w:r>
      <w:r>
        <w:rPr>
          <w:rFonts w:hint="default" w:ascii="Times New Roman" w:hAnsi="Times New Roman" w:eastAsia="方正仿宋_GBK" w:cs="Times New Roman"/>
          <w:sz w:val="32"/>
          <w:szCs w:val="32"/>
          <w:shd w:val="clear" w:color="auto" w:fill="FFFFFF"/>
        </w:rPr>
        <w:t>未单独进行财务核算及决算处理，纳入政府核算及决算。</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（三）一般公共预算财政拨款收入支出决算情况说明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shd w:val="clear" w:color="auto" w:fill="FFFFFF"/>
        </w:rPr>
      </w:pPr>
      <w:r>
        <w:rPr>
          <w:rStyle w:val="13"/>
          <w:rFonts w:hint="default" w:ascii="Times New Roman" w:hAnsi="Times New Roman" w:eastAsia="方正仿宋_GBK" w:cs="Times New Roman"/>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年度一般公共预算财政拨款收入</w:t>
      </w:r>
      <w:r>
        <w:rPr>
          <w:rFonts w:hint="eastAsia" w:ascii="Times New Roman" w:hAnsi="Times New Roman" w:eastAsia="方正仿宋_GBK" w:cs="Times New Roman"/>
          <w:sz w:val="32"/>
          <w:szCs w:val="32"/>
          <w:shd w:val="clear" w:color="auto" w:fill="FFFFFF"/>
          <w:lang w:eastAsia="zh-CN"/>
        </w:rPr>
        <w:t>49.07</w:t>
      </w:r>
      <w:r>
        <w:rPr>
          <w:rFonts w:hint="default" w:ascii="Times New Roman" w:hAnsi="Times New Roman" w:eastAsia="方正仿宋_GBK" w:cs="Times New Roman"/>
          <w:sz w:val="32"/>
          <w:szCs w:val="32"/>
          <w:shd w:val="clear" w:color="auto" w:fill="FFFFFF"/>
        </w:rPr>
        <w:t>万元，较上年决算数</w:t>
      </w:r>
      <w:r>
        <w:rPr>
          <w:rFonts w:hint="eastAsia" w:ascii="Times New Roman" w:hAnsi="Times New Roman" w:eastAsia="方正仿宋_GBK" w:cs="Times New Roman"/>
          <w:sz w:val="32"/>
          <w:szCs w:val="32"/>
          <w:shd w:val="clear" w:color="auto" w:fill="FFFFFF"/>
          <w:lang w:val="en-US" w:eastAsia="zh-CN"/>
        </w:rPr>
        <w:t>增加22.88</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村镇建设服务中心</w:t>
      </w:r>
      <w:r>
        <w:rPr>
          <w:rFonts w:hint="default" w:ascii="Times New Roman" w:hAnsi="Times New Roman" w:eastAsia="方正仿宋_GBK" w:cs="Times New Roman"/>
          <w:sz w:val="32"/>
          <w:szCs w:val="32"/>
          <w:shd w:val="clear" w:color="auto" w:fill="FFFFFF"/>
        </w:rPr>
        <w:t>未单独进行财务核算及决算处理，纳入政府核算及决算。较年初预算数增加</w:t>
      </w:r>
      <w:r>
        <w:rPr>
          <w:rFonts w:hint="eastAsia" w:ascii="Times New Roman" w:hAnsi="Times New Roman" w:eastAsia="方正仿宋_GBK" w:cs="Times New Roman"/>
          <w:sz w:val="32"/>
          <w:szCs w:val="32"/>
          <w:shd w:val="clear" w:color="auto" w:fill="FFFFFF"/>
          <w:lang w:val="en-US" w:eastAsia="zh-CN"/>
        </w:rPr>
        <w:t>22.88</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年中从政府（本级）调整预算到</w:t>
      </w:r>
      <w:r>
        <w:rPr>
          <w:rFonts w:hint="eastAsia" w:ascii="Times New Roman" w:hAnsi="Times New Roman" w:eastAsia="方正仿宋_GBK" w:cs="Times New Roman"/>
          <w:sz w:val="32"/>
          <w:szCs w:val="32"/>
          <w:shd w:val="clear" w:color="auto" w:fill="FFFFFF"/>
          <w:lang w:eastAsia="zh-CN"/>
        </w:rPr>
        <w:t>村镇建设服务中心</w:t>
      </w:r>
      <w:r>
        <w:rPr>
          <w:rFonts w:hint="eastAsia" w:ascii="Times New Roman" w:hAnsi="Times New Roman" w:eastAsia="方正仿宋_GBK" w:cs="Times New Roman"/>
          <w:sz w:val="32"/>
          <w:szCs w:val="32"/>
          <w:shd w:val="clear" w:color="auto" w:fill="FFFFFF"/>
          <w:lang w:val="en-US" w:eastAsia="zh-CN"/>
        </w:rPr>
        <w:t>。</w:t>
      </w:r>
      <w:r>
        <w:rPr>
          <w:rFonts w:hint="default" w:ascii="Times New Roman" w:hAnsi="Times New Roman" w:eastAsia="方正仿宋_GBK" w:cs="Times New Roman"/>
          <w:sz w:val="32"/>
          <w:szCs w:val="32"/>
          <w:shd w:val="clear" w:color="auto" w:fill="FFFFFF"/>
        </w:rPr>
        <w:t>此外，年初财政拨款结转和结余0.00万元</w:t>
      </w:r>
      <w:r>
        <w:rPr>
          <w:rFonts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年度一般公共预算财政拨款支出</w:t>
      </w:r>
      <w:r>
        <w:rPr>
          <w:rFonts w:hint="eastAsia" w:ascii="Times New Roman" w:hAnsi="Times New Roman" w:eastAsia="方正仿宋_GBK" w:cs="Times New Roman"/>
          <w:sz w:val="32"/>
          <w:szCs w:val="32"/>
          <w:shd w:val="clear" w:color="auto" w:fill="FFFFFF"/>
          <w:lang w:eastAsia="zh-CN"/>
        </w:rPr>
        <w:t>49.07</w:t>
      </w:r>
      <w:r>
        <w:rPr>
          <w:rFonts w:hint="default" w:ascii="Times New Roman" w:hAnsi="Times New Roman" w:eastAsia="方正仿宋_GBK" w:cs="Times New Roman"/>
          <w:sz w:val="32"/>
          <w:szCs w:val="32"/>
          <w:shd w:val="clear" w:color="auto" w:fill="FFFFFF"/>
        </w:rPr>
        <w:t>万元，较上年决算数</w:t>
      </w:r>
      <w:r>
        <w:rPr>
          <w:rFonts w:hint="eastAsia" w:ascii="Times New Roman" w:hAnsi="Times New Roman" w:eastAsia="方正仿宋_GBK" w:cs="Times New Roman"/>
          <w:sz w:val="32"/>
          <w:szCs w:val="32"/>
          <w:shd w:val="clear" w:color="auto" w:fill="FFFFFF"/>
          <w:lang w:val="en-US" w:eastAsia="zh-CN"/>
        </w:rPr>
        <w:t>增加22.88</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村镇建设服务中心</w:t>
      </w:r>
      <w:r>
        <w:rPr>
          <w:rFonts w:hint="default" w:ascii="Times New Roman" w:hAnsi="Times New Roman" w:eastAsia="方正仿宋_GBK" w:cs="Times New Roman"/>
          <w:sz w:val="32"/>
          <w:szCs w:val="32"/>
          <w:shd w:val="clear" w:color="auto" w:fill="FFFFFF"/>
        </w:rPr>
        <w:t>未单独进行财务核算及决算处理，纳入政府核算及决算。较年初预算数增加</w:t>
      </w:r>
      <w:r>
        <w:rPr>
          <w:rFonts w:hint="eastAsia" w:ascii="Times New Roman" w:hAnsi="Times New Roman" w:eastAsia="方正仿宋_GBK" w:cs="Times New Roman"/>
          <w:sz w:val="32"/>
          <w:szCs w:val="32"/>
          <w:shd w:val="clear" w:color="auto" w:fill="FFFFFF"/>
          <w:lang w:val="en-US" w:eastAsia="zh-CN"/>
        </w:rPr>
        <w:t>22.88</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lang w:eastAsia="zh-CN"/>
        </w:rPr>
        <w:t>村镇建设服务中心</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sz w:val="32"/>
          <w:szCs w:val="32"/>
        </w:rPr>
      </w:pPr>
      <w:r>
        <w:rPr>
          <w:rStyle w:val="13"/>
          <w:rFonts w:hint="default" w:ascii="Times New Roman" w:hAnsi="Times New Roman" w:eastAsia="方正仿宋_GBK" w:cs="Times New Roman"/>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年度年末一般公共预算财政拨款结转和结余0.00万元，较上年</w:t>
      </w:r>
      <w:r>
        <w:rPr>
          <w:rFonts w:ascii="方正仿宋_GBK" w:hAnsi="方正仿宋_GBK" w:eastAsia="方正仿宋_GBK" w:cs="方正仿宋_GBK"/>
          <w:sz w:val="32"/>
          <w:szCs w:val="32"/>
          <w:shd w:val="clear" w:color="auto" w:fill="FFFFFF"/>
        </w:rPr>
        <w:t>决算数无增减</w:t>
      </w:r>
      <w:r>
        <w:rPr>
          <w:rFonts w:hint="eastAsia" w:ascii="方正仿宋_GBK" w:hAnsi="方正仿宋_GBK" w:eastAsia="方正仿宋_GBK" w:cs="方正仿宋_GBK"/>
          <w:sz w:val="32"/>
          <w:szCs w:val="32"/>
          <w:shd w:val="clear" w:color="auto" w:fill="FFFFFF"/>
          <w:lang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2" w:firstLineChars="200"/>
        <w:jc w:val="both"/>
        <w:textAlignment w:val="auto"/>
        <w:rPr>
          <w:rFonts w:hint="default" w:ascii="方正仿宋_GBK" w:hAnsi="方正仿宋_GBK" w:eastAsia="方正仿宋_GBK" w:cs="方正仿宋_GBK"/>
          <w:color w:val="FF0000"/>
          <w:sz w:val="32"/>
          <w:szCs w:val="32"/>
          <w:highlight w:val="cyan"/>
          <w:shd w:val="clear" w:color="auto" w:fill="FFFFFF"/>
        </w:rPr>
      </w:pPr>
      <w:r>
        <w:rPr>
          <w:rStyle w:val="13"/>
          <w:rFonts w:hint="default" w:ascii="Times New Roman" w:hAnsi="Times New Roman" w:eastAsia="方正仿宋_GBK" w:cs="Times New Roman"/>
          <w:sz w:val="32"/>
          <w:szCs w:val="32"/>
          <w:shd w:val="clear" w:color="auto" w:fill="FFFFFF"/>
        </w:rPr>
        <w:t>4.</w:t>
      </w:r>
      <w:r>
        <w:rPr>
          <w:rStyle w:val="13"/>
          <w:rFonts w:ascii="方正仿宋_GBK" w:hAnsi="方正仿宋_GBK" w:eastAsia="方正仿宋_GBK" w:cs="方正仿宋_GBK"/>
          <w:sz w:val="32"/>
          <w:szCs w:val="32"/>
          <w:shd w:val="clear" w:color="auto" w:fill="FFFFFF"/>
        </w:rPr>
        <w:t>比较情况。</w:t>
      </w: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年度一</w:t>
      </w:r>
      <w:r>
        <w:rPr>
          <w:rFonts w:ascii="方正仿宋_GBK" w:hAnsi="方正仿宋_GBK" w:eastAsia="方正仿宋_GBK" w:cs="方正仿宋_GBK"/>
          <w:sz w:val="32"/>
          <w:szCs w:val="32"/>
          <w:shd w:val="clear" w:color="auto" w:fill="FFFFFF"/>
        </w:rPr>
        <w:t>般公共预算财政拨款支出主要用于以下几个方面：</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1</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一般公共服务支出</w:t>
      </w:r>
      <w:r>
        <w:rPr>
          <w:rFonts w:hint="eastAsia" w:ascii="Times New Roman" w:hAnsi="Times New Roman" w:eastAsia="方正仿宋_GBK" w:cs="Times New Roman"/>
          <w:sz w:val="32"/>
          <w:szCs w:val="32"/>
          <w:shd w:val="clear" w:color="auto" w:fill="FFFFFF"/>
          <w:lang w:eastAsia="zh-CN"/>
        </w:rPr>
        <w:t>0.4</w:t>
      </w:r>
      <w:r>
        <w:rPr>
          <w:rFonts w:hint="eastAsia"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万元，占</w:t>
      </w:r>
      <w:r>
        <w:rPr>
          <w:rFonts w:hint="eastAsia" w:ascii="Times New Roman" w:hAnsi="Times New Roman" w:eastAsia="方正仿宋_GBK" w:cs="Times New Roman"/>
          <w:sz w:val="32"/>
          <w:szCs w:val="32"/>
          <w:shd w:val="clear" w:color="auto" w:fill="FFFFFF"/>
          <w:lang w:val="en-US" w:eastAsia="zh-CN"/>
        </w:rPr>
        <w:t>1.8</w:t>
      </w:r>
      <w:r>
        <w:rPr>
          <w:rFonts w:hint="default" w:ascii="Times New Roman" w:hAnsi="Times New Roman" w:eastAsia="方正仿宋_GBK" w:cs="Times New Roman"/>
          <w:sz w:val="32"/>
          <w:szCs w:val="32"/>
          <w:shd w:val="clear" w:color="auto" w:fill="FFFFFF"/>
        </w:rPr>
        <w:t>%，较年初预算数增加</w:t>
      </w:r>
      <w:r>
        <w:rPr>
          <w:rFonts w:hint="eastAsia" w:ascii="Times New Roman" w:hAnsi="Times New Roman" w:eastAsia="方正仿宋_GBK" w:cs="Times New Roman"/>
          <w:sz w:val="32"/>
          <w:szCs w:val="32"/>
          <w:shd w:val="clear" w:color="auto" w:fill="FFFFFF"/>
          <w:lang w:eastAsia="zh-CN"/>
        </w:rPr>
        <w:t>0.4</w:t>
      </w:r>
      <w:r>
        <w:rPr>
          <w:rFonts w:hint="eastAsia" w:ascii="Times New Roman" w:hAnsi="Times New Roman" w:eastAsia="方正仿宋_GBK" w:cs="Times New Roman"/>
          <w:sz w:val="32"/>
          <w:szCs w:val="32"/>
          <w:shd w:val="clear" w:color="auto" w:fill="FFFFFF"/>
          <w:lang w:val="en-US" w:eastAsia="zh-CN"/>
        </w:rPr>
        <w:t>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年中从</w:t>
      </w:r>
      <w:r>
        <w:rPr>
          <w:rFonts w:hint="eastAsia" w:ascii="方正仿宋_GBK" w:hAnsi="方正仿宋_GBK" w:eastAsia="方正仿宋_GBK" w:cs="方正仿宋_GBK"/>
          <w:sz w:val="32"/>
          <w:szCs w:val="32"/>
          <w:shd w:val="clear" w:color="auto" w:fill="FFFFFF"/>
          <w:lang w:val="en-US" w:eastAsia="zh-CN"/>
        </w:rPr>
        <w:t>政府（本级）调整预算到</w:t>
      </w:r>
      <w:r>
        <w:rPr>
          <w:rFonts w:hint="eastAsia" w:ascii="方正仿宋_GBK" w:hAnsi="方正仿宋_GBK" w:eastAsia="方正仿宋_GBK" w:cs="方正仿宋_GBK"/>
          <w:sz w:val="32"/>
          <w:szCs w:val="32"/>
          <w:shd w:val="clear" w:color="auto" w:fill="FFFFFF"/>
          <w:lang w:eastAsia="zh-CN"/>
        </w:rPr>
        <w:t>村镇建设服务中心</w:t>
      </w:r>
      <w:r>
        <w:rPr>
          <w:rFonts w:hint="eastAsia" w:ascii="方正仿宋_GBK" w:hAnsi="方正仿宋_GBK" w:eastAsia="方正仿宋_GBK" w:cs="方正仿宋_GBK"/>
          <w:sz w:val="32"/>
          <w:szCs w:val="32"/>
          <w:shd w:val="clear" w:color="auto" w:fill="FFFFFF"/>
          <w:lang w:val="en-US" w:eastAsia="zh-CN"/>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rPr>
        <w:t>2</w:t>
      </w:r>
      <w:r>
        <w:rPr>
          <w:rFonts w:ascii="方正仿宋_GBK" w:hAnsi="方正仿宋_GBK" w:eastAsia="方正仿宋_GBK" w:cs="方正仿宋_GBK"/>
          <w:sz w:val="32"/>
          <w:szCs w:val="32"/>
          <w:shd w:val="clear" w:color="auto" w:fill="FFFFFF"/>
        </w:rPr>
        <w:t>）</w:t>
      </w:r>
      <w:r>
        <w:rPr>
          <w:rFonts w:hint="eastAsia" w:ascii="方正仿宋_GBK" w:hAnsi="方正仿宋_GBK" w:eastAsia="方正仿宋_GBK" w:cs="方正仿宋_GBK"/>
          <w:sz w:val="32"/>
          <w:szCs w:val="32"/>
          <w:shd w:val="clear" w:color="auto" w:fill="FFFFFF"/>
          <w:lang w:val="en-US" w:eastAsia="zh-CN"/>
        </w:rPr>
        <w:t>社会保障和就业支出</w:t>
      </w:r>
      <w:r>
        <w:rPr>
          <w:rFonts w:hint="eastAsia" w:ascii="Times New Roman" w:hAnsi="Times New Roman" w:eastAsia="方正仿宋_GBK" w:cs="Times New Roman"/>
          <w:sz w:val="32"/>
          <w:szCs w:val="32"/>
          <w:lang w:val="en-US" w:eastAsia="zh-CN"/>
        </w:rPr>
        <w:t>19.19</w:t>
      </w:r>
      <w:r>
        <w:rPr>
          <w:rFonts w:hint="default" w:ascii="Times New Roman" w:hAnsi="Times New Roman" w:eastAsia="方正仿宋_GBK" w:cs="Times New Roman"/>
          <w:sz w:val="32"/>
          <w:szCs w:val="32"/>
          <w:shd w:val="clear" w:color="auto" w:fill="FFFFFF"/>
        </w:rPr>
        <w:t>万元，占</w:t>
      </w:r>
      <w:r>
        <w:rPr>
          <w:rFonts w:hint="eastAsia" w:ascii="Times New Roman" w:hAnsi="Times New Roman" w:eastAsia="方正仿宋_GBK" w:cs="Times New Roman"/>
          <w:sz w:val="32"/>
          <w:szCs w:val="32"/>
          <w:lang w:val="en-US" w:eastAsia="zh-CN"/>
        </w:rPr>
        <w:t>66.44</w:t>
      </w:r>
      <w:r>
        <w:rPr>
          <w:rFonts w:hint="default" w:ascii="Times New Roman" w:hAnsi="Times New Roman" w:eastAsia="方正仿宋_GBK" w:cs="Times New Roman"/>
          <w:sz w:val="32"/>
          <w:szCs w:val="32"/>
          <w:shd w:val="clear" w:color="auto" w:fill="FFFFFF"/>
        </w:rPr>
        <w:t>%，较年初预算数增加</w:t>
      </w:r>
      <w:r>
        <w:rPr>
          <w:rFonts w:hint="eastAsia" w:ascii="Times New Roman" w:hAnsi="Times New Roman" w:eastAsia="方正仿宋_GBK" w:cs="Times New Roman"/>
          <w:sz w:val="32"/>
          <w:szCs w:val="32"/>
          <w:lang w:val="en-US" w:eastAsia="zh-CN"/>
        </w:rPr>
        <w:t>19.19</w:t>
      </w:r>
      <w:r>
        <w:rPr>
          <w:rFonts w:hint="default" w:ascii="Times New Roman" w:hAnsi="Times New Roman" w:eastAsia="方正仿宋_GBK" w:cs="Times New Roman"/>
          <w:sz w:val="32"/>
          <w:szCs w:val="32"/>
          <w:shd w:val="clear" w:color="auto" w:fill="FFFFFF"/>
        </w:rPr>
        <w:t>万元，增长</w:t>
      </w:r>
      <w:r>
        <w:rPr>
          <w:rFonts w:hint="default"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lang w:eastAsia="zh-CN"/>
        </w:rPr>
        <w:t>村镇建设服务中心</w:t>
      </w:r>
      <w:r>
        <w:rPr>
          <w:rFonts w:hint="eastAsia" w:ascii="方正仿宋_GBK" w:hAnsi="方正仿宋_GBK" w:eastAsia="方正仿宋_GBK" w:cs="方正仿宋_GBK"/>
          <w:sz w:val="32"/>
          <w:szCs w:val="32"/>
          <w:shd w:val="clear" w:color="auto" w:fill="FFFFFF"/>
          <w:lang w:val="en-US" w:eastAsia="zh-CN"/>
        </w:rPr>
        <w:t>。</w:t>
      </w:r>
    </w:p>
    <w:p>
      <w:pPr>
        <w:keepNext w:val="0"/>
        <w:keepLines w:val="0"/>
        <w:pageBreakBefore w:val="0"/>
        <w:widowControl/>
        <w:kinsoku/>
        <w:wordWrap/>
        <w:overflowPunct/>
        <w:topLinePunct w:val="0"/>
        <w:autoSpaceDN/>
        <w:bidi w:val="0"/>
        <w:adjustRightInd/>
        <w:spacing w:beforeAutospacing="0" w:afterAutospacing="0" w:line="560" w:lineRule="exact"/>
        <w:ind w:firstLine="640" w:firstLineChars="200"/>
        <w:jc w:val="both"/>
        <w:textAlignment w:val="auto"/>
        <w:rPr>
          <w:rFonts w:hint="eastAsia" w:ascii="方正仿宋_GBK" w:hAnsi="方正仿宋_GBK" w:eastAsia="方正仿宋_GBK" w:cs="方正仿宋_GBK"/>
          <w:sz w:val="32"/>
          <w:szCs w:val="32"/>
          <w:shd w:val="clear" w:color="auto" w:fill="FFFFFF"/>
          <w:lang w:val="en-US" w:eastAsia="zh-CN"/>
        </w:rPr>
      </w:pPr>
      <w:r>
        <w:rPr>
          <w:rFonts w:ascii="方正仿宋_GBK" w:hAnsi="方正仿宋_GBK" w:eastAsia="方正仿宋_GBK" w:cs="方正仿宋_GBK"/>
          <w:sz w:val="32"/>
          <w:szCs w:val="32"/>
          <w:shd w:val="clear" w:color="auto" w:fill="FFFFFF"/>
        </w:rPr>
        <w:t>（</w:t>
      </w:r>
      <w:r>
        <w:rPr>
          <w:rFonts w:hint="eastAsia" w:ascii="Times New Roman" w:hAnsi="Times New Roman" w:eastAsia="方正仿宋_GBK" w:cs="Times New Roman"/>
          <w:sz w:val="32"/>
          <w:szCs w:val="32"/>
          <w:shd w:val="clear" w:color="auto" w:fill="FFFFFF"/>
          <w:lang w:val="en-US" w:eastAsia="zh-CN" w:bidi="ar-SA"/>
        </w:rPr>
        <w:t>3</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w:t>
      </w:r>
      <w:r>
        <w:rPr>
          <w:rFonts w:hint="default" w:ascii="Times New Roman" w:hAnsi="Times New Roman" w:eastAsia="方正仿宋_GBK" w:cs="Times New Roman"/>
          <w:sz w:val="32"/>
          <w:szCs w:val="32"/>
          <w:shd w:val="clear" w:color="auto" w:fill="FFFFFF"/>
          <w:lang w:val="en-US" w:eastAsia="zh-CN" w:bidi="ar-SA"/>
        </w:rPr>
        <w:t>出</w:t>
      </w:r>
      <w:r>
        <w:rPr>
          <w:rFonts w:hint="eastAsia" w:ascii="Times New Roman" w:hAnsi="Times New Roman" w:eastAsia="方正仿宋_GBK" w:cs="Times New Roman"/>
          <w:sz w:val="32"/>
          <w:szCs w:val="32"/>
          <w:shd w:val="clear" w:color="auto" w:fill="FFFFFF"/>
          <w:lang w:val="en-US" w:eastAsia="zh-CN" w:bidi="ar-SA"/>
        </w:rPr>
        <w:t>1.76</w:t>
      </w:r>
      <w:r>
        <w:rPr>
          <w:rFonts w:hint="default" w:ascii="Times New Roman" w:hAnsi="Times New Roman" w:eastAsia="方正仿宋_GBK" w:cs="Times New Roman"/>
          <w:sz w:val="32"/>
          <w:szCs w:val="32"/>
          <w:shd w:val="clear" w:color="auto" w:fill="FFFFFF"/>
          <w:lang w:val="en-US" w:eastAsia="zh-CN" w:bidi="ar-SA"/>
        </w:rPr>
        <w:t>万元，占</w:t>
      </w:r>
      <w:r>
        <w:rPr>
          <w:rFonts w:hint="eastAsia" w:ascii="Times New Roman" w:hAnsi="Times New Roman" w:eastAsia="方正仿宋_GBK" w:cs="Times New Roman"/>
          <w:sz w:val="32"/>
          <w:szCs w:val="32"/>
          <w:shd w:val="clear" w:color="auto" w:fill="FFFFFF"/>
          <w:lang w:val="en-US" w:eastAsia="zh-CN" w:bidi="ar-SA"/>
        </w:rPr>
        <w:t>6.09%</w:t>
      </w:r>
      <w:r>
        <w:rPr>
          <w:rFonts w:hint="default" w:ascii="Times New Roman" w:hAnsi="Times New Roman" w:eastAsia="方正仿宋_GBK" w:cs="Times New Roman"/>
          <w:sz w:val="32"/>
          <w:szCs w:val="32"/>
          <w:shd w:val="clear" w:color="auto" w:fill="FFFFFF"/>
          <w:lang w:val="en-US" w:eastAsia="zh-CN" w:bidi="ar-SA"/>
        </w:rPr>
        <w:t>，较年初预算数增加</w:t>
      </w:r>
      <w:r>
        <w:rPr>
          <w:rFonts w:hint="eastAsia" w:ascii="Times New Roman" w:hAnsi="Times New Roman" w:eastAsia="方正仿宋_GBK" w:cs="Times New Roman"/>
          <w:sz w:val="32"/>
          <w:szCs w:val="32"/>
          <w:shd w:val="clear" w:color="auto" w:fill="FFFFFF"/>
          <w:lang w:val="en-US" w:eastAsia="zh-CN" w:bidi="ar-SA"/>
        </w:rPr>
        <w:t>1.76</w:t>
      </w:r>
      <w:r>
        <w:rPr>
          <w:rFonts w:hint="default" w:ascii="Times New Roman" w:hAnsi="Times New Roman" w:eastAsia="方正仿宋_GBK" w:cs="Times New Roman"/>
          <w:sz w:val="32"/>
          <w:szCs w:val="32"/>
          <w:shd w:val="clear" w:color="auto" w:fill="FFFFFF"/>
          <w:lang w:val="en-US" w:eastAsia="zh-CN" w:bidi="ar-SA"/>
        </w:rPr>
        <w:t>万元，增长</w:t>
      </w:r>
      <w:r>
        <w:rPr>
          <w:rFonts w:hint="eastAsia" w:ascii="Times New Roman" w:hAnsi="Times New Roman" w:eastAsia="方正仿宋_GBK" w:cs="Times New Roman"/>
          <w:sz w:val="32"/>
          <w:szCs w:val="32"/>
          <w:shd w:val="clear" w:color="auto" w:fill="FFFFFF"/>
          <w:lang w:val="en-US" w:eastAsia="zh-CN" w:bidi="ar-SA"/>
        </w:rPr>
        <w:t>100.00</w:t>
      </w:r>
      <w:r>
        <w:rPr>
          <w:rFonts w:hint="default" w:ascii="Times New Roman" w:hAnsi="Times New Roman" w:eastAsia="方正仿宋_GBK" w:cs="Times New Roman"/>
          <w:sz w:val="32"/>
          <w:szCs w:val="32"/>
          <w:shd w:val="clear" w:color="auto" w:fill="FFFFFF"/>
          <w:lang w:val="en-US" w:eastAsia="zh-CN" w:bidi="ar-SA"/>
        </w:rPr>
        <w:t>%</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val="en-US" w:eastAsia="zh-CN"/>
        </w:rPr>
        <w:t>年中从政府（本级）调整预算到</w:t>
      </w:r>
      <w:r>
        <w:rPr>
          <w:rFonts w:hint="eastAsia" w:ascii="方正仿宋_GBK" w:hAnsi="方正仿宋_GBK" w:eastAsia="方正仿宋_GBK" w:cs="方正仿宋_GBK"/>
          <w:sz w:val="32"/>
          <w:szCs w:val="32"/>
          <w:shd w:val="clear" w:color="auto" w:fill="FFFFFF"/>
          <w:lang w:eastAsia="zh-CN"/>
        </w:rPr>
        <w:t>村镇建设服务中心</w:t>
      </w:r>
      <w:r>
        <w:rPr>
          <w:rFonts w:hint="eastAsia" w:ascii="方正仿宋_GBK" w:hAnsi="方正仿宋_GBK" w:eastAsia="方正仿宋_GBK" w:cs="方正仿宋_GBK"/>
          <w:sz w:val="32"/>
          <w:szCs w:val="32"/>
          <w:shd w:val="clear" w:color="auto" w:fill="FFFFFF"/>
          <w:lang w:val="en-US" w:eastAsia="zh-CN"/>
        </w:rPr>
        <w:t>。</w:t>
      </w:r>
    </w:p>
    <w:p>
      <w:pPr>
        <w:pStyle w:val="2"/>
        <w:keepNext w:val="0"/>
        <w:keepLines w:val="0"/>
        <w:pageBreakBefore w:val="0"/>
        <w:widowControl/>
        <w:kinsoku/>
        <w:wordWrap/>
        <w:overflowPunct/>
        <w:topLinePunct w:val="0"/>
        <w:autoSpaceDN/>
        <w:bidi w:val="0"/>
        <w:adjustRightInd/>
        <w:spacing w:line="560" w:lineRule="exact"/>
        <w:textAlignment w:val="auto"/>
        <w:rPr>
          <w:rFonts w:hint="eastAsia"/>
          <w:lang w:val="en-US" w:eastAsia="zh-CN"/>
        </w:rPr>
      </w:pPr>
    </w:p>
    <w:p>
      <w:pPr>
        <w:pStyle w:val="2"/>
        <w:keepNext w:val="0"/>
        <w:keepLines w:val="0"/>
        <w:pageBreakBefore w:val="0"/>
        <w:widowControl/>
        <w:kinsoku/>
        <w:wordWrap/>
        <w:overflowPunct/>
        <w:topLinePunct w:val="0"/>
        <w:autoSpaceDN/>
        <w:bidi w:val="0"/>
        <w:adjustRightInd/>
        <w:spacing w:line="560" w:lineRule="exact"/>
        <w:textAlignment w:val="auto"/>
        <w:rPr>
          <w:rFonts w:hint="default"/>
        </w:rPr>
      </w:pP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（四）一般公共预算财政拨款基本支出决算情况说明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年度一般公共财政拨款基本支出</w:t>
      </w:r>
      <w:r>
        <w:rPr>
          <w:rFonts w:hint="eastAsia" w:ascii="Times New Roman" w:hAnsi="Times New Roman" w:eastAsia="方正仿宋_GBK" w:cs="Times New Roman"/>
          <w:sz w:val="32"/>
          <w:szCs w:val="32"/>
          <w:shd w:val="clear" w:color="auto" w:fill="FFFFFF"/>
          <w:lang w:val="en-US" w:eastAsia="zh-CN"/>
        </w:rPr>
        <w:t>28.88</w:t>
      </w:r>
      <w:r>
        <w:rPr>
          <w:rFonts w:hint="default" w:ascii="Times New Roman" w:hAnsi="Times New Roman" w:eastAsia="方正仿宋_GBK" w:cs="Times New Roman"/>
          <w:sz w:val="32"/>
          <w:szCs w:val="32"/>
          <w:shd w:val="clear" w:color="auto" w:fill="FFFFFF"/>
        </w:rPr>
        <w:t>万元。其中：人员经费</w:t>
      </w:r>
      <w:r>
        <w:rPr>
          <w:rFonts w:hint="eastAsia" w:ascii="Times New Roman" w:hAnsi="Times New Roman" w:eastAsia="方正仿宋_GBK" w:cs="Times New Roman"/>
          <w:sz w:val="32"/>
          <w:szCs w:val="32"/>
          <w:shd w:val="clear" w:color="auto" w:fill="FFFFFF"/>
          <w:lang w:val="en-US" w:eastAsia="zh-CN"/>
        </w:rPr>
        <w:t>22.46</w:t>
      </w:r>
      <w:r>
        <w:rPr>
          <w:rFonts w:hint="default" w:ascii="Times New Roman" w:hAnsi="Times New Roman" w:eastAsia="方正仿宋_GBK" w:cs="Times New Roman"/>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22.46</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村镇建设服务中心</w:t>
      </w:r>
      <w:r>
        <w:rPr>
          <w:rFonts w:hint="default" w:ascii="Times New Roman" w:hAnsi="Times New Roman" w:eastAsia="方正仿宋_GBK" w:cs="Times New Roman"/>
          <w:sz w:val="32"/>
          <w:szCs w:val="32"/>
          <w:shd w:val="clear" w:color="auto" w:fill="FFFFFF"/>
        </w:rPr>
        <w:t>未单独进行财务核算及决算</w:t>
      </w:r>
      <w:r>
        <w:rPr>
          <w:rFonts w:ascii="方正仿宋_GBK" w:hAnsi="方正仿宋_GBK" w:eastAsia="方正仿宋_GBK" w:cs="方正仿宋_GBK"/>
          <w:sz w:val="32"/>
          <w:szCs w:val="32"/>
          <w:shd w:val="clear" w:color="auto" w:fill="FFFFFF"/>
        </w:rPr>
        <w:t>处理，纳入政府核算及决算。人员经费用途主要包括</w:t>
      </w:r>
      <w:r>
        <w:rPr>
          <w:rFonts w:hint="default" w:ascii="方正仿宋_GBK" w:hAnsi="方正仿宋_GBK" w:eastAsia="方正仿宋_GBK" w:cs="方正仿宋_GBK"/>
          <w:sz w:val="32"/>
          <w:szCs w:val="32"/>
          <w:shd w:val="clear" w:color="auto" w:fill="FFFFFF"/>
        </w:rPr>
        <w:t>基本工资、津贴补贴、奖金、伙食补助费、绩效工资、社会保障缴费及住房公积金等。</w:t>
      </w:r>
      <w:r>
        <w:rPr>
          <w:rFonts w:hint="default" w:ascii="Times New Roman" w:hAnsi="Times New Roman" w:eastAsia="方正仿宋_GBK" w:cs="Times New Roman"/>
          <w:sz w:val="32"/>
          <w:szCs w:val="32"/>
          <w:shd w:val="clear" w:color="auto" w:fill="FFFFFF"/>
        </w:rPr>
        <w:t>公用经费</w:t>
      </w:r>
      <w:r>
        <w:rPr>
          <w:rFonts w:hint="eastAsia" w:ascii="Times New Roman" w:hAnsi="Times New Roman" w:eastAsia="方正仿宋_GBK" w:cs="Times New Roman"/>
          <w:sz w:val="32"/>
          <w:szCs w:val="32"/>
          <w:shd w:val="clear" w:color="auto" w:fill="FFFFFF"/>
          <w:lang w:val="en-US" w:eastAsia="zh-CN"/>
        </w:rPr>
        <w:t>0.42</w:t>
      </w:r>
      <w:r>
        <w:rPr>
          <w:rFonts w:hint="default" w:ascii="Times New Roman" w:hAnsi="Times New Roman" w:eastAsia="方正仿宋_GBK" w:cs="Times New Roman"/>
          <w:sz w:val="32"/>
          <w:szCs w:val="32"/>
          <w:shd w:val="clear" w:color="auto" w:fill="FFFFFF"/>
        </w:rPr>
        <w:t>万元，较上年决算数增加</w:t>
      </w:r>
      <w:r>
        <w:rPr>
          <w:rFonts w:hint="eastAsia" w:ascii="Times New Roman" w:hAnsi="Times New Roman" w:eastAsia="方正仿宋_GBK" w:cs="Times New Roman"/>
          <w:sz w:val="32"/>
          <w:szCs w:val="32"/>
          <w:shd w:val="clear" w:color="auto" w:fill="FFFFFF"/>
          <w:lang w:val="en-US" w:eastAsia="zh-CN"/>
        </w:rPr>
        <w:t>0.42</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村镇建设服务中心</w:t>
      </w:r>
      <w:r>
        <w:rPr>
          <w:rFonts w:hint="default" w:ascii="Times New Roman" w:hAnsi="Times New Roman" w:eastAsia="方正仿宋_GBK" w:cs="Times New Roman"/>
          <w:sz w:val="32"/>
          <w:szCs w:val="32"/>
          <w:shd w:val="clear" w:color="auto" w:fill="FFFFFF"/>
        </w:rPr>
        <w:t>未单独进行财务核算及决算处理，纳入政府核算及决算。公</w:t>
      </w:r>
      <w:r>
        <w:rPr>
          <w:rFonts w:ascii="方正仿宋_GBK" w:hAnsi="方正仿宋_GBK" w:eastAsia="方正仿宋_GBK" w:cs="方正仿宋_GBK"/>
          <w:sz w:val="32"/>
          <w:szCs w:val="32"/>
          <w:shd w:val="clear" w:color="auto" w:fill="FFFFFF"/>
        </w:rPr>
        <w:t>用经费用途主要包括</w:t>
      </w:r>
      <w:r>
        <w:rPr>
          <w:rFonts w:hint="default" w:ascii="方正仿宋_GBK" w:hAnsi="方正仿宋_GBK" w:eastAsia="方正仿宋_GBK" w:cs="方正仿宋_GBK"/>
          <w:sz w:val="32"/>
          <w:szCs w:val="32"/>
          <w:shd w:val="clear" w:color="auto" w:fill="FFFFFF"/>
        </w:rPr>
        <w:t>办公费、差旅费、劳务费、公务接待费及公务用车运行维护费等。</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（五）政府性基金预算收支决算情况说明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无政府性基金预算财政拨款收支。</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（六）国有资本经营预算财政拨款支出决算情况说明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本单位</w:t>
      </w: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w:t>
      </w:r>
      <w:r>
        <w:rPr>
          <w:rFonts w:ascii="方正仿宋_GBK" w:hAnsi="方正仿宋_GBK" w:eastAsia="方正仿宋_GBK" w:cs="方正仿宋_GBK"/>
          <w:sz w:val="32"/>
          <w:szCs w:val="32"/>
          <w:shd w:val="clear" w:color="auto" w:fill="FFFFFF"/>
        </w:rPr>
        <w:t>无国有资本经营预算财政拨款支出。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三、</w:t>
      </w:r>
      <w:r>
        <w:rPr>
          <w:rStyle w:val="13"/>
          <w:rFonts w:hint="eastAsia" w:ascii="方正黑体_GBK" w:hAnsi="方正黑体_GBK" w:eastAsia="方正黑体_GBK" w:cs="方正黑体_GBK"/>
          <w:b w:val="0"/>
          <w:bCs/>
          <w:sz w:val="32"/>
          <w:szCs w:val="32"/>
          <w:shd w:val="clear" w:color="auto" w:fill="FFFFFF"/>
          <w:lang w:eastAsia="zh-CN"/>
        </w:rPr>
        <w:t>财政拨款</w:t>
      </w:r>
      <w:r>
        <w:rPr>
          <w:rStyle w:val="13"/>
          <w:rFonts w:hint="eastAsia" w:ascii="方正黑体_GBK" w:hAnsi="方正黑体_GBK" w:eastAsia="方正黑体_GBK" w:cs="方正黑体_GBK"/>
          <w:b w:val="0"/>
          <w:bCs/>
          <w:sz w:val="32"/>
          <w:szCs w:val="32"/>
          <w:shd w:val="clear" w:color="auto" w:fill="FFFFFF"/>
        </w:rPr>
        <w:t>“三公”经费情况说明</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（一）“三公”经费支出总体情况说明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年度“三公”经费支出共计</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万元，较年初预算数</w:t>
      </w:r>
      <w:r>
        <w:rPr>
          <w:rFonts w:hint="eastAsia" w:ascii="Times New Roman" w:hAnsi="Times New Roman" w:eastAsia="方正仿宋_GBK" w:cs="Times New Roman"/>
          <w:sz w:val="32"/>
          <w:szCs w:val="32"/>
          <w:shd w:val="clear" w:color="auto" w:fill="FFFFFF"/>
          <w:lang w:val="en-US" w:eastAsia="zh-CN"/>
        </w:rPr>
        <w:t>增加0.00</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w:t>
      </w:r>
      <w:r>
        <w:rPr>
          <w:rFonts w:hint="eastAsia" w:ascii="Times New Roman" w:hAnsi="Times New Roman" w:eastAsia="方正仿宋_GBK" w:cs="Times New Roman"/>
          <w:sz w:val="32"/>
          <w:szCs w:val="32"/>
          <w:shd w:val="clear" w:color="auto" w:fill="FFFFFF"/>
          <w:lang w:val="en-US" w:eastAsia="zh-CN"/>
        </w:rPr>
        <w:t>年中从政府（本级）调整预算到</w:t>
      </w:r>
      <w:r>
        <w:rPr>
          <w:rFonts w:hint="eastAsia" w:ascii="Times New Roman" w:hAnsi="Times New Roman" w:eastAsia="方正仿宋_GBK" w:cs="Times New Roman"/>
          <w:sz w:val="32"/>
          <w:szCs w:val="32"/>
          <w:shd w:val="clear" w:color="auto" w:fill="FFFFFF"/>
          <w:lang w:eastAsia="zh-CN"/>
        </w:rPr>
        <w:t>村镇建设服务中心</w:t>
      </w:r>
      <w:r>
        <w:rPr>
          <w:rFonts w:hint="eastAsia" w:ascii="Times New Roman" w:hAnsi="Times New Roman" w:eastAsia="方正仿宋_GBK" w:cs="Times New Roman"/>
          <w:sz w:val="32"/>
          <w:szCs w:val="32"/>
          <w:shd w:val="clear" w:color="auto" w:fill="FFFFFF"/>
          <w:lang w:val="en-US" w:eastAsia="zh-CN"/>
        </w:rPr>
        <w:t>。</w:t>
      </w:r>
      <w:r>
        <w:rPr>
          <w:rFonts w:hint="default" w:ascii="Times New Roman" w:hAnsi="Times New Roman" w:eastAsia="方正仿宋_GBK" w:cs="Times New Roman"/>
          <w:sz w:val="32"/>
          <w:szCs w:val="32"/>
          <w:shd w:val="clear" w:color="auto" w:fill="FFFFFF"/>
        </w:rPr>
        <w:t>较上年支出数</w:t>
      </w:r>
      <w:r>
        <w:rPr>
          <w:rFonts w:hint="eastAsia" w:ascii="Times New Roman" w:hAnsi="Times New Roman" w:eastAsia="方正仿宋_GBK" w:cs="Times New Roman"/>
          <w:sz w:val="32"/>
          <w:szCs w:val="32"/>
          <w:shd w:val="clear" w:color="auto" w:fill="FFFFFF"/>
          <w:lang w:val="en-US" w:eastAsia="zh-CN"/>
        </w:rPr>
        <w:t>增加0.00</w:t>
      </w:r>
      <w:r>
        <w:rPr>
          <w:rFonts w:hint="default" w:ascii="Times New Roman" w:hAnsi="Times New Roman" w:eastAsia="方正仿宋_GBK" w:cs="Times New Roman"/>
          <w:sz w:val="32"/>
          <w:szCs w:val="32"/>
          <w:shd w:val="clear" w:color="auto" w:fill="FFFFFF"/>
        </w:rPr>
        <w:t>万元，</w:t>
      </w:r>
      <w:r>
        <w:rPr>
          <w:rFonts w:hint="eastAsia" w:ascii="Times New Roman" w:hAnsi="Times New Roman" w:eastAsia="方正仿宋_GBK" w:cs="Times New Roman"/>
          <w:sz w:val="32"/>
          <w:szCs w:val="32"/>
          <w:shd w:val="clear" w:color="auto" w:fill="FFFFFF"/>
          <w:lang w:val="en-US" w:eastAsia="zh-CN"/>
        </w:rPr>
        <w:t>增长100.00</w:t>
      </w:r>
      <w:r>
        <w:rPr>
          <w:rFonts w:hint="default" w:ascii="Times New Roman" w:hAnsi="Times New Roman" w:eastAsia="方正仿宋_GBK" w:cs="Times New Roman"/>
          <w:sz w:val="32"/>
          <w:szCs w:val="32"/>
          <w:shd w:val="clear" w:color="auto" w:fill="FFFFFF"/>
        </w:rPr>
        <w:t>%，主要原因是2023年</w:t>
      </w:r>
      <w:r>
        <w:rPr>
          <w:rFonts w:hint="eastAsia" w:ascii="方正仿宋_GBK" w:hAnsi="方正仿宋_GBK" w:eastAsia="方正仿宋_GBK" w:cs="方正仿宋_GBK"/>
          <w:sz w:val="32"/>
          <w:szCs w:val="32"/>
          <w:shd w:val="clear" w:color="auto" w:fill="FFFFFF"/>
          <w:lang w:eastAsia="zh-CN"/>
        </w:rPr>
        <w:t>村镇建设服务中心</w:t>
      </w:r>
      <w:r>
        <w:rPr>
          <w:rFonts w:ascii="方正仿宋_GBK" w:hAnsi="方正仿宋_GBK" w:eastAsia="方正仿宋_GBK" w:cs="方正仿宋_GBK"/>
          <w:sz w:val="32"/>
          <w:szCs w:val="32"/>
          <w:shd w:val="clear" w:color="auto" w:fill="FFFFFF"/>
        </w:rPr>
        <w:t>未单独进行财务核算及决算处理，纳入政府核算及决算</w:t>
      </w:r>
      <w:r>
        <w:rPr>
          <w:rFonts w:hint="eastAsia" w:ascii="方正仿宋_GBK" w:hAnsi="方正仿宋_GBK" w:eastAsia="方正仿宋_GBK" w:cs="方正仿宋_GBK"/>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（二）“三公”经费分项支出情况</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Times New Roman" w:hAnsi="Times New Roman" w:eastAsia="方正仿宋_GBK" w:cs="Times New Roman"/>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年度本单位因公出国（境）费用0.00万元，</w:t>
      </w:r>
      <w:r>
        <w:rPr>
          <w:rFonts w:ascii="方正仿宋_GBK" w:hAnsi="方正仿宋_GBK" w:eastAsia="方正仿宋_GBK" w:cs="方正仿宋_GBK"/>
          <w:sz w:val="32"/>
          <w:szCs w:val="32"/>
          <w:shd w:val="clear" w:color="auto" w:fill="FFFFFF"/>
        </w:rPr>
        <w:t>主要是用于</w:t>
      </w:r>
      <w:r>
        <w:rPr>
          <w:rFonts w:hint="eastAsia" w:ascii="方正仿宋_GBK" w:hAnsi="方正仿宋_GBK" w:eastAsia="方正仿宋_GBK" w:cs="方正仿宋_GBK"/>
          <w:sz w:val="32"/>
          <w:szCs w:val="32"/>
          <w:shd w:val="clear" w:color="auto" w:fill="FFFFFF"/>
          <w:lang w:val="en-US" w:eastAsia="zh-CN"/>
        </w:rPr>
        <w:t>没有</w:t>
      </w:r>
      <w:r>
        <w:rPr>
          <w:rFonts w:hint="default" w:ascii="方正仿宋_GBK" w:hAnsi="方正仿宋_GBK" w:eastAsia="方正仿宋_GBK" w:cs="方正仿宋_GBK"/>
          <w:sz w:val="32"/>
          <w:szCs w:val="32"/>
          <w:shd w:val="clear" w:color="auto" w:fill="FFFFFF"/>
        </w:rPr>
        <w:t>因公出国（境）</w:t>
      </w:r>
      <w:r>
        <w:rPr>
          <w:rFonts w:hint="eastAsia" w:ascii="方正仿宋_GBK" w:hAnsi="方正仿宋_GBK" w:eastAsia="方正仿宋_GBK" w:cs="方正仿宋_GBK"/>
          <w:sz w:val="32"/>
          <w:szCs w:val="32"/>
          <w:shd w:val="clear" w:color="auto" w:fill="FFFFFF"/>
          <w:lang w:val="en-US" w:eastAsia="zh-CN"/>
        </w:rPr>
        <w:t>职工</w:t>
      </w:r>
      <w:r>
        <w:rPr>
          <w:rFonts w:hint="default" w:ascii="Times New Roman" w:hAnsi="Times New Roman" w:eastAsia="方正仿宋_GBK" w:cs="Times New Roman"/>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度未发生因公出国（境）支出。较上年支出数无增减，主要原因是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度未发生因公出国（境）支出。</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公务车购置</w:t>
      </w:r>
      <w:r>
        <w:rPr>
          <w:rFonts w:hint="default" w:ascii="Times New Roman" w:hAnsi="Times New Roman" w:eastAsia="方正仿宋_GBK" w:cs="Times New Roman"/>
          <w:sz w:val="32"/>
          <w:szCs w:val="32"/>
          <w:shd w:val="clear" w:color="auto" w:fill="FFFFFF"/>
        </w:rPr>
        <w:t>费0.00万元，</w:t>
      </w:r>
      <w:r>
        <w:rPr>
          <w:rFonts w:ascii="方正仿宋_GBK" w:hAnsi="方正仿宋_GBK" w:eastAsia="方正仿宋_GBK" w:cs="方正仿宋_GBK"/>
          <w:sz w:val="32"/>
          <w:szCs w:val="32"/>
          <w:shd w:val="clear" w:color="auto" w:fill="FFFFFF"/>
        </w:rPr>
        <w:t>主要用于</w:t>
      </w:r>
      <w:r>
        <w:rPr>
          <w:rFonts w:hint="eastAsia" w:ascii="方正仿宋_GBK" w:hAnsi="方正仿宋_GBK" w:eastAsia="方正仿宋_GBK" w:cs="方正仿宋_GBK"/>
          <w:sz w:val="32"/>
          <w:szCs w:val="32"/>
          <w:shd w:val="clear" w:color="auto" w:fill="FFFFFF"/>
          <w:lang w:val="en-US" w:eastAsia="zh-CN"/>
        </w:rPr>
        <w:t>车辆采购</w:t>
      </w:r>
      <w:r>
        <w:rPr>
          <w:rFonts w:hint="default" w:ascii="Times New Roman" w:hAnsi="Times New Roman" w:eastAsia="方正仿宋_GBK" w:cs="Times New Roman"/>
          <w:sz w:val="32"/>
          <w:szCs w:val="32"/>
          <w:shd w:val="clear" w:color="auto" w:fill="FFFFFF"/>
        </w:rPr>
        <w:t>。费用支出较年初预算数无增减，主要原因是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度未发生公务车购置支出。较上年支出数无增减，主要原因是</w:t>
      </w:r>
      <w:r>
        <w:rPr>
          <w:rFonts w:hint="default" w:ascii="Times New Roman" w:hAnsi="Times New Roman" w:eastAsia="方正仿宋_GBK" w:cs="Times New Roman"/>
          <w:sz w:val="32"/>
          <w:szCs w:val="32"/>
          <w:shd w:val="clear" w:color="auto" w:fill="FFFFFF"/>
          <w:lang w:eastAsia="zh-CN"/>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lang w:eastAsia="zh-CN"/>
        </w:rPr>
        <w:t>年</w:t>
      </w:r>
      <w:r>
        <w:rPr>
          <w:rFonts w:hint="default" w:ascii="Times New Roman" w:hAnsi="Times New Roman" w:eastAsia="方正仿宋_GBK" w:cs="Times New Roman"/>
          <w:sz w:val="32"/>
          <w:szCs w:val="32"/>
          <w:shd w:val="clear" w:color="auto" w:fill="FFFFFF"/>
        </w:rPr>
        <w:t>度未发生公务车购置支</w:t>
      </w:r>
      <w:r>
        <w:rPr>
          <w:rFonts w:hint="default" w:ascii="方正仿宋_GBK" w:hAnsi="方正仿宋_GBK" w:eastAsia="方正仿宋_GBK" w:cs="方正仿宋_GBK"/>
          <w:sz w:val="32"/>
          <w:szCs w:val="32"/>
          <w:shd w:val="clear" w:color="auto" w:fill="FFFFFF"/>
        </w:rPr>
        <w:t>出</w:t>
      </w:r>
      <w:r>
        <w:rPr>
          <w:rFonts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公务车运</w:t>
      </w:r>
      <w:r>
        <w:rPr>
          <w:rFonts w:hint="default" w:ascii="Times New Roman" w:hAnsi="Times New Roman" w:eastAsia="方正仿宋_GBK" w:cs="Times New Roman"/>
          <w:sz w:val="32"/>
          <w:szCs w:val="32"/>
          <w:shd w:val="clear" w:color="auto" w:fill="FFFFFF"/>
        </w:rPr>
        <w:t>行维护费</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万元，主要用于县内因公出行、</w:t>
      </w:r>
      <w:r>
        <w:rPr>
          <w:rFonts w:hint="eastAsia" w:ascii="Times New Roman" w:hAnsi="Times New Roman" w:eastAsia="方正仿宋_GBK" w:cs="Times New Roman"/>
          <w:sz w:val="32"/>
          <w:szCs w:val="32"/>
          <w:shd w:val="clear" w:color="auto" w:fill="FFFFFF"/>
          <w:lang w:eastAsia="zh-CN"/>
        </w:rPr>
        <w:t>安全生产监管、乡村振兴、巩固脱贫攻坚</w:t>
      </w:r>
      <w:r>
        <w:rPr>
          <w:rFonts w:hint="eastAsia" w:ascii="方正仿宋_GBK" w:hAnsi="方正仿宋_GBK" w:eastAsia="方正仿宋_GBK" w:cs="方正仿宋_GBK"/>
          <w:sz w:val="32"/>
          <w:szCs w:val="32"/>
          <w:shd w:val="clear" w:color="auto" w:fill="FFFFFF"/>
          <w:lang w:eastAsia="zh-CN"/>
        </w:rPr>
        <w:t>成果</w:t>
      </w:r>
      <w:r>
        <w:rPr>
          <w:rFonts w:hint="default" w:ascii="方正仿宋_GBK" w:hAnsi="方正仿宋_GBK" w:eastAsia="方正仿宋_GBK" w:cs="方正仿宋_GBK"/>
          <w:sz w:val="32"/>
          <w:szCs w:val="32"/>
          <w:shd w:val="clear" w:color="auto" w:fill="FFFFFF"/>
        </w:rPr>
        <w:t>等工作所需车辆的燃料费、维修费、保险费等。</w:t>
      </w:r>
      <w:r>
        <w:rPr>
          <w:rFonts w:ascii="方正仿宋_GBK" w:hAnsi="方正仿宋_GBK" w:eastAsia="方正仿宋_GBK" w:cs="方正仿宋_GBK"/>
          <w:sz w:val="32"/>
          <w:szCs w:val="32"/>
          <w:shd w:val="clear" w:color="auto" w:fill="FFFFFF"/>
        </w:rPr>
        <w:t>费用支出较年初预算数</w:t>
      </w:r>
      <w:r>
        <w:rPr>
          <w:rFonts w:hint="eastAsia" w:ascii="方正仿宋_GBK" w:hAnsi="方正仿宋_GBK" w:eastAsia="方正仿宋_GBK" w:cs="方正仿宋_GBK"/>
          <w:sz w:val="32"/>
          <w:szCs w:val="32"/>
          <w:shd w:val="clear" w:color="auto" w:fill="FFFFFF"/>
          <w:lang w:val="en-US" w:eastAsia="zh-CN"/>
        </w:rPr>
        <w:t>无增减</w:t>
      </w:r>
      <w:r>
        <w:rPr>
          <w:rFonts w:ascii="方正仿宋_GBK" w:hAnsi="方正仿宋_GBK" w:eastAsia="方正仿宋_GBK" w:cs="方正仿宋_GBK"/>
          <w:sz w:val="32"/>
          <w:szCs w:val="32"/>
          <w:shd w:val="clear" w:color="auto" w:fill="FFFFFF"/>
        </w:rPr>
        <w:t>。较上年支出数</w:t>
      </w:r>
      <w:r>
        <w:rPr>
          <w:rFonts w:hint="eastAsia" w:ascii="方正仿宋_GBK" w:hAnsi="方正仿宋_GBK" w:eastAsia="方正仿宋_GBK" w:cs="方正仿宋_GBK"/>
          <w:sz w:val="32"/>
          <w:szCs w:val="32"/>
          <w:shd w:val="clear" w:color="auto" w:fill="FFFFFF"/>
          <w:lang w:val="en-US" w:eastAsia="zh-CN"/>
        </w:rPr>
        <w:t>无增减</w:t>
      </w:r>
      <w:r>
        <w:rPr>
          <w:rFonts w:hint="eastAsia" w:ascii="方正仿宋_GBK" w:hAnsi="方正仿宋_GBK" w:eastAsia="方正仿宋_GBK" w:cs="方正仿宋_GBK"/>
          <w:sz w:val="32"/>
          <w:szCs w:val="32"/>
          <w:shd w:val="clear" w:color="auto" w:fill="FFFFFF"/>
          <w:lang w:eastAsia="zh-CN"/>
        </w:rPr>
        <w:t>，</w:t>
      </w:r>
      <w:r>
        <w:rPr>
          <w:rFonts w:hint="default" w:ascii="方正仿宋_GBK" w:hAnsi="方正仿宋_GBK" w:eastAsia="方正仿宋_GBK" w:cs="方正仿宋_GBK"/>
          <w:sz w:val="32"/>
          <w:szCs w:val="32"/>
          <w:shd w:val="clear" w:color="auto" w:fill="FFFFFF"/>
        </w:rPr>
        <w:t>主要原因是</w:t>
      </w:r>
      <w:r>
        <w:rPr>
          <w:rFonts w:ascii="方正仿宋_GBK" w:hAnsi="方正仿宋_GBK" w:eastAsia="方正仿宋_GBK" w:cs="方正仿宋_GBK"/>
          <w:sz w:val="32"/>
          <w:szCs w:val="32"/>
          <w:shd w:val="clear" w:color="auto" w:fill="FFFFFF"/>
        </w:rPr>
        <w:t>公务车运行维护费</w:t>
      </w:r>
      <w:r>
        <w:rPr>
          <w:rFonts w:hint="eastAsia" w:ascii="方正仿宋_GBK" w:hAnsi="方正仿宋_GBK" w:eastAsia="方正仿宋_GBK" w:cs="方正仿宋_GBK"/>
          <w:sz w:val="32"/>
          <w:szCs w:val="32"/>
          <w:shd w:val="clear" w:color="auto" w:fill="FFFFFF"/>
          <w:lang w:val="en-US" w:eastAsia="zh-CN"/>
        </w:rPr>
        <w:t>统一在政府（本级）列支，下属事业单位未单独列支</w:t>
      </w:r>
      <w:r>
        <w:rPr>
          <w:rFonts w:hint="default" w:ascii="方正仿宋_GBK" w:hAnsi="方正仿宋_GBK" w:eastAsia="方正仿宋_GBK" w:cs="方正仿宋_GBK"/>
          <w:sz w:val="32"/>
          <w:szCs w:val="32"/>
          <w:shd w:val="clear" w:color="auto" w:fill="FFFFFF"/>
        </w:rPr>
        <w:t>。</w:t>
      </w:r>
    </w:p>
    <w:p>
      <w:pPr>
        <w:pStyle w:val="9"/>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outlineLvl w:val="9"/>
        <w:rPr>
          <w:rFonts w:hint="default" w:ascii="Times New Roman" w:hAnsi="Times New Roman" w:eastAsia="方正仿宋_GBK" w:cs="Times New Roman"/>
          <w:sz w:val="32"/>
          <w:szCs w:val="32"/>
          <w:shd w:val="clear" w:color="auto" w:fill="FFFFFF"/>
        </w:rPr>
      </w:pPr>
      <w:r>
        <w:rPr>
          <w:rFonts w:ascii="方正仿宋_GBK" w:hAnsi="方正仿宋_GBK" w:eastAsia="方正仿宋_GBK" w:cs="方正仿宋_GBK"/>
          <w:sz w:val="32"/>
          <w:szCs w:val="32"/>
          <w:shd w:val="clear" w:color="auto" w:fill="FFFFFF"/>
        </w:rPr>
        <w:t>公务接待</w:t>
      </w:r>
      <w:r>
        <w:rPr>
          <w:rFonts w:hint="default" w:ascii="Times New Roman" w:hAnsi="Times New Roman" w:eastAsia="方正仿宋_GBK" w:cs="Times New Roman"/>
          <w:sz w:val="32"/>
          <w:szCs w:val="32"/>
          <w:shd w:val="clear" w:color="auto" w:fill="FFFFFF"/>
        </w:rPr>
        <w:t>费</w:t>
      </w:r>
      <w:r>
        <w:rPr>
          <w:rFonts w:hint="eastAsia" w:ascii="Times New Roman" w:hAnsi="Times New Roman" w:eastAsia="方正仿宋_GBK" w:cs="Times New Roman"/>
          <w:sz w:val="32"/>
          <w:szCs w:val="32"/>
          <w:shd w:val="clear" w:color="auto" w:fill="FFFFFF"/>
          <w:lang w:val="en-US" w:eastAsia="zh-CN"/>
        </w:rPr>
        <w:t>0.00</w:t>
      </w:r>
      <w:r>
        <w:rPr>
          <w:rFonts w:hint="default" w:ascii="Times New Roman" w:hAnsi="Times New Roman" w:eastAsia="方正仿宋_GBK" w:cs="Times New Roman"/>
          <w:sz w:val="32"/>
          <w:szCs w:val="32"/>
          <w:shd w:val="clear" w:color="auto" w:fill="FFFFFF"/>
        </w:rPr>
        <w:t>万元，主要用于接待相关部门检查指导工作发生的支出。费用支出较年初预算数</w:t>
      </w:r>
      <w:r>
        <w:rPr>
          <w:rFonts w:hint="eastAsia" w:ascii="Times New Roman" w:hAnsi="Times New Roman" w:eastAsia="方正仿宋_GBK" w:cs="Times New Roman"/>
          <w:sz w:val="32"/>
          <w:szCs w:val="32"/>
          <w:shd w:val="clear" w:color="auto" w:fill="FFFFFF"/>
          <w:lang w:val="en-US" w:eastAsia="zh-CN"/>
        </w:rPr>
        <w:t>增加0.00</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村镇建设服务中心</w:t>
      </w:r>
      <w:r>
        <w:rPr>
          <w:rFonts w:hint="default" w:ascii="Times New Roman" w:hAnsi="Times New Roman" w:eastAsia="方正仿宋_GBK" w:cs="Times New Roman"/>
          <w:sz w:val="32"/>
          <w:szCs w:val="32"/>
          <w:shd w:val="clear" w:color="auto" w:fill="FFFFFF"/>
        </w:rPr>
        <w:t>未单独进行财务核算及决算处理，纳入政府核算及决算</w:t>
      </w:r>
      <w:r>
        <w:rPr>
          <w:rFonts w:hint="eastAsia" w:ascii="Times New Roman" w:hAnsi="Times New Roman" w:eastAsia="方正仿宋_GBK" w:cs="Times New Roman"/>
          <w:sz w:val="32"/>
          <w:szCs w:val="32"/>
          <w:shd w:val="clear" w:color="auto" w:fill="FFFFFF"/>
          <w:lang w:eastAsia="zh-CN"/>
        </w:rPr>
        <w:t>。</w:t>
      </w:r>
      <w:r>
        <w:rPr>
          <w:rFonts w:hint="default" w:ascii="Times New Roman" w:hAnsi="Times New Roman" w:eastAsia="方正仿宋_GBK" w:cs="Times New Roman"/>
          <w:sz w:val="32"/>
          <w:szCs w:val="32"/>
          <w:shd w:val="clear" w:color="auto" w:fill="FFFFFF"/>
        </w:rPr>
        <w:t>较上年支出数</w:t>
      </w:r>
      <w:r>
        <w:rPr>
          <w:rFonts w:hint="eastAsia" w:ascii="Times New Roman" w:hAnsi="Times New Roman" w:eastAsia="方正仿宋_GBK" w:cs="Times New Roman"/>
          <w:sz w:val="32"/>
          <w:szCs w:val="32"/>
          <w:shd w:val="clear" w:color="auto" w:fill="FFFFFF"/>
          <w:lang w:val="en-US" w:eastAsia="zh-CN"/>
        </w:rPr>
        <w:t>增加0.00</w:t>
      </w:r>
      <w:r>
        <w:rPr>
          <w:rFonts w:hint="default" w:ascii="Times New Roman" w:hAnsi="Times New Roman" w:eastAsia="方正仿宋_GBK" w:cs="Times New Roman"/>
          <w:sz w:val="32"/>
          <w:szCs w:val="32"/>
          <w:shd w:val="clear" w:color="auto" w:fill="FFFFFF"/>
        </w:rPr>
        <w:t>万元，增长</w:t>
      </w:r>
      <w:r>
        <w:rPr>
          <w:rFonts w:hint="eastAsia" w:ascii="Times New Roman" w:hAnsi="Times New Roman" w:eastAsia="方正仿宋_GBK" w:cs="Times New Roman"/>
          <w:sz w:val="32"/>
          <w:szCs w:val="32"/>
          <w:shd w:val="clear" w:color="auto" w:fill="FFFFFF"/>
          <w:lang w:val="en-US" w:eastAsia="zh-CN"/>
        </w:rPr>
        <w:t>100.00</w:t>
      </w:r>
      <w:r>
        <w:rPr>
          <w:rFonts w:hint="default" w:ascii="Times New Roman" w:hAnsi="Times New Roman" w:eastAsia="方正仿宋_GBK" w:cs="Times New Roman"/>
          <w:sz w:val="32"/>
          <w:szCs w:val="32"/>
          <w:shd w:val="clear" w:color="auto" w:fill="FFFFFF"/>
        </w:rPr>
        <w:t>%，主要原因是2023年</w:t>
      </w:r>
      <w:r>
        <w:rPr>
          <w:rFonts w:hint="eastAsia" w:ascii="Times New Roman" w:hAnsi="Times New Roman" w:eastAsia="方正仿宋_GBK" w:cs="Times New Roman"/>
          <w:sz w:val="32"/>
          <w:szCs w:val="32"/>
          <w:shd w:val="clear" w:color="auto" w:fill="FFFFFF"/>
          <w:lang w:eastAsia="zh-CN"/>
        </w:rPr>
        <w:t>村镇建设服务中心</w:t>
      </w:r>
      <w:r>
        <w:rPr>
          <w:rFonts w:hint="default" w:ascii="Times New Roman" w:hAnsi="Times New Roman" w:eastAsia="方正仿宋_GBK" w:cs="Times New Roman"/>
          <w:sz w:val="32"/>
          <w:szCs w:val="32"/>
          <w:shd w:val="clear" w:color="auto" w:fill="FFFFFF"/>
        </w:rPr>
        <w:t>未单独进行财务核算及决算处理，纳入政府核算及决算</w:t>
      </w:r>
      <w:r>
        <w:rPr>
          <w:rFonts w:hint="eastAsia" w:ascii="Times New Roman" w:hAnsi="Times New Roman" w:eastAsia="方正仿宋_GBK" w:cs="Times New Roman"/>
          <w:sz w:val="32"/>
          <w:szCs w:val="32"/>
          <w:shd w:val="clear" w:color="auto" w:fill="FFFFFF"/>
          <w:lang w:eastAsia="zh-CN"/>
        </w:rPr>
        <w:t>。</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（三）“三公”经费实物量情况</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sz w:val="32"/>
          <w:szCs w:val="32"/>
        </w:rPr>
      </w:pPr>
      <w:r>
        <w:rPr>
          <w:rFonts w:hint="eastAsia" w:ascii="Times New Roman" w:hAnsi="Times New Roman" w:eastAsia="方正仿宋_GBK" w:cs="Times New Roman"/>
          <w:sz w:val="32"/>
          <w:szCs w:val="32"/>
          <w:shd w:val="clear" w:color="auto" w:fill="FFFFFF"/>
          <w:lang w:val="en-US" w:eastAsia="zh-CN"/>
        </w:rPr>
        <w:t>2024年度本单位因公出国（境）共计0个团组，0人；公务用车购置0辆，公务车保有量为0辆；国内公务接待0批次0人，其中：国内外事接待0批次，0人；国（境）外公务接待0批次，0人。2024年本单位人均接待费0.00元，车均购置费0万元，车均维护费0.00万元。</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default"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rPr>
        <w:t>四、其他需要说明的事项</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（一）财政拨款会议费和培训费情况说明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Times New Roman" w:hAnsi="Times New Roman" w:eastAsia="方正仿宋_GBK" w:cs="Times New Roman"/>
          <w:sz w:val="32"/>
          <w:szCs w:val="32"/>
          <w:shd w:val="clear" w:color="auto" w:fill="FFFFFF"/>
        </w:rPr>
      </w:pPr>
      <w:r>
        <w:rPr>
          <w:rFonts w:hint="eastAsia" w:ascii="方正仿宋_GBK" w:hAnsi="方正仿宋_GBK" w:eastAsia="方正仿宋_GBK" w:cs="方正仿宋_GBK"/>
          <w:color w:val="auto"/>
          <w:sz w:val="32"/>
          <w:szCs w:val="32"/>
          <w:shd w:val="clear" w:color="auto" w:fill="FFFFFF"/>
        </w:rPr>
        <w:t>本</w:t>
      </w:r>
      <w:r>
        <w:rPr>
          <w:rFonts w:hint="eastAsia" w:ascii="Times New Roman" w:hAnsi="Times New Roman" w:eastAsia="方正仿宋_GBK" w:cs="Times New Roman"/>
          <w:sz w:val="32"/>
          <w:szCs w:val="32"/>
          <w:shd w:val="clear" w:color="auto" w:fill="FFFFFF"/>
        </w:rPr>
        <w:t>年度会议费支出0.00万元，较上年决算数无增减，主要原因是2024年度未单独安排会议费。本年度培训费支出0.00万元，较上年决算数无变化，主要原因是2024年度未单独安排会议费。</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（二）机关运行经费情况说明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color w:val="auto"/>
          <w:sz w:val="32"/>
          <w:szCs w:val="32"/>
          <w:shd w:val="clear" w:color="auto" w:fill="FFFFFF"/>
        </w:rPr>
      </w:pPr>
      <w:r>
        <w:rPr>
          <w:rFonts w:hint="default" w:ascii="方正仿宋_GBK" w:hAnsi="方正仿宋_GBK" w:eastAsia="方正仿宋_GBK" w:cs="方正仿宋_GBK"/>
          <w:color w:val="auto"/>
          <w:sz w:val="32"/>
          <w:szCs w:val="32"/>
          <w:shd w:val="clear" w:color="auto" w:fill="FFFFFF"/>
        </w:rPr>
        <w:t>按照部门决算列报口径，我单位不在机关运行经费统计范围之内。</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（三）国有资产占用情况说明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eastAsia" w:ascii="Times New Roman" w:hAnsi="Times New Roman" w:eastAsia="方正仿宋_GBK" w:cs="Times New Roman"/>
          <w:sz w:val="32"/>
          <w:szCs w:val="32"/>
          <w:shd w:val="clear" w:color="auto" w:fill="FFFFFF"/>
        </w:rPr>
      </w:pPr>
      <w:r>
        <w:rPr>
          <w:rFonts w:ascii="方正仿宋_GBK" w:hAnsi="方正仿宋_GBK" w:eastAsia="方正仿宋_GBK" w:cs="方正仿宋_GBK"/>
          <w:sz w:val="32"/>
          <w:szCs w:val="32"/>
          <w:shd w:val="clear" w:color="auto" w:fill="FFFFFF"/>
        </w:rPr>
        <w:t>截</w:t>
      </w:r>
      <w:r>
        <w:rPr>
          <w:rFonts w:hint="default" w:ascii="Times New Roman" w:hAnsi="Times New Roman" w:eastAsia="方正仿宋_GBK" w:cs="Times New Roman"/>
          <w:sz w:val="32"/>
          <w:szCs w:val="32"/>
          <w:shd w:val="clear" w:color="auto" w:fill="FFFFFF"/>
        </w:rPr>
        <w:t>至202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年12月31日，本单位共有车辆</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辆，其中，副部（省）级及以上领导用车0辆、主要负责人用车0辆、机要通信用车</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辆、应急保障用车</w:t>
      </w:r>
      <w:r>
        <w:rPr>
          <w:rFonts w:hint="eastAsia" w:ascii="Times New Roman" w:hAnsi="Times New Roman" w:eastAsia="方正仿宋_GBK" w:cs="Times New Roman"/>
          <w:sz w:val="32"/>
          <w:szCs w:val="32"/>
          <w:shd w:val="clear" w:color="auto" w:fill="FFFFFF"/>
          <w:lang w:val="en-US" w:eastAsia="zh-CN"/>
        </w:rPr>
        <w:t>0</w:t>
      </w:r>
      <w:r>
        <w:rPr>
          <w:rFonts w:hint="default" w:ascii="Times New Roman" w:hAnsi="Times New Roman" w:eastAsia="方正仿宋_GBK" w:cs="Times New Roman"/>
          <w:sz w:val="32"/>
          <w:szCs w:val="32"/>
          <w:shd w:val="clear" w:color="auto" w:fill="FFFFFF"/>
        </w:rPr>
        <w:t>辆、执法执勤用车0辆，特种专业技术用车0辆，离退休干部用车0辆。单价100万元（含）以上专用设备0台（套）。</w:t>
      </w:r>
    </w:p>
    <w:p>
      <w:pPr>
        <w:pStyle w:val="14"/>
        <w:keepNext w:val="0"/>
        <w:keepLines w:val="0"/>
        <w:pageBreakBefore w:val="0"/>
        <w:widowControl/>
        <w:kinsoku/>
        <w:wordWrap/>
        <w:overflowPunct/>
        <w:topLinePunct w:val="0"/>
        <w:autoSpaceDE w:val="0"/>
        <w:autoSpaceDN/>
        <w:bidi w:val="0"/>
        <w:adjustRightInd/>
        <w:spacing w:beforeAutospacing="0" w:afterAutospacing="0" w:line="560" w:lineRule="exact"/>
        <w:ind w:firstLine="640" w:firstLineChars="200"/>
        <w:jc w:val="both"/>
        <w:textAlignment w:val="auto"/>
        <w:rPr>
          <w:rStyle w:val="13"/>
          <w:rFonts w:hint="eastAsia" w:ascii="方正楷体_GBK" w:hAnsi="方正楷体_GBK" w:eastAsia="方正楷体_GBK" w:cs="方正楷体_GBK"/>
          <w:b w:val="0"/>
          <w:bCs/>
          <w:sz w:val="32"/>
          <w:szCs w:val="32"/>
          <w:shd w:val="clear" w:color="auto" w:fill="FFFFFF"/>
          <w:lang w:val="en-US" w:eastAsia="zh-CN" w:bidi="ar-SA"/>
        </w:rPr>
      </w:pPr>
      <w:r>
        <w:rPr>
          <w:rStyle w:val="13"/>
          <w:rFonts w:hint="eastAsia" w:ascii="方正楷体_GBK" w:hAnsi="方正楷体_GBK" w:eastAsia="方正楷体_GBK" w:cs="方正楷体_GBK"/>
          <w:b w:val="0"/>
          <w:bCs/>
          <w:sz w:val="32"/>
          <w:szCs w:val="32"/>
          <w:shd w:val="clear" w:color="auto" w:fill="FFFFFF"/>
          <w:lang w:val="en-US" w:eastAsia="zh-CN" w:bidi="ar-SA"/>
        </w:rPr>
        <w:t>（四）政府采购支出情况说明</w:t>
      </w:r>
    </w:p>
    <w:p>
      <w:pPr>
        <w:pStyle w:val="9"/>
        <w:keepNext w:val="0"/>
        <w:keepLines w:val="0"/>
        <w:pageBreakBefore w:val="0"/>
        <w:widowControl/>
        <w:kinsoku/>
        <w:wordWrap/>
        <w:overflowPunct/>
        <w:topLinePunct w:val="0"/>
        <w:autoSpaceDN/>
        <w:bidi w:val="0"/>
        <w:adjustRightInd/>
        <w:snapToGrid w:val="0"/>
        <w:spacing w:before="0" w:beforeAutospacing="0" w:after="0" w:afterAutospacing="0" w:line="560" w:lineRule="exact"/>
        <w:ind w:firstLine="640" w:firstLineChars="200"/>
        <w:jc w:val="both"/>
        <w:textAlignment w:val="auto"/>
        <w:rPr>
          <w:rFonts w:hint="default" w:ascii="方正仿宋_GBK" w:hAnsi="方正仿宋_GBK" w:eastAsia="方正仿宋_GBK" w:cs="方正仿宋_GBK"/>
          <w:color w:val="auto"/>
          <w:sz w:val="32"/>
          <w:szCs w:val="32"/>
          <w:shd w:val="clear" w:color="auto" w:fill="FFFFFF"/>
        </w:rPr>
      </w:pPr>
      <w:r>
        <w:rPr>
          <w:rFonts w:hint="default" w:ascii="Times New Roman" w:hAnsi="Times New Roman" w:eastAsia="方正仿宋_GBK" w:cs="Times New Roman"/>
          <w:sz w:val="32"/>
          <w:szCs w:val="32"/>
          <w:shd w:val="clear" w:color="auto" w:fill="FFFFFF"/>
        </w:rPr>
        <w:t>202</w:t>
      </w:r>
      <w:r>
        <w:rPr>
          <w:rFonts w:hint="eastAsia" w:ascii="Times New Roman" w:hAnsi="Times New Roman" w:eastAsia="方正仿宋_GBK" w:cs="Times New Roman"/>
          <w:sz w:val="32"/>
          <w:szCs w:val="32"/>
          <w:shd w:val="clear" w:color="auto" w:fill="FFFFFF"/>
          <w:lang w:val="en-US" w:eastAsia="zh-CN"/>
        </w:rPr>
        <w:t>4</w:t>
      </w:r>
      <w:r>
        <w:rPr>
          <w:rFonts w:hint="default" w:ascii="Times New Roman" w:hAnsi="Times New Roman" w:eastAsia="方正仿宋_GBK" w:cs="Times New Roman"/>
          <w:sz w:val="32"/>
          <w:szCs w:val="32"/>
          <w:shd w:val="clear" w:color="auto" w:fill="FFFFFF"/>
        </w:rPr>
        <w:t>年度我单位未发生政府采购事项，无相关</w:t>
      </w:r>
      <w:r>
        <w:rPr>
          <w:rFonts w:hint="default" w:ascii="方正仿宋_GBK" w:hAnsi="方正仿宋_GBK" w:eastAsia="方正仿宋_GBK" w:cs="方正仿宋_GBK"/>
          <w:color w:val="auto"/>
          <w:sz w:val="32"/>
          <w:szCs w:val="32"/>
          <w:shd w:val="clear" w:color="auto" w:fill="FFFFFF"/>
        </w:rPr>
        <w:t>经费支出。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rPr>
      </w:pPr>
      <w:r>
        <w:rPr>
          <w:rStyle w:val="13"/>
          <w:rFonts w:hint="eastAsia" w:ascii="方正黑体_GBK" w:hAnsi="方正黑体_GBK" w:eastAsia="方正黑体_GBK" w:cs="方正黑体_GBK"/>
          <w:b w:val="0"/>
          <w:bCs/>
          <w:sz w:val="32"/>
          <w:szCs w:val="32"/>
          <w:shd w:val="clear" w:color="auto" w:fill="FFFFFF"/>
          <w:lang w:val="en-US" w:eastAsia="zh-CN"/>
        </w:rPr>
        <w:t>五、</w:t>
      </w:r>
      <w:r>
        <w:rPr>
          <w:rStyle w:val="13"/>
          <w:rFonts w:hint="default" w:ascii="Times New Roman" w:hAnsi="Times New Roman" w:eastAsia="方正黑体_GBK" w:cs="Times New Roman"/>
          <w:b w:val="0"/>
          <w:bCs/>
          <w:sz w:val="32"/>
          <w:szCs w:val="32"/>
          <w:shd w:val="clear" w:color="auto" w:fill="FFFFFF"/>
          <w:lang w:val="en-US" w:eastAsia="zh-CN"/>
        </w:rPr>
        <w:t>2024年</w:t>
      </w:r>
      <w:r>
        <w:rPr>
          <w:rStyle w:val="13"/>
          <w:rFonts w:hint="eastAsia" w:ascii="方正黑体_GBK" w:hAnsi="方正黑体_GBK" w:eastAsia="方正黑体_GBK" w:cs="方正黑体_GBK"/>
          <w:b w:val="0"/>
          <w:bCs/>
          <w:sz w:val="32"/>
          <w:szCs w:val="32"/>
          <w:shd w:val="clear" w:color="auto" w:fill="FFFFFF"/>
          <w:lang w:val="en-US" w:eastAsia="zh-CN"/>
        </w:rPr>
        <w:t>度预算绩效管理情况说明</w:t>
      </w:r>
    </w:p>
    <w:p>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shd w:val="clear" w:fill="FFFFFF"/>
        </w:rPr>
      </w:pPr>
      <w:r>
        <w:rPr>
          <w:rFonts w:hint="eastAsia" w:ascii="方正仿宋_GBK" w:hAnsi="方正仿宋_GBK" w:eastAsia="方正仿宋_GBK" w:cs="方正仿宋_GBK"/>
          <w:sz w:val="32"/>
          <w:szCs w:val="32"/>
          <w:shd w:val="clear" w:color="auto" w:fill="FFFFFF"/>
          <w:lang w:val="en-US" w:eastAsia="zh-CN" w:bidi="ar-SA"/>
        </w:rPr>
        <w:t>根据预算绩效管理要</w:t>
      </w:r>
      <w:r>
        <w:rPr>
          <w:rFonts w:hint="eastAsia" w:ascii="Times New Roman" w:hAnsi="Times New Roman" w:eastAsia="方正仿宋_GBK" w:cs="Times New Roman"/>
          <w:sz w:val="32"/>
          <w:szCs w:val="32"/>
          <w:shd w:val="clear" w:color="auto" w:fill="FFFFFF"/>
          <w:lang w:val="en-US" w:eastAsia="zh-CN" w:bidi="ar-SA"/>
        </w:rPr>
        <w:t>求，政府（本级）对部门整体和项目开展了绩效自评，故本单位2024年度</w:t>
      </w:r>
      <w:r>
        <w:rPr>
          <w:rFonts w:hint="eastAsia" w:ascii="方正仿宋_GBK" w:hAnsi="方正仿宋_GBK" w:eastAsia="方正仿宋_GBK" w:cs="方正仿宋_GBK"/>
          <w:sz w:val="32"/>
          <w:szCs w:val="32"/>
          <w:shd w:val="clear" w:color="auto" w:fill="FFFFFF"/>
          <w:lang w:val="en-US" w:eastAsia="zh-CN" w:bidi="ar-SA"/>
        </w:rPr>
        <w:t>无需再次开展绩效评价。</w:t>
      </w:r>
    </w:p>
    <w:p>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60"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lang w:val="en-US" w:eastAsia="zh-CN" w:bidi="ar-SA"/>
        </w:rPr>
      </w:pPr>
      <w:r>
        <w:rPr>
          <w:rStyle w:val="13"/>
          <w:rFonts w:hint="eastAsia" w:ascii="方正黑体_GBK" w:hAnsi="方正黑体_GBK" w:eastAsia="方正黑体_GBK" w:cs="方正黑体_GBK"/>
          <w:b w:val="0"/>
          <w:bCs/>
          <w:sz w:val="32"/>
          <w:szCs w:val="32"/>
          <w:shd w:val="clear" w:color="auto" w:fill="FFFFFF"/>
          <w:lang w:val="en-US" w:eastAsia="zh-CN" w:bidi="ar-SA"/>
        </w:rPr>
        <w:t>六、专业名词解释</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Style w:val="13"/>
          <w:rFonts w:hint="eastAsia" w:ascii="方正楷体_GBK" w:hAnsi="方正楷体_GBK" w:eastAsia="方正楷体_GBK" w:cs="方正楷体_GBK"/>
          <w:b w:val="0"/>
          <w:bCs/>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Style w:val="13"/>
          <w:rFonts w:hint="eastAsia" w:ascii="方正黑体_GBK" w:hAnsi="方正黑体_GBK" w:eastAsia="方正黑体_GBK" w:cs="方正黑体_GBK"/>
          <w:b w:val="0"/>
          <w:bCs/>
          <w:sz w:val="32"/>
          <w:szCs w:val="32"/>
          <w:shd w:val="clear" w:color="auto" w:fill="FFFFFF"/>
        </w:rPr>
      </w:pPr>
      <w:r>
        <w:rPr>
          <w:rStyle w:val="13"/>
          <w:rFonts w:hint="eastAsia" w:ascii="方正黑体_GBK" w:hAnsi="方正黑体_GBK" w:eastAsia="方正黑体_GBK" w:cs="方正黑体_GBK"/>
          <w:b w:val="0"/>
          <w:bCs/>
          <w:sz w:val="32"/>
          <w:szCs w:val="32"/>
          <w:shd w:val="clear" w:color="auto" w:fill="FFFFFF"/>
          <w:lang w:val="en-US" w:eastAsia="zh-CN"/>
        </w:rPr>
        <w:t>七、决算公开联系方式及信息反馈渠道</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pPr>
        <w:pStyle w:val="15"/>
        <w:keepNext w:val="0"/>
        <w:keepLines w:val="0"/>
        <w:pageBreakBefore w:val="0"/>
        <w:widowControl/>
        <w:kinsoku/>
        <w:wordWrap/>
        <w:overflowPunct/>
        <w:topLinePunct w:val="0"/>
        <w:autoSpaceDN/>
        <w:bidi w:val="0"/>
        <w:adjustRightInd/>
        <w:snapToGrid/>
        <w:spacing w:before="0" w:beforeAutospacing="0" w:after="0" w:afterAutospacing="0" w:line="560" w:lineRule="exact"/>
        <w:ind w:firstLine="640" w:firstLineChars="200"/>
        <w:jc w:val="both"/>
        <w:textAlignment w:val="auto"/>
        <w:rPr>
          <w:rFonts w:hint="default"/>
          <w:sz w:val="18"/>
          <w:szCs w:val="18"/>
        </w:rPr>
      </w:pPr>
      <w:r>
        <w:rPr>
          <w:rFonts w:hint="eastAsia" w:ascii="Times New Roman" w:hAnsi="Times New Roman" w:eastAsia="方正仿宋_GBK" w:cs="Times New Roman"/>
          <w:b w:val="0"/>
          <w:bCs w:val="0"/>
          <w:sz w:val="32"/>
          <w:szCs w:val="32"/>
          <w:shd w:val="clear" w:color="auto" w:fill="FFFFFF"/>
          <w:lang w:eastAsia="zh-CN"/>
        </w:rPr>
        <w:t>高观</w:t>
      </w:r>
      <w:r>
        <w:rPr>
          <w:rFonts w:hint="default" w:ascii="Times New Roman" w:hAnsi="Times New Roman" w:eastAsia="方正仿宋_GBK" w:cs="Times New Roman"/>
          <w:b w:val="0"/>
          <w:bCs w:val="0"/>
          <w:sz w:val="32"/>
          <w:szCs w:val="32"/>
          <w:shd w:val="clear" w:color="auto" w:fill="FFFFFF"/>
        </w:rPr>
        <w:t>镇人民政府</w:t>
      </w:r>
      <w:r>
        <w:rPr>
          <w:rFonts w:hint="eastAsia" w:ascii="方正仿宋_GBK" w:hAnsi="方正仿宋_GBK" w:eastAsia="方正仿宋_GBK" w:cs="方正仿宋_GBK"/>
          <w:color w:val="FF0000"/>
          <w:kern w:val="0"/>
          <w:sz w:val="32"/>
          <w:szCs w:val="32"/>
          <w:shd w:val="clear" w:fill="FFFFFF"/>
        </w:rPr>
        <w:t xml:space="preserve">   </w:t>
      </w:r>
      <w:r>
        <w:rPr>
          <w:rFonts w:hint="default" w:ascii="Times New Roman" w:hAnsi="Times New Roman" w:eastAsia="方正仿宋_GBK" w:cs="Times New Roman"/>
          <w:b w:val="0"/>
          <w:bCs w:val="0"/>
          <w:sz w:val="32"/>
          <w:szCs w:val="32"/>
          <w:shd w:val="clear" w:color="auto" w:fill="FFFFFF"/>
        </w:rPr>
        <w:t>023-59</w:t>
      </w:r>
      <w:r>
        <w:rPr>
          <w:rFonts w:hint="eastAsia" w:ascii="Times New Roman" w:hAnsi="Times New Roman" w:eastAsia="方正仿宋_GBK" w:cs="Times New Roman"/>
          <w:b w:val="0"/>
          <w:bCs w:val="0"/>
          <w:sz w:val="32"/>
          <w:szCs w:val="32"/>
          <w:shd w:val="clear" w:color="auto" w:fill="FFFFFF"/>
          <w:lang w:val="en-US" w:eastAsia="zh-CN"/>
        </w:rPr>
        <w:t>263001</w:t>
      </w:r>
      <w:bookmarkStart w:id="0" w:name="_GoBack"/>
      <w:bookmarkEnd w:id="0"/>
    </w:p>
    <w:sectPr>
      <w:headerReference r:id="rId3" w:type="default"/>
      <w:footerReference r:id="rId5" w:type="default"/>
      <w:headerReference r:id="rId4" w:type="even"/>
      <w:footerReference r:id="rId6" w:type="even"/>
      <w:pgSz w:w="11850" w:h="16783"/>
      <w:pgMar w:top="2098" w:right="1474" w:bottom="1984" w:left="1587" w:header="0" w:footer="283" w:gutter="0"/>
      <w:pgNumType w:fmt="decimal"/>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default"/>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-835660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false">
                      <a:spAutoFit/>
                    </wps:bodyPr>
                  </wps:wsp>
                </a:graphicData>
              </a:graphic>
            </wp:anchor>
          </w:drawing>
        </mc:Choice>
        <mc:Fallback>
          <w:pict>
            <v:shape id="文本框 12" o:spid="_x0000_s1026" o:spt="202" type="#_x0000_t202" style="position:absolute;left:0pt;margin-top:-65.8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FgAAAGRycy9QSwECFAAUAAAACACHTuJARSfozdgAAAANAQAADwAAAAAAAAABACAAAAA4AAAAZHJz&#10;L2Rvd25yZXYueG1sUEsBAhQAFAAAAAgAh07iQJCDPKq1AQAAUwMAAA4AAAAAAAAAAQAgAAAAPQEA&#10;AGRycy9lMm9Eb2MueG1sUEsFBgAAAAAGAAYAWQEAAGQFAAAAAA==&#10;">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w:rPr>
        <w:rFonts w:hint="default"/>
      </w:rPr>
      <mc:AlternateContent>
        <mc:Choice Requires="wps">
          <w:drawing>
            <wp:anchor distT="0" distB="0" distL="114300" distR="114300" simplePos="0" relativeHeight="251659264" behindDoc="0" locked="0" layoutInCell="1" allowOverlap="0">
              <wp:simplePos x="0" y="0"/>
              <wp:positionH relativeFrom="margin">
                <wp:align>center</wp:align>
              </wp:positionH>
              <wp:positionV relativeFrom="page">
                <wp:posOffset>14737080</wp:posOffset>
              </wp:positionV>
              <wp:extent cx="1828800" cy="220980"/>
              <wp:effectExtent l="0" t="0" r="0" b="0"/>
              <wp:wrapNone/>
              <wp:docPr id="126" name="文本框 126"/>
              <wp:cNvGraphicFramePr/>
              <a:graphic xmlns:a="http://schemas.openxmlformats.org/drawingml/2006/main">
                <a:graphicData uri="http://schemas.microsoft.com/office/word/2010/wordprocessingShape">
                  <wps:wsp>
                    <wps:cNvSpPr txBox="true"/>
                    <wps:spPr>
                      <a:xfrm>
                        <a:off x="0" y="0"/>
                        <a:ext cx="1828800" cy="220980"/>
                      </a:xfrm>
                      <a:prstGeom prst="rect">
                        <a:avLst/>
                      </a:prstGeom>
                      <a:noFill/>
                      <a:ln w="6350">
                        <a:noFill/>
                      </a:ln>
                      <a:effectLst/>
                    </wps:spPr>
                    <wps:txbx>
                      <w:txbxContent>
                        <w:p>
                          <w:pPr>
                            <w:pStyle w:val="6"/>
                            <w:jc w:val="both"/>
                            <w:rPr>
                              <w:rFonts w:hint="default" w:cs="宋体"/>
                            </w:rPr>
                          </w:pPr>
                          <w:r>
                            <w:rPr>
                              <w:rFonts w:cs="宋体"/>
                            </w:rPr>
                            <w:t>— 27.1 —</w:t>
                          </w:r>
                        </w:p>
                      </w:txbxContent>
                    </wps:txbx>
                    <wps:bodyPr rot="0" spcFirstLastPara="0" vertOverflow="overflow" horzOverflow="overflow" vert="horz" wrap="none" lIns="0" tIns="0" rIns="0" bIns="0" numCol="1" spcCol="0" rtlCol="0" fromWordArt="false" anchor="t" anchorCtr="false" forceAA="false" compatLnSpc="true">
                      <a:noAutofit/>
                    </wps:bodyPr>
                  </wps:wsp>
                </a:graphicData>
              </a:graphic>
            </wp:anchor>
          </w:drawing>
        </mc:Choice>
        <mc:Fallback>
          <w:pict>
            <v:shape id="_x0000_s1026" o:spid="_x0000_s1026"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FgAAAGRy&#10;cy9QSwECFAAUAAAACACHTuJAeA1UVNgAAAAKAQAADwAAAAAAAAABACAAAAA4AAAAZHJzL2Rvd25y&#10;ZXYueG1sUEsBAhQAFAAAAAgAh07iQJMZTUchAgAAKgQAAA4AAAAAAAAAAQAgAAAAPQEAAGRycy9l&#10;Mm9Eb2MueG1sUEsFBgAAAAAGAAYAWQEAANAFAAAAAA==&#10;">
              <v:fill on="f" focussize="0,0"/>
              <v:stroke on="f" weight="0.5pt"/>
              <v:imagedata o:title=""/>
              <o:lock v:ext="edit" aspectratio="f"/>
              <v:textbox inset="0mm,0mm,0mm,0mm">
                <w:txbxContent>
                  <w:p>
                    <w:pPr>
                      <w:pStyle w:val="6"/>
                      <w:jc w:val="both"/>
                      <w:rPr>
                        <w:rFonts w:hint="default" w:cs="宋体"/>
                      </w:rPr>
                    </w:pPr>
                    <w:r>
                      <w:rPr>
                        <w:rFonts w:cs="宋体"/>
                      </w:rPr>
                      <w:t>— 27.1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-835660</wp:posOffset>
              </wp:positionV>
              <wp:extent cx="1828800" cy="1828800"/>
              <wp:effectExtent l="0" t="0" r="0" b="0"/>
              <wp:wrapNone/>
              <wp:docPr id="2"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wrap="none" lIns="0" tIns="0" rIns="0" bIns="0" upright="false">
                      <a:spAutoFit/>
                    </wps:bodyPr>
                  </wps:wsp>
                </a:graphicData>
              </a:graphic>
            </wp:anchor>
          </w:drawing>
        </mc:Choice>
        <mc:Fallback>
          <w:pict>
            <v:shape id="文本框 10" o:spid="_x0000_s1026" o:spt="202" type="#_x0000_t202" style="position:absolute;left:0pt;margin-top:-65.8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WAAAA&#10;ZHJzL1BLAQIUABQAAAAIAIdO4kCa/6dx1gAAAAkBAAAPAAAAAAAAAAEAIAAAADgAAABkcnMvZG93&#10;bnJldi54bWxQSwECFAAUAAAACACHTuJAlYf96rMBAABTAwAADgAAAAAAAAABACAAAAA7AQAAZHJz&#10;L2Uyb0RvYy54bWxQSwUGAAAAAAYABgBZAQAAYAUAAAAA&#10;">
              <v:fill on="f" focussize="0,0"/>
              <v:stroke on="f"/>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1758"/>
        <w:tab w:val="clear" w:pos="4153"/>
        <w:tab w:val="clear" w:pos="8306"/>
      </w:tabs>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false"/>
  <w:bordersDoNotSurroundFooter w:val="false"/>
  <w:documentProtection w:enforcement="0"/>
  <w:defaultTabStop w:val="420"/>
  <w:evenAndOddHeaders w:val="true"/>
  <w:drawingGridHorizontalSpacing w:val="120"/>
  <w:drawingGridVerticalSpacing w:val="163"/>
  <w:displayHorizontalDrawingGridEvery w:val="1"/>
  <w:displayVerticalDrawingGridEvery w:val="1"/>
  <w:noPunctuationKerning w:val="true"/>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2YTEzMmZiZjY0ZTA1MTVhZDBhOTA4ODhmNzE5NzcifQ=="/>
  </w:docVars>
  <w:rsids>
    <w:rsidRoot w:val="00B03CCD"/>
    <w:rsid w:val="000239C6"/>
    <w:rsid w:val="001D3BB7"/>
    <w:rsid w:val="002B254B"/>
    <w:rsid w:val="0034050A"/>
    <w:rsid w:val="00350714"/>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3E68CF"/>
    <w:rsid w:val="03B87EA0"/>
    <w:rsid w:val="03E3214F"/>
    <w:rsid w:val="044C50BA"/>
    <w:rsid w:val="05BC6D49"/>
    <w:rsid w:val="06023C82"/>
    <w:rsid w:val="06194FF1"/>
    <w:rsid w:val="06A2550B"/>
    <w:rsid w:val="06C13B3D"/>
    <w:rsid w:val="06F80EE2"/>
    <w:rsid w:val="07001CCA"/>
    <w:rsid w:val="075678DB"/>
    <w:rsid w:val="077B465F"/>
    <w:rsid w:val="079D7CC7"/>
    <w:rsid w:val="08051BCA"/>
    <w:rsid w:val="086C12F4"/>
    <w:rsid w:val="08705944"/>
    <w:rsid w:val="08BA052C"/>
    <w:rsid w:val="08DB07BA"/>
    <w:rsid w:val="090045B0"/>
    <w:rsid w:val="0969353F"/>
    <w:rsid w:val="098305D0"/>
    <w:rsid w:val="09B1218B"/>
    <w:rsid w:val="09D26061"/>
    <w:rsid w:val="0A3317EA"/>
    <w:rsid w:val="0A5C4B69"/>
    <w:rsid w:val="0A86124A"/>
    <w:rsid w:val="0AB54CC0"/>
    <w:rsid w:val="0B9335CE"/>
    <w:rsid w:val="0BF2311A"/>
    <w:rsid w:val="0C7927C4"/>
    <w:rsid w:val="0C9B098C"/>
    <w:rsid w:val="0D673E11"/>
    <w:rsid w:val="0DDA54E4"/>
    <w:rsid w:val="0E3A5F83"/>
    <w:rsid w:val="0F630FC6"/>
    <w:rsid w:val="0F836721"/>
    <w:rsid w:val="0FA25D96"/>
    <w:rsid w:val="10340142"/>
    <w:rsid w:val="107B59E5"/>
    <w:rsid w:val="10EC0126"/>
    <w:rsid w:val="10F70B9A"/>
    <w:rsid w:val="111445C7"/>
    <w:rsid w:val="114278C6"/>
    <w:rsid w:val="1158083A"/>
    <w:rsid w:val="11643A4B"/>
    <w:rsid w:val="11C5269F"/>
    <w:rsid w:val="11ED0F98"/>
    <w:rsid w:val="11F03528"/>
    <w:rsid w:val="1275669B"/>
    <w:rsid w:val="129F7A10"/>
    <w:rsid w:val="12C921C4"/>
    <w:rsid w:val="13871C70"/>
    <w:rsid w:val="13A71CB4"/>
    <w:rsid w:val="13AF1D43"/>
    <w:rsid w:val="13CE1647"/>
    <w:rsid w:val="13FD55AB"/>
    <w:rsid w:val="14200702"/>
    <w:rsid w:val="14370EA1"/>
    <w:rsid w:val="15455939"/>
    <w:rsid w:val="163A6CEE"/>
    <w:rsid w:val="173708E3"/>
    <w:rsid w:val="17517E56"/>
    <w:rsid w:val="17C374FC"/>
    <w:rsid w:val="182E4AB6"/>
    <w:rsid w:val="189079DC"/>
    <w:rsid w:val="189B0D0B"/>
    <w:rsid w:val="18B43F7C"/>
    <w:rsid w:val="18C30F60"/>
    <w:rsid w:val="191C433B"/>
    <w:rsid w:val="194A1770"/>
    <w:rsid w:val="19617168"/>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045583"/>
    <w:rsid w:val="1F2C5189"/>
    <w:rsid w:val="1F4B0B02"/>
    <w:rsid w:val="1FBB35CD"/>
    <w:rsid w:val="1FCD26AF"/>
    <w:rsid w:val="20642787"/>
    <w:rsid w:val="21556F04"/>
    <w:rsid w:val="21D70BED"/>
    <w:rsid w:val="22403BD3"/>
    <w:rsid w:val="22833F45"/>
    <w:rsid w:val="22AD3177"/>
    <w:rsid w:val="235417B6"/>
    <w:rsid w:val="244B64B5"/>
    <w:rsid w:val="24B92327"/>
    <w:rsid w:val="24C14514"/>
    <w:rsid w:val="2533755C"/>
    <w:rsid w:val="25621AE5"/>
    <w:rsid w:val="25791755"/>
    <w:rsid w:val="26396DF4"/>
    <w:rsid w:val="266F0A92"/>
    <w:rsid w:val="27167136"/>
    <w:rsid w:val="271B442C"/>
    <w:rsid w:val="27B23302"/>
    <w:rsid w:val="29310A5F"/>
    <w:rsid w:val="29C37A35"/>
    <w:rsid w:val="2A076083"/>
    <w:rsid w:val="2A73162E"/>
    <w:rsid w:val="2B167953"/>
    <w:rsid w:val="2B200583"/>
    <w:rsid w:val="2B2729C0"/>
    <w:rsid w:val="2B8209DE"/>
    <w:rsid w:val="2B821C91"/>
    <w:rsid w:val="2BF81A22"/>
    <w:rsid w:val="2C636760"/>
    <w:rsid w:val="2C6762A3"/>
    <w:rsid w:val="2C732934"/>
    <w:rsid w:val="2D917516"/>
    <w:rsid w:val="2FCA4B37"/>
    <w:rsid w:val="2FE029D7"/>
    <w:rsid w:val="2FF06E00"/>
    <w:rsid w:val="30586FEC"/>
    <w:rsid w:val="310E0E7D"/>
    <w:rsid w:val="315F0B22"/>
    <w:rsid w:val="31A15828"/>
    <w:rsid w:val="31D200FD"/>
    <w:rsid w:val="31D84415"/>
    <w:rsid w:val="322062C0"/>
    <w:rsid w:val="32285F6F"/>
    <w:rsid w:val="32770556"/>
    <w:rsid w:val="329C0913"/>
    <w:rsid w:val="32AA0460"/>
    <w:rsid w:val="32BE11F6"/>
    <w:rsid w:val="3337290D"/>
    <w:rsid w:val="33E31118"/>
    <w:rsid w:val="33EF7674"/>
    <w:rsid w:val="342D7BC6"/>
    <w:rsid w:val="34B37DE2"/>
    <w:rsid w:val="352930DB"/>
    <w:rsid w:val="35573069"/>
    <w:rsid w:val="355F6038"/>
    <w:rsid w:val="358C217E"/>
    <w:rsid w:val="36C9128A"/>
    <w:rsid w:val="37841E99"/>
    <w:rsid w:val="37BF1123"/>
    <w:rsid w:val="383C3F15"/>
    <w:rsid w:val="38961181"/>
    <w:rsid w:val="38BE4696"/>
    <w:rsid w:val="3939115E"/>
    <w:rsid w:val="39B82A39"/>
    <w:rsid w:val="39C42CA8"/>
    <w:rsid w:val="39DC4FD6"/>
    <w:rsid w:val="39F03D7A"/>
    <w:rsid w:val="39F33306"/>
    <w:rsid w:val="39F516B3"/>
    <w:rsid w:val="3A2C1C67"/>
    <w:rsid w:val="3A6A77C9"/>
    <w:rsid w:val="3ADD7F09"/>
    <w:rsid w:val="3B1705E5"/>
    <w:rsid w:val="3B18334B"/>
    <w:rsid w:val="3B36794F"/>
    <w:rsid w:val="3B6F6EE0"/>
    <w:rsid w:val="3C566AD6"/>
    <w:rsid w:val="3C594871"/>
    <w:rsid w:val="3C6A5B02"/>
    <w:rsid w:val="3CB015E0"/>
    <w:rsid w:val="3D083B3A"/>
    <w:rsid w:val="3D2757A1"/>
    <w:rsid w:val="3D3D4FC4"/>
    <w:rsid w:val="3D8532CA"/>
    <w:rsid w:val="3DC9EB1F"/>
    <w:rsid w:val="3DDF3AB1"/>
    <w:rsid w:val="3E1D0952"/>
    <w:rsid w:val="3E42660A"/>
    <w:rsid w:val="3E7555B1"/>
    <w:rsid w:val="3E787ED9"/>
    <w:rsid w:val="3EB4711C"/>
    <w:rsid w:val="3EC40CB9"/>
    <w:rsid w:val="3F032E93"/>
    <w:rsid w:val="3F0527E5"/>
    <w:rsid w:val="3F4C52C6"/>
    <w:rsid w:val="3F694D83"/>
    <w:rsid w:val="3F885DCC"/>
    <w:rsid w:val="3FCD675E"/>
    <w:rsid w:val="3FF4AF2C"/>
    <w:rsid w:val="3FFF9A42"/>
    <w:rsid w:val="4004000C"/>
    <w:rsid w:val="40760DD1"/>
    <w:rsid w:val="40BD5482"/>
    <w:rsid w:val="411B6CE5"/>
    <w:rsid w:val="412070D7"/>
    <w:rsid w:val="41214A44"/>
    <w:rsid w:val="41314E40"/>
    <w:rsid w:val="41E0734B"/>
    <w:rsid w:val="426C1EA8"/>
    <w:rsid w:val="42736402"/>
    <w:rsid w:val="42CB79B6"/>
    <w:rsid w:val="42E86A87"/>
    <w:rsid w:val="43307B09"/>
    <w:rsid w:val="43441DEB"/>
    <w:rsid w:val="439A3EB9"/>
    <w:rsid w:val="43BB152F"/>
    <w:rsid w:val="44C37687"/>
    <w:rsid w:val="45CB699A"/>
    <w:rsid w:val="45D81DA4"/>
    <w:rsid w:val="46423C66"/>
    <w:rsid w:val="465B470D"/>
    <w:rsid w:val="469D6AD4"/>
    <w:rsid w:val="471E6C84"/>
    <w:rsid w:val="4748792B"/>
    <w:rsid w:val="475D719D"/>
    <w:rsid w:val="47674801"/>
    <w:rsid w:val="48225EF7"/>
    <w:rsid w:val="488F422B"/>
    <w:rsid w:val="48E36915"/>
    <w:rsid w:val="48EB6572"/>
    <w:rsid w:val="495C4A24"/>
    <w:rsid w:val="497135DF"/>
    <w:rsid w:val="4A263DF2"/>
    <w:rsid w:val="4A2F278B"/>
    <w:rsid w:val="4A6F6675"/>
    <w:rsid w:val="4B06109B"/>
    <w:rsid w:val="4B135857"/>
    <w:rsid w:val="4B7951CB"/>
    <w:rsid w:val="4B7C315C"/>
    <w:rsid w:val="4D1F53CA"/>
    <w:rsid w:val="4DAC4ACA"/>
    <w:rsid w:val="4DBE01D2"/>
    <w:rsid w:val="4EFD467F"/>
    <w:rsid w:val="4F0C6BA3"/>
    <w:rsid w:val="4F186D58"/>
    <w:rsid w:val="4FB54A3D"/>
    <w:rsid w:val="4FFE7F08"/>
    <w:rsid w:val="50397289"/>
    <w:rsid w:val="504B6EAA"/>
    <w:rsid w:val="50F06B6E"/>
    <w:rsid w:val="51064DCD"/>
    <w:rsid w:val="51976F41"/>
    <w:rsid w:val="51D21804"/>
    <w:rsid w:val="52234D33"/>
    <w:rsid w:val="522F6E0C"/>
    <w:rsid w:val="52463BA1"/>
    <w:rsid w:val="52F163D4"/>
    <w:rsid w:val="531A2DB4"/>
    <w:rsid w:val="53C0244D"/>
    <w:rsid w:val="53D375FD"/>
    <w:rsid w:val="53DD4D4E"/>
    <w:rsid w:val="53E578CE"/>
    <w:rsid w:val="541330F0"/>
    <w:rsid w:val="54272666"/>
    <w:rsid w:val="543B029D"/>
    <w:rsid w:val="54861779"/>
    <w:rsid w:val="55084A4C"/>
    <w:rsid w:val="552256E1"/>
    <w:rsid w:val="554E5773"/>
    <w:rsid w:val="555829E0"/>
    <w:rsid w:val="555A3CBC"/>
    <w:rsid w:val="5582012B"/>
    <w:rsid w:val="558E4E05"/>
    <w:rsid w:val="559B2B02"/>
    <w:rsid w:val="55BE2E85"/>
    <w:rsid w:val="56530F5D"/>
    <w:rsid w:val="567700D3"/>
    <w:rsid w:val="56FF7E9E"/>
    <w:rsid w:val="57063163"/>
    <w:rsid w:val="578867FC"/>
    <w:rsid w:val="5842572D"/>
    <w:rsid w:val="5A3B59D6"/>
    <w:rsid w:val="5AD134D8"/>
    <w:rsid w:val="5BF41F67"/>
    <w:rsid w:val="5C263CE4"/>
    <w:rsid w:val="5C5D2777"/>
    <w:rsid w:val="5CF66BF3"/>
    <w:rsid w:val="5D290C69"/>
    <w:rsid w:val="5DA80C2C"/>
    <w:rsid w:val="5EC977D5"/>
    <w:rsid w:val="5F2D4A41"/>
    <w:rsid w:val="60C74F6C"/>
    <w:rsid w:val="61015958"/>
    <w:rsid w:val="61025A59"/>
    <w:rsid w:val="613D5BBC"/>
    <w:rsid w:val="61536C39"/>
    <w:rsid w:val="62944DD7"/>
    <w:rsid w:val="6319381F"/>
    <w:rsid w:val="63C25DC5"/>
    <w:rsid w:val="63C62057"/>
    <w:rsid w:val="64571EF5"/>
    <w:rsid w:val="646B23D8"/>
    <w:rsid w:val="64B10463"/>
    <w:rsid w:val="64FB113D"/>
    <w:rsid w:val="656152C6"/>
    <w:rsid w:val="6587477F"/>
    <w:rsid w:val="658C3A08"/>
    <w:rsid w:val="65B65064"/>
    <w:rsid w:val="65C031CA"/>
    <w:rsid w:val="65CE6852"/>
    <w:rsid w:val="66267C04"/>
    <w:rsid w:val="663F505A"/>
    <w:rsid w:val="666C2D2F"/>
    <w:rsid w:val="66AA5D4B"/>
    <w:rsid w:val="66AF5D7C"/>
    <w:rsid w:val="66EE5541"/>
    <w:rsid w:val="67924660"/>
    <w:rsid w:val="68407834"/>
    <w:rsid w:val="687E422D"/>
    <w:rsid w:val="6883293E"/>
    <w:rsid w:val="688412AD"/>
    <w:rsid w:val="68D91640"/>
    <w:rsid w:val="68EB1B71"/>
    <w:rsid w:val="696C0310"/>
    <w:rsid w:val="6A6C7940"/>
    <w:rsid w:val="6A9F1565"/>
    <w:rsid w:val="6AAD2300"/>
    <w:rsid w:val="6B474EF5"/>
    <w:rsid w:val="6BC938E5"/>
    <w:rsid w:val="6C0A5AC5"/>
    <w:rsid w:val="6C560CAE"/>
    <w:rsid w:val="6C576495"/>
    <w:rsid w:val="6D903FF5"/>
    <w:rsid w:val="6DA955B8"/>
    <w:rsid w:val="6DE346AB"/>
    <w:rsid w:val="6DE5391A"/>
    <w:rsid w:val="6EFD1324"/>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64F62AB"/>
    <w:rsid w:val="765C45EC"/>
    <w:rsid w:val="768A40CF"/>
    <w:rsid w:val="768A7619"/>
    <w:rsid w:val="76BD23AB"/>
    <w:rsid w:val="772E1EBA"/>
    <w:rsid w:val="777757D4"/>
    <w:rsid w:val="7787F810"/>
    <w:rsid w:val="77D70D03"/>
    <w:rsid w:val="781926BC"/>
    <w:rsid w:val="786C6182"/>
    <w:rsid w:val="78A23952"/>
    <w:rsid w:val="796D60A4"/>
    <w:rsid w:val="79A031D5"/>
    <w:rsid w:val="79B47FDF"/>
    <w:rsid w:val="79E569A9"/>
    <w:rsid w:val="7A1525F7"/>
    <w:rsid w:val="7B420052"/>
    <w:rsid w:val="7BD06A28"/>
    <w:rsid w:val="7C3A7C0B"/>
    <w:rsid w:val="7C5248E4"/>
    <w:rsid w:val="7C566698"/>
    <w:rsid w:val="7C5866A3"/>
    <w:rsid w:val="7D7406BB"/>
    <w:rsid w:val="7D746790"/>
    <w:rsid w:val="7DCFB058"/>
    <w:rsid w:val="7DE94331"/>
    <w:rsid w:val="7DFAC530"/>
    <w:rsid w:val="7EAD4DFF"/>
    <w:rsid w:val="7F446A19"/>
    <w:rsid w:val="7F7452B9"/>
    <w:rsid w:val="7F791692"/>
    <w:rsid w:val="7F7C31FD"/>
    <w:rsid w:val="7F89586C"/>
    <w:rsid w:val="979EECCF"/>
    <w:rsid w:val="9BEF8819"/>
    <w:rsid w:val="AB72711C"/>
    <w:rsid w:val="BFAFF298"/>
    <w:rsid w:val="E6FF6431"/>
    <w:rsid w:val="EB7574BE"/>
    <w:rsid w:val="F6DDD185"/>
    <w:rsid w:val="F76B22AD"/>
    <w:rsid w:val="FF7CD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4178</Words>
  <Characters>4643</Characters>
  <Lines>186</Lines>
  <Paragraphs>52</Paragraphs>
  <TotalTime>12</TotalTime>
  <ScaleCrop>false</ScaleCrop>
  <LinksUpToDate>false</LinksUpToDate>
  <CharactersWithSpaces>4646</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2024-07-12T02:00:00Z</dcterms:created>
  <dc:creator>Administrator</dc:creator>
  <cp:lastModifiedBy>王乐</cp:lastModifiedBy>
  <dcterms:modified xsi:type="dcterms:W3CDTF">2025-11-12T15:08:20Z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CB046F4870254476A7EE5BB43770BED0_13</vt:lpwstr>
  </property>
  <property fmtid="{D5CDD505-2E9C-101B-9397-08002B2CF9AE}" pid="4" name="KSOTemplateDocerSaveRecord">
    <vt:lpwstr>eyJoZGlkIjoiZjdkMTJmM2I4ZjRmYzNmYmI3M2NlY2UyZmYzZWE2NzAiLCJ1c2VySWQiOiIxNjYyOTMxNjY2In0=</vt:lpwstr>
  </property>
</Properties>
</file>