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kinsoku/>
        <w:wordWrap/>
        <w:overflowPunct/>
        <w:topLinePunct w:val="0"/>
        <w:autoSpaceDN/>
        <w:bidi w:val="0"/>
        <w:adjustRightInd/>
        <w:spacing w:before="0" w:beforeAutospacing="0" w:after="0" w:afterAutospacing="0"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重庆市城口县</w:t>
      </w:r>
      <w:r>
        <w:rPr>
          <w:rFonts w:hint="eastAsia" w:ascii="方正小标宋_GBK" w:hAnsi="方正小标宋_GBK" w:eastAsia="方正小标宋_GBK" w:cs="方正小标宋_GBK"/>
          <w:sz w:val="44"/>
          <w:szCs w:val="44"/>
          <w:lang w:eastAsia="zh-CN"/>
        </w:rPr>
        <w:t>高观</w:t>
      </w:r>
      <w:r>
        <w:rPr>
          <w:rFonts w:hint="eastAsia" w:ascii="方正小标宋_GBK" w:hAnsi="方正小标宋_GBK" w:eastAsia="方正小标宋_GBK" w:cs="方正小标宋_GBK"/>
          <w:sz w:val="44"/>
          <w:szCs w:val="44"/>
        </w:rPr>
        <w:t>镇</w:t>
      </w:r>
      <w:r>
        <w:rPr>
          <w:rFonts w:hint="eastAsia" w:ascii="方正小标宋_GBK" w:hAnsi="方正小标宋_GBK" w:eastAsia="方正小标宋_GBK" w:cs="方正小标宋_GBK"/>
          <w:sz w:val="44"/>
          <w:szCs w:val="44"/>
          <w:lang w:eastAsia="zh-CN"/>
        </w:rPr>
        <w:t>产业发展服务中心</w:t>
      </w:r>
    </w:p>
    <w:p>
      <w:pPr>
        <w:pStyle w:val="10"/>
        <w:keepNext w:val="0"/>
        <w:keepLines w:val="0"/>
        <w:pageBreakBefore w:val="0"/>
        <w:widowControl/>
        <w:kinsoku/>
        <w:wordWrap/>
        <w:overflowPunct/>
        <w:topLinePunct w:val="0"/>
        <w:autoSpaceDN/>
        <w:bidi w:val="0"/>
        <w:adjustRightInd/>
        <w:spacing w:before="0" w:beforeAutospacing="0" w:after="0" w:afterAutospacing="0" w:line="560" w:lineRule="exact"/>
        <w:jc w:val="center"/>
        <w:textAlignment w:val="auto"/>
        <w:rPr>
          <w:rFonts w:hint="eastAsia"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shd w:val="clear" w:color="auto" w:fill="FFFFFF"/>
        </w:rPr>
        <w:t>2024年度决算公开说明</w:t>
      </w:r>
    </w:p>
    <w:p>
      <w:pPr>
        <w:pStyle w:val="10"/>
        <w:keepNext w:val="0"/>
        <w:keepLines w:val="0"/>
        <w:pageBreakBefore w:val="0"/>
        <w:widowControl/>
        <w:kinsoku/>
        <w:wordWrap/>
        <w:overflowPunct/>
        <w:topLinePunct w:val="0"/>
        <w:autoSpaceDN/>
        <w:bidi w:val="0"/>
        <w:adjustRightInd/>
        <w:spacing w:before="0" w:beforeAutospacing="0" w:after="0" w:afterAutospacing="0" w:line="560" w:lineRule="exact"/>
        <w:jc w:val="center"/>
        <w:textAlignment w:val="auto"/>
        <w:rPr>
          <w:rFonts w:hint="eastAsia" w:ascii="方正小标宋_GBK" w:hAnsi="方正小标宋_GBK" w:eastAsia="方正小标宋_GBK" w:cs="方正小标宋_GBK"/>
          <w:sz w:val="44"/>
          <w:szCs w:val="44"/>
          <w:shd w:val="clear" w:color="auto" w:fill="FFFFFF"/>
        </w:rPr>
      </w:pP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4"/>
          <w:rFonts w:hint="eastAsia" w:ascii="方正黑体_GBK" w:hAnsi="方正黑体_GBK" w:eastAsia="方正黑体_GBK" w:cs="方正黑体_GBK"/>
          <w:b w:val="0"/>
          <w:bCs/>
          <w:sz w:val="32"/>
          <w:szCs w:val="32"/>
          <w:shd w:val="clear" w:color="auto" w:fill="FFFFFF"/>
        </w:rPr>
      </w:pPr>
      <w:r>
        <w:rPr>
          <w:rStyle w:val="14"/>
          <w:rFonts w:hint="eastAsia" w:ascii="方正黑体_GBK" w:hAnsi="方正黑体_GBK" w:eastAsia="方正黑体_GBK" w:cs="方正黑体_GBK"/>
          <w:b w:val="0"/>
          <w:bCs/>
          <w:sz w:val="32"/>
          <w:szCs w:val="32"/>
          <w:shd w:val="clear" w:color="auto" w:fill="FFFFFF"/>
        </w:rPr>
        <w:t>一、</w:t>
      </w:r>
      <w:r>
        <w:rPr>
          <w:rStyle w:val="14"/>
          <w:rFonts w:hint="eastAsia" w:ascii="方正黑体_GBK" w:hAnsi="方正黑体_GBK" w:eastAsia="方正黑体_GBK" w:cs="方正黑体_GBK"/>
          <w:b w:val="0"/>
          <w:bCs/>
          <w:sz w:val="32"/>
          <w:szCs w:val="32"/>
          <w:shd w:val="clear" w:color="auto" w:fill="FFFFFF"/>
          <w:lang w:eastAsia="zh-CN"/>
        </w:rPr>
        <w:t>单位</w:t>
      </w:r>
      <w:r>
        <w:rPr>
          <w:rStyle w:val="14"/>
          <w:rFonts w:hint="eastAsia" w:ascii="方正黑体_GBK" w:hAnsi="方正黑体_GBK" w:eastAsia="方正黑体_GBK" w:cs="方正黑体_GBK"/>
          <w:b w:val="0"/>
          <w:bCs/>
          <w:sz w:val="32"/>
          <w:szCs w:val="32"/>
          <w:shd w:val="clear" w:color="auto" w:fill="FFFFFF"/>
        </w:rPr>
        <w:t>基本情况</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Style w:val="14"/>
          <w:rFonts w:hint="eastAsia" w:ascii="Times New Roman" w:hAnsi="Times New Roman" w:eastAsia="方正楷体_GBK" w:cs="Times New Roman"/>
          <w:b w:val="0"/>
          <w:bCs w:val="0"/>
          <w:sz w:val="32"/>
          <w:szCs w:val="32"/>
          <w:shd w:val="clear" w:color="auto" w:fill="FFFFFF"/>
        </w:rPr>
      </w:pPr>
      <w:r>
        <w:rPr>
          <w:rStyle w:val="14"/>
          <w:rFonts w:hint="eastAsia" w:ascii="Times New Roman" w:hAnsi="Times New Roman" w:eastAsia="方正楷体_GBK" w:cs="Times New Roman"/>
          <w:b w:val="0"/>
          <w:bCs w:val="0"/>
          <w:sz w:val="32"/>
          <w:szCs w:val="32"/>
          <w:shd w:val="clear" w:color="auto" w:fill="FFFFFF"/>
        </w:rPr>
        <w:t>（一）职能职责</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方正仿宋_GBK" w:hAnsi="方正仿宋_GBK" w:eastAsia="方正仿宋_GBK" w:cs="方正仿宋_GBK"/>
          <w:sz w:val="32"/>
          <w:szCs w:val="32"/>
        </w:rPr>
      </w:pPr>
      <w:r>
        <w:rPr>
          <w:rStyle w:val="14"/>
          <w:rFonts w:hint="eastAsia" w:ascii="Times New Roman" w:hAnsi="Times New Roman" w:eastAsia="方正仿宋_GBK" w:cs="Times New Roman"/>
          <w:b w:val="0"/>
          <w:bCs w:val="0"/>
          <w:sz w:val="32"/>
          <w:szCs w:val="32"/>
          <w:shd w:val="clear" w:color="auto" w:fill="FFFFFF"/>
          <w:lang w:eastAsia="zh-CN"/>
        </w:rPr>
        <w:t>高观</w:t>
      </w:r>
      <w:r>
        <w:rPr>
          <w:rStyle w:val="14"/>
          <w:rFonts w:hint="eastAsia" w:ascii="Times New Roman" w:hAnsi="Times New Roman" w:eastAsia="方正仿宋_GBK" w:cs="Times New Roman"/>
          <w:b w:val="0"/>
          <w:bCs w:val="0"/>
          <w:sz w:val="32"/>
          <w:szCs w:val="32"/>
          <w:shd w:val="clear" w:color="auto" w:fill="FFFFFF"/>
        </w:rPr>
        <w:t>镇</w:t>
      </w:r>
      <w:r>
        <w:rPr>
          <w:rStyle w:val="14"/>
          <w:rFonts w:hint="eastAsia" w:ascii="Times New Roman" w:hAnsi="Times New Roman" w:eastAsia="方正仿宋_GBK" w:cs="Times New Roman"/>
          <w:b w:val="0"/>
          <w:bCs w:val="0"/>
          <w:sz w:val="32"/>
          <w:szCs w:val="32"/>
          <w:shd w:val="clear" w:color="auto" w:fill="FFFFFF"/>
          <w:lang w:val="en-US" w:eastAsia="zh-CN"/>
        </w:rPr>
        <w:t>产业发展服务中心</w:t>
      </w:r>
      <w:r>
        <w:rPr>
          <w:rStyle w:val="14"/>
          <w:rFonts w:hint="eastAsia" w:ascii="Times New Roman" w:hAnsi="Times New Roman" w:eastAsia="方正仿宋_GBK" w:cs="Times New Roman"/>
          <w:b w:val="0"/>
          <w:bCs w:val="0"/>
          <w:sz w:val="32"/>
          <w:szCs w:val="32"/>
          <w:shd w:val="clear" w:color="auto" w:fill="FFFFFF"/>
        </w:rPr>
        <w:t>是</w:t>
      </w:r>
      <w:r>
        <w:rPr>
          <w:rStyle w:val="14"/>
          <w:rFonts w:hint="eastAsia" w:ascii="Times New Roman" w:hAnsi="Times New Roman" w:eastAsia="方正仿宋_GBK" w:cs="Times New Roman"/>
          <w:b w:val="0"/>
          <w:bCs w:val="0"/>
          <w:sz w:val="32"/>
          <w:szCs w:val="32"/>
          <w:shd w:val="clear" w:color="auto" w:fill="FFFFFF"/>
          <w:lang w:eastAsia="zh-CN"/>
        </w:rPr>
        <w:t>高观</w:t>
      </w:r>
      <w:r>
        <w:rPr>
          <w:rStyle w:val="14"/>
          <w:rFonts w:hint="eastAsia" w:ascii="Times New Roman" w:hAnsi="Times New Roman" w:eastAsia="方正仿宋_GBK" w:cs="Times New Roman"/>
          <w:b w:val="0"/>
          <w:bCs w:val="0"/>
          <w:sz w:val="32"/>
          <w:szCs w:val="32"/>
          <w:shd w:val="clear" w:color="auto" w:fill="FFFFFF"/>
        </w:rPr>
        <w:t>镇人民政府所属公益一类事业单位。其主要职能职责有：负责农业、畜牧、林业、水利、资源环境保护、渔政等工作。</w:t>
      </w: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4"/>
          <w:rFonts w:hint="default" w:ascii="方正黑体_GBK" w:hAnsi="方正黑体_GBK" w:eastAsia="方正黑体_GBK" w:cs="方正黑体_GBK"/>
          <w:b w:val="0"/>
          <w:bCs/>
          <w:sz w:val="32"/>
          <w:szCs w:val="32"/>
          <w:shd w:val="clear" w:color="auto" w:fill="FFFFFF"/>
        </w:rPr>
      </w:pPr>
      <w:r>
        <w:rPr>
          <w:rStyle w:val="14"/>
          <w:rFonts w:hint="eastAsia" w:ascii="方正黑体_GBK" w:hAnsi="方正黑体_GBK" w:eastAsia="方正黑体_GBK" w:cs="方正黑体_GBK"/>
          <w:b w:val="0"/>
          <w:bCs/>
          <w:sz w:val="32"/>
          <w:szCs w:val="32"/>
          <w:shd w:val="clear" w:color="auto" w:fill="FFFFFF"/>
        </w:rPr>
        <w:t>二、</w:t>
      </w:r>
      <w:r>
        <w:rPr>
          <w:rStyle w:val="14"/>
          <w:rFonts w:hint="eastAsia" w:ascii="方正黑体_GBK" w:hAnsi="方正黑体_GBK" w:eastAsia="方正黑体_GBK" w:cs="方正黑体_GBK"/>
          <w:b w:val="0"/>
          <w:bCs/>
          <w:sz w:val="32"/>
          <w:szCs w:val="32"/>
          <w:shd w:val="clear" w:color="auto" w:fill="FFFFFF"/>
          <w:lang w:eastAsia="zh-CN"/>
        </w:rPr>
        <w:t>单位</w:t>
      </w:r>
      <w:r>
        <w:rPr>
          <w:rStyle w:val="14"/>
          <w:rFonts w:hint="eastAsia" w:ascii="方正黑体_GBK" w:hAnsi="方正黑体_GBK" w:eastAsia="方正黑体_GBK" w:cs="方正黑体_GBK"/>
          <w:b w:val="0"/>
          <w:bCs/>
          <w:sz w:val="32"/>
          <w:szCs w:val="32"/>
          <w:shd w:val="clear" w:color="auto" w:fill="FFFFFF"/>
        </w:rPr>
        <w:t>决算</w:t>
      </w:r>
      <w:r>
        <w:rPr>
          <w:rStyle w:val="14"/>
          <w:rFonts w:hint="eastAsia" w:ascii="方正黑体_GBK" w:hAnsi="方正黑体_GBK" w:eastAsia="方正黑体_GBK" w:cs="方正黑体_GBK"/>
          <w:b w:val="0"/>
          <w:bCs/>
          <w:sz w:val="32"/>
          <w:szCs w:val="32"/>
          <w:shd w:val="clear" w:color="auto" w:fill="FFFFFF"/>
          <w:lang w:eastAsia="zh-CN"/>
        </w:rPr>
        <w:t>收支</w:t>
      </w:r>
      <w:r>
        <w:rPr>
          <w:rStyle w:val="14"/>
          <w:rFonts w:hint="eastAsia" w:ascii="方正黑体_GBK" w:hAnsi="方正黑体_GBK" w:eastAsia="方正黑体_GBK" w:cs="方正黑体_GBK"/>
          <w:b w:val="0"/>
          <w:bCs/>
          <w:sz w:val="32"/>
          <w:szCs w:val="32"/>
          <w:shd w:val="clear" w:color="auto" w:fill="FFFFFF"/>
        </w:rPr>
        <w:t>情况说明</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bCs/>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（一）收入支出决算总体情况说明</w:t>
      </w:r>
      <w:r>
        <w:rPr>
          <w:rFonts w:hint="eastAsia" w:ascii="方正楷体_GBK" w:hAnsi="方正楷体_GBK" w:eastAsia="方正楷体_GBK" w:cs="方正楷体_GBK"/>
          <w:b/>
          <w:bCs/>
          <w:sz w:val="32"/>
          <w:szCs w:val="32"/>
          <w:shd w:val="clear" w:color="auto" w:fill="FFFFFF"/>
        </w:rPr>
        <w:t>。</w:t>
      </w:r>
    </w:p>
    <w:p>
      <w:pPr>
        <w:pStyle w:val="15"/>
        <w:keepNext w:val="0"/>
        <w:keepLines w:val="0"/>
        <w:pageBreakBefore w:val="0"/>
        <w:widowControl/>
        <w:kinsoku/>
        <w:wordWrap/>
        <w:overflowPunct/>
        <w:topLinePunct w:val="0"/>
        <w:autoSpaceDE w:val="0"/>
        <w:autoSpaceDN/>
        <w:bidi w:val="0"/>
        <w:adjustRightInd/>
        <w:spacing w:line="560" w:lineRule="exact"/>
        <w:ind w:firstLine="642" w:firstLineChars="200"/>
        <w:jc w:val="both"/>
        <w:textAlignment w:val="auto"/>
        <w:rPr>
          <w:rFonts w:hint="default" w:ascii="方正仿宋_GBK" w:hAnsi="方正仿宋_GBK" w:eastAsia="方正仿宋_GBK" w:cs="方正仿宋_GBK"/>
          <w:sz w:val="32"/>
          <w:szCs w:val="32"/>
        </w:rPr>
      </w:pPr>
      <w:r>
        <w:rPr>
          <w:rStyle w:val="14"/>
          <w:rFonts w:ascii="方正仿宋_GBK" w:hAnsi="方正仿宋_GBK" w:eastAsia="方正仿宋_GBK" w:cs="方正仿宋_GBK"/>
          <w:b/>
          <w:bCs w:val="0"/>
          <w:sz w:val="32"/>
          <w:szCs w:val="32"/>
          <w:shd w:val="clear" w:color="auto" w:fill="FFFFFF"/>
        </w:rPr>
        <w:t>1.总体情况。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万元，支出总计</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万元。收支较上年决算数增加</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4"/>
          <w:rFonts w:ascii="方正仿宋_GBK" w:hAnsi="方正仿宋_GBK" w:eastAsia="方正仿宋_GBK" w:cs="方正仿宋_GBK"/>
          <w:sz w:val="32"/>
          <w:szCs w:val="32"/>
          <w:shd w:val="clear" w:color="auto" w:fill="FFFFFF"/>
        </w:rPr>
        <w:t>2.收入情况。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年度收入合计</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未单独进行财务核算及决算处理，纳入政府核算及决算。其中：财政拨款收入</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。此外，使用非财政拨款结余和专用结余</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cs="Times New Roman"/>
          <w:sz w:val="32"/>
          <w:szCs w:val="32"/>
          <w:lang w:val="en-US" w:eastAsia="zh-CN"/>
        </w:rPr>
        <w:t>0.00</w:t>
      </w:r>
      <w:r>
        <w:rPr>
          <w:rFonts w:ascii="方正仿宋_GBK" w:hAnsi="方正仿宋_GBK" w:eastAsia="方正仿宋_GBK" w:cs="方正仿宋_GBK"/>
          <w:sz w:val="32"/>
          <w:szCs w:val="32"/>
          <w:shd w:val="clear" w:color="auto" w:fill="FFFFFF"/>
        </w:rPr>
        <w:t>万元。</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4"/>
          <w:rFonts w:ascii="方正仿宋_GBK" w:hAnsi="方正仿宋_GBK" w:eastAsia="方正仿宋_GBK" w:cs="方正仿宋_GBK"/>
          <w:sz w:val="32"/>
          <w:szCs w:val="32"/>
          <w:shd w:val="clear" w:color="auto" w:fill="FFFFFF"/>
        </w:rPr>
        <w:t>3.支出情况。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年度支出合计</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未单独进行财务核算及决算处理，纳入政府核算及决算。其中：基本支出</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cs="Times New Roman"/>
          <w:sz w:val="32"/>
          <w:szCs w:val="32"/>
          <w:lang w:val="en-US" w:eastAsia="zh-CN"/>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cs="Times New Roman"/>
          <w:sz w:val="32"/>
          <w:szCs w:val="32"/>
        </w:rPr>
        <w:t>0.00</w:t>
      </w:r>
      <w:r>
        <w:rPr>
          <w:rFonts w:ascii="方正仿宋_GBK" w:hAnsi="方正仿宋_GBK" w:eastAsia="方正仿宋_GBK" w:cs="方正仿宋_GBK"/>
          <w:sz w:val="32"/>
          <w:szCs w:val="32"/>
          <w:shd w:val="clear" w:color="auto" w:fill="FFFFFF"/>
        </w:rPr>
        <w:t>万元。</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4"/>
          <w:rFonts w:ascii="方正仿宋_GBK" w:hAnsi="方正仿宋_GBK" w:eastAsia="方正仿宋_GBK" w:cs="方正仿宋_GBK"/>
          <w:sz w:val="32"/>
          <w:szCs w:val="32"/>
          <w:shd w:val="clear" w:color="auto" w:fill="FFFFFF"/>
        </w:rPr>
        <w:t>4.结转结余情况。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万元，较上年决算数无增减。</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（二）财政拨款收入支出决算总体情况说明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年度财政拨款收、支总计</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年相比，财政拨款收、支总计各</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（三）一般公共预算财政拨款收入支出决算情况说明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4"/>
          <w:rFonts w:ascii="方正仿宋_GBK" w:hAnsi="方正仿宋_GBK" w:eastAsia="方正仿宋_GBK" w:cs="方正仿宋_GBK"/>
          <w:sz w:val="32"/>
          <w:szCs w:val="32"/>
          <w:shd w:val="clear" w:color="auto" w:fill="FFFFFF"/>
        </w:rPr>
        <w:t>1.收入情况。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年度一般公共预算财政拨款收入</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未单独进行财务核算及决算处理，纳入政府核算及决算。较年初预算数增</w:t>
      </w:r>
      <w:r>
        <w:rPr>
          <w:rFonts w:hint="default" w:ascii="Times New Roman" w:hAnsi="Times New Roman" w:eastAsia="方正仿宋_GBK" w:cs="Times New Roman"/>
          <w:sz w:val="32"/>
          <w:szCs w:val="32"/>
          <w:shd w:val="clear" w:color="auto" w:fill="FFFFFF"/>
        </w:rPr>
        <w:t>加</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产业发展服务中心</w:t>
      </w:r>
      <w:r>
        <w:rPr>
          <w:rFonts w:hint="eastAsia" w:ascii="方正仿宋_GBK" w:hAnsi="方正仿宋_GBK" w:eastAsia="方正仿宋_GBK" w:cs="方正仿宋_GBK"/>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4"/>
          <w:rFonts w:ascii="方正仿宋_GBK" w:hAnsi="方正仿宋_GBK" w:eastAsia="方正仿宋_GBK" w:cs="方正仿宋_GBK"/>
          <w:sz w:val="32"/>
          <w:szCs w:val="32"/>
          <w:shd w:val="clear" w:color="auto" w:fill="FFFFFF"/>
        </w:rPr>
        <w:t>2.支出情况。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年度一般公共预算财政拨款支出</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产业发展服务中心</w:t>
      </w:r>
      <w:r>
        <w:rPr>
          <w:rFonts w:hint="eastAsia" w:ascii="方正仿宋_GBK" w:hAnsi="方正仿宋_GBK" w:eastAsia="方正仿宋_GBK" w:cs="方正仿宋_GBK"/>
          <w:sz w:val="32"/>
          <w:szCs w:val="32"/>
          <w:shd w:val="clear" w:color="auto" w:fill="FFFFFF"/>
          <w:lang w:val="en-US" w:eastAsia="zh-CN"/>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4"/>
          <w:rFonts w:ascii="方正仿宋_GBK" w:hAnsi="方正仿宋_GBK" w:eastAsia="方正仿宋_GBK" w:cs="方正仿宋_GBK"/>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万元，较上年决算数无增减</w:t>
      </w:r>
      <w:r>
        <w:rPr>
          <w:rFonts w:hint="eastAsia" w:ascii="方正仿宋_GBK" w:hAnsi="方正仿宋_GBK" w:eastAsia="方正仿宋_GBK" w:cs="方正仿宋_GBK"/>
          <w:sz w:val="32"/>
          <w:szCs w:val="32"/>
          <w:shd w:val="clear" w:color="auto" w:fill="FFFFFF"/>
          <w:lang w:eastAsia="zh-CN"/>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ascii="方正仿宋_GBK" w:hAnsi="方正仿宋_GBK" w:eastAsia="方正仿宋_GBK" w:cs="方正仿宋_GBK"/>
          <w:sz w:val="32"/>
          <w:szCs w:val="32"/>
          <w:shd w:val="clear" w:color="auto" w:fill="FFFFFF"/>
        </w:rPr>
      </w:pPr>
      <w:r>
        <w:rPr>
          <w:rStyle w:val="14"/>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年度一般公共预算财政拨款支出主要用于以下几个方面：</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一般公共服务</w:t>
      </w:r>
      <w:r>
        <w:rPr>
          <w:rFonts w:ascii="方正仿宋_GBK" w:hAnsi="方正仿宋_GBK" w:eastAsia="方正仿宋_GBK" w:cs="方正仿宋_GBK"/>
          <w:sz w:val="32"/>
          <w:szCs w:val="32"/>
          <w:shd w:val="clear" w:color="auto" w:fill="FFFFFF"/>
        </w:rPr>
        <w:t>支出</w:t>
      </w:r>
      <w:r>
        <w:rPr>
          <w:rFonts w:hint="eastAsia" w:ascii="Times New Roman" w:hAnsi="Times New Roman" w:eastAsia="方正仿宋_GBK" w:cs="Times New Roman"/>
          <w:sz w:val="32"/>
          <w:szCs w:val="32"/>
          <w:shd w:val="clear" w:color="auto" w:fill="FFFFFF"/>
          <w:lang w:val="en-US" w:eastAsia="zh-CN"/>
        </w:rPr>
        <w:t>0.25</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0.2</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0.25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产业发展服务中心</w:t>
      </w:r>
      <w:r>
        <w:rPr>
          <w:rFonts w:hint="eastAsia" w:ascii="方正仿宋_GBK" w:hAnsi="方正仿宋_GBK" w:eastAsia="方正仿宋_GBK" w:cs="方正仿宋_GBK"/>
          <w:sz w:val="32"/>
          <w:szCs w:val="32"/>
          <w:shd w:val="clear" w:color="auto" w:fill="FFFFFF"/>
          <w:lang w:val="en-US" w:eastAsia="zh-CN"/>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社会保障与就业支出</w:t>
      </w:r>
      <w:r>
        <w:rPr>
          <w:rFonts w:hint="eastAsia" w:ascii="Times New Roman" w:hAnsi="Times New Roman" w:eastAsia="方正仿宋_GBK" w:cs="Times New Roman"/>
          <w:sz w:val="32"/>
          <w:szCs w:val="32"/>
          <w:shd w:val="clear" w:color="auto" w:fill="FFFFFF"/>
          <w:lang w:val="en-US" w:eastAsia="zh-CN"/>
        </w:rPr>
        <w:t>17.16</w:t>
      </w:r>
      <w:r>
        <w:rPr>
          <w:rFonts w:ascii="方正仿宋_GBK" w:hAnsi="方正仿宋_GBK" w:eastAsia="方正仿宋_GBK" w:cs="方正仿宋_GBK"/>
          <w:sz w:val="32"/>
          <w:szCs w:val="32"/>
          <w:shd w:val="clear" w:color="auto" w:fill="FFFFFF"/>
        </w:rPr>
        <w:t>万元，</w:t>
      </w:r>
      <w:r>
        <w:rPr>
          <w:rFonts w:hint="eastAsia" w:ascii="Times New Roman" w:hAnsi="Times New Roman" w:eastAsia="方正仿宋_GBK" w:cs="Times New Roman"/>
          <w:sz w:val="32"/>
          <w:szCs w:val="32"/>
          <w:shd w:val="clear" w:color="auto" w:fill="FFFFFF"/>
          <w:lang w:eastAsia="zh-CN"/>
        </w:rPr>
        <w:t>占</w:t>
      </w:r>
      <w:r>
        <w:rPr>
          <w:rFonts w:hint="eastAsia" w:ascii="Times New Roman" w:hAnsi="Times New Roman" w:eastAsia="方正仿宋_GBK" w:cs="Times New Roman"/>
          <w:sz w:val="32"/>
          <w:szCs w:val="32"/>
          <w:shd w:val="clear" w:color="auto" w:fill="FFFFFF"/>
          <w:lang w:val="en-US" w:eastAsia="zh-CN"/>
        </w:rPr>
        <w:t>14.37</w:t>
      </w:r>
      <w:r>
        <w:rPr>
          <w:rFonts w:hint="default" w:ascii="Times New Roman" w:hAnsi="Times New Roman" w:eastAsia="方正仿宋_GBK" w:cs="Times New Roman"/>
          <w:sz w:val="32"/>
          <w:szCs w:val="32"/>
          <w:shd w:val="clear" w:color="auto" w:fill="FFFFFF"/>
          <w:lang w:eastAsia="zh-CN"/>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17.16</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产业发展服务中心</w:t>
      </w:r>
      <w:r>
        <w:rPr>
          <w:rFonts w:hint="eastAsia" w:ascii="方正仿宋_GBK" w:hAnsi="方正仿宋_GBK" w:eastAsia="方正仿宋_GBK" w:cs="方正仿宋_GBK"/>
          <w:sz w:val="32"/>
          <w:szCs w:val="32"/>
          <w:shd w:val="clear" w:color="auto" w:fill="FFFFFF"/>
          <w:lang w:val="en-US" w:eastAsia="zh-CN"/>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卫生健康支出</w:t>
      </w:r>
      <w:r>
        <w:rPr>
          <w:rFonts w:hint="eastAsia" w:ascii="Times New Roman" w:hAnsi="Times New Roman" w:eastAsia="方正仿宋_GBK" w:cs="Times New Roman"/>
          <w:sz w:val="32"/>
          <w:szCs w:val="32"/>
          <w:shd w:val="clear" w:color="auto" w:fill="FFFFFF"/>
          <w:lang w:val="en-US" w:eastAsia="zh-CN"/>
        </w:rPr>
        <w:t>7.36</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6.1</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7.36</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产业发展服务中心</w:t>
      </w:r>
      <w:r>
        <w:rPr>
          <w:rFonts w:hint="eastAsia" w:ascii="方正仿宋_GBK" w:hAnsi="方正仿宋_GBK" w:eastAsia="方正仿宋_GBK" w:cs="方正仿宋_GBK"/>
          <w:sz w:val="32"/>
          <w:szCs w:val="32"/>
          <w:shd w:val="clear" w:color="auto" w:fill="FFFFFF"/>
          <w:lang w:val="en-US" w:eastAsia="zh-CN"/>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农林水支出</w:t>
      </w:r>
      <w:r>
        <w:rPr>
          <w:rFonts w:hint="eastAsia" w:ascii="Times New Roman" w:hAnsi="Times New Roman" w:eastAsia="方正仿宋_GBK" w:cs="Times New Roman"/>
          <w:sz w:val="32"/>
          <w:szCs w:val="32"/>
          <w:shd w:val="clear" w:color="auto" w:fill="FFFFFF"/>
          <w:lang w:val="en-US" w:eastAsia="zh-CN"/>
        </w:rPr>
        <w:t>86.01</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72.05</w:t>
      </w:r>
      <w:r>
        <w:rPr>
          <w:rFonts w:hint="eastAsia"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86.01</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产业发展服务中心</w:t>
      </w:r>
      <w:r>
        <w:rPr>
          <w:rFonts w:hint="eastAsia" w:ascii="方正仿宋_GBK" w:hAnsi="方正仿宋_GBK" w:eastAsia="方正仿宋_GBK" w:cs="方正仿宋_GBK"/>
          <w:sz w:val="32"/>
          <w:szCs w:val="32"/>
          <w:shd w:val="clear" w:color="auto" w:fill="FFFFFF"/>
          <w:lang w:val="en-US" w:eastAsia="zh-CN"/>
        </w:rPr>
        <w:t>。</w:t>
      </w:r>
    </w:p>
    <w:p>
      <w:pPr>
        <w:keepNext w:val="0"/>
        <w:keepLines w:val="0"/>
        <w:pageBreakBefore w:val="0"/>
        <w:widowControl/>
        <w:kinsoku/>
        <w:wordWrap/>
        <w:overflowPunct/>
        <w:topLinePunct w:val="0"/>
        <w:autoSpaceDN/>
        <w:bidi w:val="0"/>
        <w:adjustRightInd/>
        <w:spacing w:line="560" w:lineRule="exact"/>
        <w:ind w:firstLine="640" w:firstLineChars="200"/>
        <w:jc w:val="both"/>
        <w:textAlignment w:val="auto"/>
        <w:rPr>
          <w:rFonts w:hint="eastAsia" w:ascii="方正仿宋_GBK" w:hAnsi="方正仿宋_GBK" w:eastAsia="方正仿宋_GBK" w:cs="方正仿宋_GBK"/>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lang w:val="en-US" w:eastAsia="zh-CN" w:bidi="ar-SA"/>
        </w:rPr>
        <w:t>（</w:t>
      </w:r>
      <w:r>
        <w:rPr>
          <w:rFonts w:hint="eastAsia" w:ascii="Times New Roman" w:hAnsi="Times New Roman" w:eastAsia="方正仿宋_GBK" w:cs="Times New Roman"/>
          <w:sz w:val="32"/>
          <w:szCs w:val="32"/>
          <w:shd w:val="clear" w:color="auto" w:fill="FFFFFF"/>
          <w:lang w:val="en-US" w:eastAsia="zh-CN" w:bidi="ar-SA"/>
        </w:rPr>
        <w:t>5</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rPr>
        <w:t>住房保障支出</w:t>
      </w:r>
      <w:r>
        <w:rPr>
          <w:rFonts w:hint="eastAsia" w:ascii="Times New Roman" w:hAnsi="Times New Roman" w:eastAsia="方正仿宋_GBK" w:cs="Times New Roman"/>
          <w:sz w:val="32"/>
          <w:szCs w:val="32"/>
          <w:shd w:val="clear" w:color="auto" w:fill="FFFFFF"/>
          <w:lang w:val="en-US" w:eastAsia="zh-CN" w:bidi="ar-SA"/>
        </w:rPr>
        <w:t>8.58</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bidi="ar-SA"/>
        </w:rPr>
        <w:t>7.18%</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bidi="ar-SA"/>
        </w:rPr>
        <w:t>8.58</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产业发展服务中心</w:t>
      </w:r>
      <w:r>
        <w:rPr>
          <w:rFonts w:hint="eastAsia" w:ascii="方正仿宋_GBK" w:hAnsi="方正仿宋_GBK" w:eastAsia="方正仿宋_GBK" w:cs="方正仿宋_GBK"/>
          <w:sz w:val="32"/>
          <w:szCs w:val="32"/>
          <w:shd w:val="clear" w:color="auto" w:fill="FFFFFF"/>
          <w:lang w:val="en-US" w:eastAsia="zh-CN"/>
        </w:rPr>
        <w:t>。</w:t>
      </w:r>
    </w:p>
    <w:p>
      <w:pPr>
        <w:pStyle w:val="15"/>
        <w:keepNext w:val="0"/>
        <w:keepLines w:val="0"/>
        <w:pageBreakBefore w:val="0"/>
        <w:widowControl/>
        <w:kinsoku/>
        <w:wordWrap/>
        <w:overflowPunct/>
        <w:topLinePunct w:val="0"/>
        <w:autoSpaceDE w:val="0"/>
        <w:autoSpaceDN/>
        <w:bidi w:val="0"/>
        <w:adjustRightInd/>
        <w:spacing w:line="560" w:lineRule="exact"/>
        <w:ind w:left="0" w:leftChars="0"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（四）一般公共预算财政拨款基本支出决算情况说明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lang w:val="en-US" w:eastAsia="zh-CN"/>
        </w:rPr>
        <w:t>119.37</w:t>
      </w:r>
      <w:r>
        <w:rPr>
          <w:rFonts w:ascii="方正仿宋_GBK" w:hAnsi="方正仿宋_GBK" w:eastAsia="方正仿宋_GBK" w:cs="方正仿宋_GBK"/>
          <w:sz w:val="32"/>
          <w:szCs w:val="32"/>
          <w:shd w:val="clear" w:color="auto" w:fill="FFFFFF"/>
        </w:rPr>
        <w:t>万元。其中：人员经费</w:t>
      </w:r>
      <w:r>
        <w:rPr>
          <w:rFonts w:hint="eastAsia" w:ascii="Times New Roman" w:hAnsi="Times New Roman" w:eastAsia="方正仿宋_GBK" w:cs="Times New Roman"/>
          <w:sz w:val="32"/>
          <w:szCs w:val="32"/>
          <w:shd w:val="clear" w:color="auto" w:fill="FFFFFF"/>
          <w:lang w:val="en-US" w:eastAsia="zh-CN"/>
        </w:rPr>
        <w:t>119.12</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119.12</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ascii="方正仿宋_GBK" w:hAnsi="方正仿宋_GBK" w:eastAsia="方正仿宋_GBK" w:cs="方正仿宋_GBK"/>
          <w:sz w:val="32"/>
          <w:szCs w:val="32"/>
          <w:shd w:val="clear" w:color="auto" w:fill="FFFFFF"/>
        </w:rPr>
        <w:t>公用经费</w:t>
      </w:r>
      <w:r>
        <w:rPr>
          <w:rFonts w:hint="eastAsia" w:ascii="Times New Roman" w:hAnsi="Times New Roman" w:eastAsia="方正仿宋_GBK" w:cs="Times New Roman"/>
          <w:sz w:val="32"/>
          <w:szCs w:val="32"/>
          <w:shd w:val="clear" w:color="auto" w:fill="FFFFFF"/>
          <w:lang w:val="en-US" w:eastAsia="zh-CN"/>
        </w:rPr>
        <w:t>0.25</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0.25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未单独进行财务核算及决算处理，纳入政府核算及决算。公用经费用途主要包括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（五）政府性基金预算收支决算情况说明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年度无政府性基金预算财政拨款收支。</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（六）国有资本经营预算财政拨款支出决算情况说明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年度无国有资本经营预算财政拨款支出。</w:t>
      </w: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4"/>
          <w:rFonts w:hint="default" w:ascii="方正黑体_GBK" w:hAnsi="方正黑体_GBK" w:eastAsia="方正黑体_GBK" w:cs="方正黑体_GBK"/>
          <w:b w:val="0"/>
          <w:bCs/>
          <w:sz w:val="32"/>
          <w:szCs w:val="32"/>
          <w:shd w:val="clear" w:color="auto" w:fill="FFFFFF"/>
        </w:rPr>
      </w:pPr>
      <w:r>
        <w:rPr>
          <w:rStyle w:val="14"/>
          <w:rFonts w:hint="eastAsia" w:ascii="方正黑体_GBK" w:hAnsi="方正黑体_GBK" w:eastAsia="方正黑体_GBK" w:cs="方正黑体_GBK"/>
          <w:b w:val="0"/>
          <w:bCs/>
          <w:sz w:val="32"/>
          <w:szCs w:val="32"/>
          <w:shd w:val="clear" w:color="auto" w:fill="FFFFFF"/>
        </w:rPr>
        <w:t>三、</w:t>
      </w:r>
      <w:r>
        <w:rPr>
          <w:rStyle w:val="14"/>
          <w:rFonts w:hint="eastAsia" w:ascii="方正黑体_GBK" w:hAnsi="方正黑体_GBK" w:eastAsia="方正黑体_GBK" w:cs="方正黑体_GBK"/>
          <w:b w:val="0"/>
          <w:bCs/>
          <w:sz w:val="32"/>
          <w:szCs w:val="32"/>
          <w:shd w:val="clear" w:color="auto" w:fill="FFFFFF"/>
          <w:lang w:eastAsia="zh-CN"/>
        </w:rPr>
        <w:t>财政拨款</w:t>
      </w:r>
      <w:r>
        <w:rPr>
          <w:rStyle w:val="14"/>
          <w:rFonts w:hint="eastAsia" w:ascii="方正黑体_GBK" w:hAnsi="方正黑体_GBK" w:eastAsia="方正黑体_GBK" w:cs="方正黑体_GBK"/>
          <w:b w:val="0"/>
          <w:bCs/>
          <w:sz w:val="32"/>
          <w:szCs w:val="32"/>
          <w:shd w:val="clear" w:color="auto" w:fill="FFFFFF"/>
        </w:rPr>
        <w:t>“三公”经费情况说明</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（一）“三公”经费支出总体情况说明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年度“三公”经费支出共计</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（二）“三公”经费分项支出情况</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年度本单位因公出国（境）费用</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rPr>
        <w:t>主要是用于没有因公出国（境）职工。</w:t>
      </w:r>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公务车</w:t>
      </w:r>
      <w:r>
        <w:rPr>
          <w:rFonts w:ascii="方正仿宋_GBK" w:hAnsi="方正仿宋_GBK" w:eastAsia="方正仿宋_GBK" w:cs="方正仿宋_GBK"/>
          <w:sz w:val="32"/>
          <w:szCs w:val="32"/>
          <w:shd w:val="clear" w:color="auto" w:fill="FFFFFF"/>
        </w:rPr>
        <w:t>购置费</w:t>
      </w:r>
      <w:r>
        <w:rPr>
          <w:rFonts w:hint="default" w:ascii="Times New Roman" w:hAnsi="Times New Roman" w:eastAsia="方正仿宋_GBK" w:cs="Times New Roman"/>
          <w:sz w:val="32"/>
          <w:szCs w:val="32"/>
          <w:shd w:val="clear" w:color="auto" w:fill="FFFFFF"/>
        </w:rPr>
        <w:t>0.00</w:t>
      </w:r>
      <w:r>
        <w:rPr>
          <w:rFonts w:ascii="方正仿宋_GBK" w:hAnsi="方正仿宋_GBK" w:eastAsia="方正仿宋_GBK" w:cs="方正仿宋_GBK"/>
          <w:sz w:val="32"/>
          <w:szCs w:val="32"/>
          <w:shd w:val="clear" w:color="auto" w:fill="FFFFFF"/>
        </w:rPr>
        <w:t>万元，主要用于</w:t>
      </w:r>
      <w:r>
        <w:rPr>
          <w:rFonts w:hint="eastAsia" w:ascii="方正仿宋_GBK" w:hAnsi="方正仿宋_GBK" w:eastAsia="方正仿宋_GBK" w:cs="方正仿宋_GBK"/>
          <w:sz w:val="32"/>
          <w:szCs w:val="32"/>
          <w:shd w:val="clear" w:color="auto" w:fill="FFFFFF"/>
          <w:lang w:val="en-US" w:eastAsia="zh-CN"/>
        </w:rPr>
        <w:t>车辆采购</w:t>
      </w:r>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万元，主要用于</w:t>
      </w:r>
      <w:r>
        <w:rPr>
          <w:rFonts w:hint="default" w:ascii="方正仿宋_GBK" w:hAnsi="方正仿宋_GBK" w:eastAsia="方正仿宋_GBK" w:cs="方正仿宋_GBK"/>
          <w:sz w:val="32"/>
          <w:szCs w:val="32"/>
          <w:shd w:val="clear" w:color="auto" w:fill="FFFFFF"/>
        </w:rPr>
        <w:t>县内因公出行、</w:t>
      </w:r>
      <w:r>
        <w:rPr>
          <w:rFonts w:hint="eastAsia" w:ascii="方正仿宋_GBK" w:hAnsi="方正仿宋_GBK" w:eastAsia="方正仿宋_GBK" w:cs="方正仿宋_GBK"/>
          <w:sz w:val="32"/>
          <w:szCs w:val="32"/>
          <w:shd w:val="clear" w:color="auto" w:fill="FFFFFF"/>
          <w:lang w:eastAsia="zh-CN"/>
        </w:rPr>
        <w:t>安全生产监管、乡村振兴、巩固脱贫攻坚成果</w:t>
      </w:r>
      <w:r>
        <w:rPr>
          <w:rFonts w:hint="default" w:ascii="方正仿宋_GBK" w:hAnsi="方正仿宋_GBK" w:eastAsia="方正仿宋_GBK" w:cs="方正仿宋_GBK"/>
          <w:sz w:val="32"/>
          <w:szCs w:val="32"/>
          <w:shd w:val="clear" w:color="auto" w:fill="FFFFFF"/>
        </w:rPr>
        <w:t>等工作所需车辆的燃料费、维修费、保险费等。</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无增减</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无增减</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shd w:val="clear" w:color="auto" w:fill="FFFFFF"/>
          <w:lang w:val="en-US" w:eastAsia="zh-CN"/>
        </w:rPr>
        <w:t>统一在政府（本级）列支，下属事业单位未单独列支</w:t>
      </w:r>
      <w:r>
        <w:rPr>
          <w:rFonts w:hint="default" w:ascii="方正仿宋_GBK" w:hAnsi="方正仿宋_GBK" w:eastAsia="方正仿宋_GBK" w:cs="方正仿宋_GBK"/>
          <w:sz w:val="32"/>
          <w:szCs w:val="32"/>
          <w:shd w:val="clear" w:color="auto" w:fill="FFFFFF"/>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万元，主要用于接待</w:t>
      </w:r>
      <w:r>
        <w:rPr>
          <w:rFonts w:hint="default" w:ascii="方正仿宋_GBK" w:hAnsi="方正仿宋_GBK" w:eastAsia="方正仿宋_GBK" w:cs="方正仿宋_GBK"/>
          <w:sz w:val="32"/>
          <w:szCs w:val="32"/>
          <w:shd w:val="clear" w:color="auto" w:fill="FFFFFF"/>
        </w:rPr>
        <w:t>相关部门检查指导工作发生的支出</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万元，主要原因是</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产业发展服务中心</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（三）“三公”经费实物量情况</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年度本单位因公出国（境）共计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个团组，</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人；公务用车购置</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辆，公务车保有量为</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辆；国内公务接待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人，其中：国内外事接待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人；国（境）外公务接待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批次，0人。</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年本单位人均接待费</w:t>
      </w:r>
      <w:r>
        <w:rPr>
          <w:rFonts w:hint="eastAsia" w:ascii="Times New Roman" w:hAnsi="Times New Roman" w:eastAsia="方正仿宋_GBK" w:cs="Times New Roman"/>
          <w:sz w:val="32"/>
          <w:szCs w:val="32"/>
          <w:shd w:val="clear" w:color="auto" w:fill="FFFFFF"/>
          <w:lang w:val="en-US" w:eastAsia="zh-CN"/>
        </w:rPr>
        <w:t>0.00</w:t>
      </w:r>
      <w:r>
        <w:rPr>
          <w:rFonts w:hint="eastAsia" w:ascii="方正仿宋_GBK" w:hAnsi="方正仿宋_GBK" w:eastAsia="方正仿宋_GBK" w:cs="方正仿宋_GBK"/>
          <w:sz w:val="32"/>
          <w:szCs w:val="32"/>
          <w:shd w:val="clear" w:color="auto" w:fill="FFFFFF"/>
          <w:lang w:val="en-US" w:eastAsia="zh-CN"/>
        </w:rPr>
        <w:t>元，车均购置费</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万元，车均维护费</w:t>
      </w:r>
      <w:r>
        <w:rPr>
          <w:rFonts w:hint="eastAsia" w:ascii="Times New Roman" w:hAnsi="Times New Roman" w:eastAsia="方正仿宋_GBK" w:cs="Times New Roman"/>
          <w:sz w:val="32"/>
          <w:szCs w:val="32"/>
          <w:shd w:val="clear" w:color="auto" w:fill="FFFFFF"/>
          <w:lang w:val="en-US" w:eastAsia="zh-CN"/>
        </w:rPr>
        <w:t>0.00</w:t>
      </w:r>
      <w:r>
        <w:rPr>
          <w:rFonts w:hint="eastAsia" w:ascii="方正仿宋_GBK" w:hAnsi="方正仿宋_GBK" w:eastAsia="方正仿宋_GBK" w:cs="方正仿宋_GBK"/>
          <w:sz w:val="32"/>
          <w:szCs w:val="32"/>
          <w:shd w:val="clear" w:color="auto" w:fill="FFFFFF"/>
          <w:lang w:val="en-US" w:eastAsia="zh-CN"/>
        </w:rPr>
        <w:t>万元。</w:t>
      </w: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4"/>
          <w:rFonts w:hint="default" w:ascii="方正黑体_GBK" w:hAnsi="方正黑体_GBK" w:eastAsia="方正黑体_GBK" w:cs="方正黑体_GBK"/>
          <w:b w:val="0"/>
          <w:bCs/>
          <w:sz w:val="32"/>
          <w:szCs w:val="32"/>
          <w:shd w:val="clear" w:color="auto" w:fill="FFFFFF"/>
        </w:rPr>
      </w:pPr>
      <w:r>
        <w:rPr>
          <w:rStyle w:val="14"/>
          <w:rFonts w:hint="eastAsia" w:ascii="方正黑体_GBK" w:hAnsi="方正黑体_GBK" w:eastAsia="方正黑体_GBK" w:cs="方正黑体_GBK"/>
          <w:b w:val="0"/>
          <w:bCs/>
          <w:sz w:val="32"/>
          <w:szCs w:val="32"/>
          <w:shd w:val="clear" w:color="auto" w:fill="FFFFFF"/>
        </w:rPr>
        <w:t>四、其他需要说明的事项</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（一）财政拨款会议费和培训费情况说明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本年度会议费支出</w:t>
      </w:r>
      <w:r>
        <w:rPr>
          <w:rFonts w:hint="eastAsia" w:ascii="Times New Roman" w:hAnsi="Times New Roman" w:eastAsia="方正仿宋_GBK" w:cs="Times New Roman"/>
          <w:sz w:val="32"/>
          <w:szCs w:val="32"/>
          <w:shd w:val="clear" w:color="auto" w:fill="FFFFFF"/>
        </w:rPr>
        <w:t>0.00</w:t>
      </w:r>
      <w:r>
        <w:rPr>
          <w:rFonts w:hint="eastAsia" w:ascii="方正仿宋_GBK" w:hAnsi="方正仿宋_GBK" w:eastAsia="方正仿宋_GBK" w:cs="方正仿宋_GBK"/>
          <w:color w:val="auto"/>
          <w:sz w:val="32"/>
          <w:szCs w:val="32"/>
          <w:shd w:val="clear" w:color="auto" w:fill="FFFFFF"/>
        </w:rPr>
        <w:t>万元，较上年决算数无增减，主要原因</w:t>
      </w:r>
      <w:r>
        <w:rPr>
          <w:rFonts w:hint="eastAsia" w:ascii="Times New Roman" w:hAnsi="Times New Roman" w:eastAsia="方正仿宋_GBK" w:cs="Times New Roman"/>
          <w:sz w:val="32"/>
          <w:szCs w:val="32"/>
          <w:shd w:val="clear" w:color="auto" w:fill="FFFFFF"/>
        </w:rPr>
        <w:t>是2024</w:t>
      </w:r>
      <w:r>
        <w:rPr>
          <w:rFonts w:hint="eastAsia" w:ascii="方正仿宋_GBK" w:hAnsi="方正仿宋_GBK" w:eastAsia="方正仿宋_GBK" w:cs="方正仿宋_GBK"/>
          <w:color w:val="auto"/>
          <w:sz w:val="32"/>
          <w:szCs w:val="32"/>
          <w:shd w:val="clear" w:color="auto" w:fill="FFFFFF"/>
        </w:rPr>
        <w:t>年度未单独安排会议费。本年度培训费支出</w:t>
      </w:r>
      <w:r>
        <w:rPr>
          <w:rFonts w:hint="eastAsia" w:ascii="Times New Roman" w:hAnsi="Times New Roman" w:eastAsia="方正仿宋_GBK" w:cs="Times New Roman"/>
          <w:sz w:val="32"/>
          <w:szCs w:val="32"/>
          <w:shd w:val="clear" w:color="auto" w:fill="FFFFFF"/>
        </w:rPr>
        <w:t>0.00</w:t>
      </w:r>
      <w:r>
        <w:rPr>
          <w:rFonts w:hint="eastAsia" w:ascii="方正仿宋_GBK" w:hAnsi="方正仿宋_GBK" w:eastAsia="方正仿宋_GBK" w:cs="方正仿宋_GBK"/>
          <w:color w:val="auto"/>
          <w:sz w:val="32"/>
          <w:szCs w:val="32"/>
          <w:shd w:val="clear" w:color="auto" w:fill="FFFFFF"/>
        </w:rPr>
        <w:t>万元，较上年决算数无变化，主要原因是</w:t>
      </w:r>
      <w:r>
        <w:rPr>
          <w:rFonts w:hint="eastAsia" w:ascii="Times New Roman" w:hAnsi="Times New Roman" w:eastAsia="方正仿宋_GBK" w:cs="Times New Roman"/>
          <w:sz w:val="32"/>
          <w:szCs w:val="32"/>
          <w:shd w:val="clear" w:color="auto" w:fill="FFFFFF"/>
        </w:rPr>
        <w:t>2024</w:t>
      </w:r>
      <w:r>
        <w:rPr>
          <w:rFonts w:hint="eastAsia" w:ascii="方正仿宋_GBK" w:hAnsi="方正仿宋_GBK" w:eastAsia="方正仿宋_GBK" w:cs="方正仿宋_GBK"/>
          <w:color w:val="auto"/>
          <w:sz w:val="32"/>
          <w:szCs w:val="32"/>
          <w:shd w:val="clear" w:color="auto" w:fill="FFFFFF"/>
        </w:rPr>
        <w:t>年度未单独安排会议费。</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（二）机关运行经费情况说明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（三）国有资产占用情况说明</w:t>
      </w:r>
    </w:p>
    <w:p>
      <w:pPr>
        <w:pStyle w:val="10"/>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cs="Times New Roman"/>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cs="Times New Roman"/>
          <w:sz w:val="32"/>
          <w:szCs w:val="32"/>
          <w:shd w:val="clear" w:color="auto" w:fill="FFFFFF"/>
        </w:rPr>
        <w:t>31</w:t>
      </w:r>
      <w:r>
        <w:rPr>
          <w:rFonts w:ascii="方正仿宋_GBK" w:hAnsi="方正仿宋_GBK" w:eastAsia="方正仿宋_GBK" w:cs="方正仿宋_GBK"/>
          <w:sz w:val="32"/>
          <w:szCs w:val="32"/>
          <w:shd w:val="clear" w:color="auto" w:fill="FFFFFF"/>
        </w:rPr>
        <w:t>日，本单位共有车辆</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cs="Times New Roman"/>
          <w:sz w:val="32"/>
          <w:szCs w:val="32"/>
          <w:shd w:val="clear" w:color="auto" w:fill="FFFFFF"/>
        </w:rPr>
        <w:t>0辆</w:t>
      </w:r>
      <w:r>
        <w:rPr>
          <w:rFonts w:ascii="方正仿宋_GBK" w:hAnsi="方正仿宋_GBK" w:eastAsia="方正仿宋_GBK" w:cs="方正仿宋_GBK"/>
          <w:sz w:val="32"/>
          <w:szCs w:val="32"/>
          <w:shd w:val="clear" w:color="auto" w:fill="FFFFFF"/>
        </w:rPr>
        <w:t>、机要通信用车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辆、应急保障用车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cs="Times New Roman"/>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cs="Times New Roman"/>
          <w:sz w:val="32"/>
          <w:szCs w:val="32"/>
          <w:shd w:val="clear" w:color="auto" w:fill="FFFFFF"/>
        </w:rPr>
        <w:t>0</w:t>
      </w:r>
      <w:r>
        <w:rPr>
          <w:rFonts w:ascii="方正仿宋_GBK" w:hAnsi="方正仿宋_GBK" w:eastAsia="方正仿宋_GBK" w:cs="方正仿宋_GBK"/>
          <w:sz w:val="32"/>
          <w:szCs w:val="32"/>
          <w:shd w:val="clear" w:color="auto" w:fill="FFFFFF"/>
        </w:rPr>
        <w:t>台（套）。</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eastAsia" w:ascii="方正楷体_GBK" w:hAnsi="方正楷体_GBK" w:eastAsia="方正楷体_GBK" w:cs="方正楷体_GBK"/>
          <w:b w:val="0"/>
          <w:bCs w:val="0"/>
          <w:sz w:val="32"/>
          <w:szCs w:val="32"/>
          <w:shd w:val="clear" w:color="auto" w:fill="FFFFFF"/>
        </w:rPr>
      </w:pPr>
      <w:r>
        <w:rPr>
          <w:rFonts w:hint="eastAsia" w:ascii="方正楷体_GBK" w:hAnsi="方正楷体_GBK" w:eastAsia="方正楷体_GBK" w:cs="方正楷体_GBK"/>
          <w:b w:val="0"/>
          <w:bCs w:val="0"/>
          <w:sz w:val="32"/>
          <w:szCs w:val="32"/>
          <w:shd w:val="clear" w:color="auto" w:fill="FFFFFF"/>
        </w:rPr>
        <w:t>（四）政府采购支出情况说明</w:t>
      </w:r>
    </w:p>
    <w:p>
      <w:pPr>
        <w:pStyle w:val="15"/>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hint="default" w:ascii="方正仿宋_GBK" w:hAnsi="方正仿宋_GBK" w:eastAsia="方正仿宋_GBK" w:cs="方正仿宋_GBK"/>
          <w:color w:val="auto"/>
          <w:sz w:val="32"/>
          <w:szCs w:val="32"/>
          <w:shd w:val="clear" w:color="auto" w:fill="FFFFFF"/>
        </w:rPr>
        <w:t>年度我单位未发生政府采购事项，无相关经费支出。</w:t>
      </w:r>
    </w:p>
    <w:p>
      <w:pPr>
        <w:pStyle w:val="10"/>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4"/>
          <w:rFonts w:hint="eastAsia" w:ascii="方正黑体_GBK" w:hAnsi="方正黑体_GBK" w:eastAsia="方正黑体_GBK" w:cs="方正黑体_GBK"/>
          <w:b w:val="0"/>
          <w:bCs/>
          <w:sz w:val="32"/>
          <w:szCs w:val="32"/>
          <w:shd w:val="clear" w:color="auto" w:fill="FFFFFF"/>
          <w:lang w:val="en-US" w:eastAsia="zh-CN"/>
        </w:rPr>
      </w:pPr>
      <w:r>
        <w:rPr>
          <w:rStyle w:val="14"/>
          <w:rFonts w:hint="eastAsia" w:ascii="方正黑体_GBK" w:hAnsi="方正黑体_GBK" w:eastAsia="方正黑体_GBK" w:cs="方正黑体_GBK"/>
          <w:b w:val="0"/>
          <w:bCs/>
          <w:sz w:val="32"/>
          <w:szCs w:val="32"/>
          <w:shd w:val="clear" w:color="auto" w:fill="FFFFFF"/>
          <w:lang w:val="en-US" w:eastAsia="zh-CN"/>
        </w:rPr>
        <w:t>五、2024年度预算绩效管理情况说明</w:t>
      </w:r>
    </w:p>
    <w:p>
      <w:pPr>
        <w:pStyle w:val="16"/>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sz w:val="32"/>
          <w:szCs w:val="32"/>
          <w:shd w:val="clear" w:color="auto" w:fill="FFFFFF"/>
          <w:lang w:val="en-US" w:eastAsia="zh-CN" w:bidi="ar-SA"/>
        </w:rPr>
        <w:t>根据预算绩效管理要求，政府（本级）对部门整体和项目开展了绩效自评，故本单位</w:t>
      </w:r>
      <w:r>
        <w:rPr>
          <w:rFonts w:hint="eastAsia" w:ascii="Times New Roman" w:hAnsi="Times New Roman" w:eastAsia="方正仿宋_GBK" w:cs="Times New Roman"/>
          <w:sz w:val="32"/>
          <w:szCs w:val="32"/>
          <w:shd w:val="clear" w:color="auto" w:fill="FFFFFF"/>
          <w:lang w:val="en-US" w:eastAsia="zh-CN" w:bidi="ar-SA"/>
        </w:rPr>
        <w:t>2024</w:t>
      </w:r>
      <w:r>
        <w:rPr>
          <w:rFonts w:hint="eastAsia" w:ascii="方正仿宋_GBK" w:hAnsi="方正仿宋_GBK" w:eastAsia="方正仿宋_GBK" w:cs="方正仿宋_GBK"/>
          <w:sz w:val="32"/>
          <w:szCs w:val="32"/>
          <w:shd w:val="clear" w:color="auto" w:fill="FFFFFF"/>
          <w:lang w:val="en-US" w:eastAsia="zh-CN" w:bidi="ar-SA"/>
        </w:rPr>
        <w:t>年度无需再次开展绩效评价。</w:t>
      </w:r>
    </w:p>
    <w:p>
      <w:pPr>
        <w:pStyle w:val="15"/>
        <w:keepNext w:val="0"/>
        <w:keepLines w:val="0"/>
        <w:pageBreakBefore w:val="0"/>
        <w:widowControl w:val="0"/>
        <w:kinsoku/>
        <w:wordWrap/>
        <w:overflowPunct/>
        <w:topLinePunct w:val="0"/>
        <w:autoSpaceDE w:val="0"/>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4"/>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6"/>
        <w:keepNext w:val="0"/>
        <w:keepLines w:val="0"/>
        <w:pageBreakBefore w:val="0"/>
        <w:widowControl w:val="0"/>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楷体_GBK" w:hAnsi="方正楷体_GBK" w:eastAsia="方正楷体_GBK" w:cs="方正楷体_GBK"/>
          <w:b w:val="0"/>
          <w:bCs w:val="0"/>
          <w:sz w:val="32"/>
          <w:szCs w:val="32"/>
          <w:shd w:val="clear" w:color="auto" w:fill="FFFFFF"/>
          <w:lang w:val="en-US" w:eastAsia="zh-CN" w:bidi="ar-SA"/>
        </w:rPr>
        <w:t>（十六）对个人和家庭的补助（支出经济分类科目类级）</w:t>
      </w:r>
      <w:r>
        <w:rPr>
          <w:rStyle w:val="14"/>
          <w:rFonts w:hint="eastAsia" w:ascii="楷体" w:hAnsi="楷体" w:eastAsia="楷体" w:cs="楷体"/>
          <w:sz w:val="32"/>
          <w:szCs w:val="32"/>
          <w:shd w:val="clear" w:color="auto" w:fill="FFFFFF"/>
          <w:lang w:val="en-US" w:eastAsia="zh-CN" w:bidi="ar-SA"/>
        </w:rPr>
        <w:t>：</w:t>
      </w:r>
      <w:r>
        <w:rPr>
          <w:rFonts w:hint="eastAsia" w:ascii="方正仿宋_GBK" w:hAnsi="方正仿宋_GBK" w:eastAsia="方正仿宋_GBK" w:cs="方正仿宋_GBK"/>
          <w:kern w:val="0"/>
          <w:sz w:val="32"/>
          <w:szCs w:val="32"/>
          <w:shd w:val="clear" w:fill="FFFFFF"/>
        </w:rPr>
        <w:t>反映用于对个人和家庭的补助支出。</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4"/>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bookmarkStart w:id="0" w:name="_GoBack"/>
      <w:bookmarkEnd w:id="0"/>
    </w:p>
    <w:p>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4"/>
          <w:rFonts w:hint="eastAsia" w:ascii="方正黑体_GBK" w:hAnsi="方正黑体_GBK" w:eastAsia="方正黑体_GBK" w:cs="方正黑体_GBK"/>
          <w:b w:val="0"/>
          <w:bCs/>
          <w:sz w:val="32"/>
          <w:szCs w:val="32"/>
          <w:shd w:val="clear" w:color="auto" w:fill="FFFFFF"/>
          <w:lang w:val="en-US" w:eastAsia="zh-CN" w:bidi="ar-SA"/>
        </w:rPr>
      </w:pPr>
      <w:r>
        <w:rPr>
          <w:rStyle w:val="14"/>
          <w:rFonts w:hint="eastAsia" w:ascii="方正黑体_GBK" w:hAnsi="方正黑体_GBK" w:eastAsia="方正黑体_GBK" w:cs="方正黑体_GBK"/>
          <w:b w:val="0"/>
          <w:bCs/>
          <w:sz w:val="32"/>
          <w:szCs w:val="32"/>
          <w:shd w:val="clear" w:color="auto" w:fill="FFFFFF"/>
          <w:lang w:val="en-US" w:eastAsia="zh-CN" w:bidi="ar-SA"/>
        </w:rPr>
        <w:t>七、决算公开联系方式及信息反馈渠道</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6"/>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default"/>
          <w:sz w:val="18"/>
          <w:szCs w:val="18"/>
        </w:rPr>
      </w:pPr>
      <w:r>
        <w:rPr>
          <w:rFonts w:hint="eastAsia" w:ascii="Times New Roman" w:hAnsi="Times New Roman" w:eastAsia="方正仿宋_GBK" w:cs="Times New Roman"/>
          <w:b w:val="0"/>
          <w:bCs w:val="0"/>
          <w:sz w:val="32"/>
          <w:szCs w:val="32"/>
          <w:shd w:val="clear" w:color="auto" w:fill="FFFFFF"/>
          <w:lang w:eastAsia="zh-CN"/>
        </w:rPr>
        <w:t>高观</w:t>
      </w:r>
      <w:r>
        <w:rPr>
          <w:rFonts w:hint="default" w:ascii="Times New Roman" w:hAnsi="Times New Roman" w:eastAsia="方正仿宋_GBK" w:cs="Times New Roman"/>
          <w:b w:val="0"/>
          <w:bCs w:val="0"/>
          <w:sz w:val="32"/>
          <w:szCs w:val="32"/>
          <w:shd w:val="clear" w:color="auto" w:fill="FFFFFF"/>
        </w:rPr>
        <w:t>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023-59</w:t>
      </w:r>
      <w:r>
        <w:rPr>
          <w:rFonts w:hint="eastAsia" w:ascii="Times New Roman" w:hAnsi="Times New Roman" w:eastAsia="方正仿宋_GBK" w:cs="Times New Roman"/>
          <w:b w:val="0"/>
          <w:bCs w:val="0"/>
          <w:sz w:val="32"/>
          <w:szCs w:val="32"/>
          <w:shd w:val="clear" w:color="auto" w:fill="FFFFFF"/>
          <w:lang w:val="en-US" w:eastAsia="zh-CN"/>
        </w:rPr>
        <w:t>263001</w:t>
      </w:r>
    </w:p>
    <w:sectPr>
      <w:headerReference r:id="rId3" w:type="default"/>
      <w:footerReference r:id="rId4" w:type="default"/>
      <w:pgSz w:w="11850" w:h="16783"/>
      <w:pgMar w:top="2098" w:right="1474" w:bottom="1984" w:left="158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新宋体">
    <w:panose1 w:val="02010609030101010101"/>
    <w:charset w:val="86"/>
    <w:family w:val="auto"/>
    <w:pitch w:val="default"/>
    <w:sig w:usb0="00000003"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-782955</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10</w:t>
                          </w:r>
                          <w:r>
                            <w:rPr>
                              <w:sz w:val="28"/>
                              <w:szCs w:val="28"/>
                            </w:rPr>
                            <w:fldChar w:fldCharType="end"/>
                          </w:r>
                          <w:r>
                            <w:rPr>
                              <w:sz w:val="28"/>
                              <w:szCs w:val="28"/>
                            </w:rPr>
                            <w:t xml:space="preserve"> —</w:t>
                          </w:r>
                        </w:p>
                      </w:txbxContent>
                    </wps:txbx>
                    <wps:bodyPr wrap="none" lIns="0" tIns="0" rIns="0" bIns="0" upright="false">
                      <a:spAutoFit/>
                    </wps:bodyPr>
                  </wps:wsp>
                </a:graphicData>
              </a:graphic>
            </wp:anchor>
          </w:drawing>
        </mc:Choice>
        <mc:Fallback>
          <w:pict>
            <v:shape id="文本框 10" o:spid="_x0000_s1026" o:spt="202" type="#_x0000_t202" style="position:absolute;left:0pt;margin-top:-61.6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BYA&#10;AABkcnMvUEsBAhQAFAAAAAgAh07iQImOIU3YAAAADQEAAA8AAAAAAAAAAQAgAAAAOAAAAGRycy9k&#10;b3ducmV2LnhtbFBLAQIUABQAAAAIAIdO4kCVh/3qswEAAFMDAAAOAAAAAAAAAAEAIAAAAD0BAABk&#10;cnMvZTJvRG9jLnhtbFBLBQYAAAAABgAGAFkBAABiBQAAAAA=&#10;">
              <v:fill on="f" focussize="0,0"/>
              <v:stroke on="f"/>
              <v:imagedata o:title=""/>
              <o:lock v:ext="edit" aspectratio="f"/>
              <v:textbox inset="0mm,0mm,0mm,0mm" style="mso-fit-shape-to-text:t;">
                <w:txbxContent>
                  <w:p>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10</w:t>
                    </w:r>
                    <w:r>
                      <w:rPr>
                        <w:sz w:val="28"/>
                        <w:szCs w:val="28"/>
                      </w:rPr>
                      <w:fldChar w:fldCharType="end"/>
                    </w:r>
                    <w:r>
                      <w:rPr>
                        <w:sz w:val="28"/>
                        <w:szCs w:val="28"/>
                      </w:rP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HorizontalSpacing w:val="120"/>
  <w:drawingGridVerticalSpacing w:val="163"/>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YTEzMmZiZjY0ZTA1MTVhZDBhOTA4ODhmNzE5Nzc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75D66"/>
    <w:rsid w:val="00984C6A"/>
    <w:rsid w:val="00994AF7"/>
    <w:rsid w:val="009B67B8"/>
    <w:rsid w:val="009C14C9"/>
    <w:rsid w:val="009D2B67"/>
    <w:rsid w:val="009E1452"/>
    <w:rsid w:val="00A566F9"/>
    <w:rsid w:val="00AF2751"/>
    <w:rsid w:val="00B03CCD"/>
    <w:rsid w:val="00BE2B89"/>
    <w:rsid w:val="00BF0D89"/>
    <w:rsid w:val="00C03B62"/>
    <w:rsid w:val="00C10E9E"/>
    <w:rsid w:val="00C20C3E"/>
    <w:rsid w:val="00C5163E"/>
    <w:rsid w:val="00CF2ACF"/>
    <w:rsid w:val="00D03AAF"/>
    <w:rsid w:val="00DD0539"/>
    <w:rsid w:val="00E07662"/>
    <w:rsid w:val="00E368E9"/>
    <w:rsid w:val="00EE1E33"/>
    <w:rsid w:val="00F73F90"/>
    <w:rsid w:val="00FB4B3B"/>
    <w:rsid w:val="01321D28"/>
    <w:rsid w:val="01474EBF"/>
    <w:rsid w:val="01F3521E"/>
    <w:rsid w:val="022C1F08"/>
    <w:rsid w:val="024A74DB"/>
    <w:rsid w:val="02C44E0D"/>
    <w:rsid w:val="03B87EA0"/>
    <w:rsid w:val="03D1158F"/>
    <w:rsid w:val="03E3214F"/>
    <w:rsid w:val="044C50BA"/>
    <w:rsid w:val="05BC6D49"/>
    <w:rsid w:val="06194FF1"/>
    <w:rsid w:val="062956B3"/>
    <w:rsid w:val="06A2550B"/>
    <w:rsid w:val="06F80EE2"/>
    <w:rsid w:val="07001CCA"/>
    <w:rsid w:val="074B5150"/>
    <w:rsid w:val="075678DB"/>
    <w:rsid w:val="075A7699"/>
    <w:rsid w:val="077B465F"/>
    <w:rsid w:val="079D7CC7"/>
    <w:rsid w:val="07DA01C9"/>
    <w:rsid w:val="07FE0BAD"/>
    <w:rsid w:val="08051BCA"/>
    <w:rsid w:val="086C12F4"/>
    <w:rsid w:val="08705944"/>
    <w:rsid w:val="08BA052C"/>
    <w:rsid w:val="08DB07BA"/>
    <w:rsid w:val="0969353F"/>
    <w:rsid w:val="098305D0"/>
    <w:rsid w:val="09B1218B"/>
    <w:rsid w:val="0A3317EA"/>
    <w:rsid w:val="0A5C4B69"/>
    <w:rsid w:val="0A86124A"/>
    <w:rsid w:val="0AB54CC0"/>
    <w:rsid w:val="0B4E5E90"/>
    <w:rsid w:val="0B9335CE"/>
    <w:rsid w:val="0BF2311A"/>
    <w:rsid w:val="0C7927C4"/>
    <w:rsid w:val="0C9B098C"/>
    <w:rsid w:val="0D673E11"/>
    <w:rsid w:val="0DDA54E4"/>
    <w:rsid w:val="0DDB40CB"/>
    <w:rsid w:val="0E3A5F83"/>
    <w:rsid w:val="0F836721"/>
    <w:rsid w:val="0FA25D96"/>
    <w:rsid w:val="107B59E5"/>
    <w:rsid w:val="10EC0126"/>
    <w:rsid w:val="10F70B9A"/>
    <w:rsid w:val="111445C7"/>
    <w:rsid w:val="114278C6"/>
    <w:rsid w:val="1158083A"/>
    <w:rsid w:val="11643A4B"/>
    <w:rsid w:val="11ED0F98"/>
    <w:rsid w:val="11F03528"/>
    <w:rsid w:val="1263489E"/>
    <w:rsid w:val="12B26A30"/>
    <w:rsid w:val="12C921C4"/>
    <w:rsid w:val="13871C70"/>
    <w:rsid w:val="13A71CB4"/>
    <w:rsid w:val="13AF1D43"/>
    <w:rsid w:val="13CE1647"/>
    <w:rsid w:val="13FD55AB"/>
    <w:rsid w:val="14200702"/>
    <w:rsid w:val="14370EA1"/>
    <w:rsid w:val="159C1350"/>
    <w:rsid w:val="163A6CEE"/>
    <w:rsid w:val="16B0768E"/>
    <w:rsid w:val="173708E3"/>
    <w:rsid w:val="17C374FC"/>
    <w:rsid w:val="182E4AB6"/>
    <w:rsid w:val="184738E0"/>
    <w:rsid w:val="189079DC"/>
    <w:rsid w:val="189B0D0B"/>
    <w:rsid w:val="18B43F7C"/>
    <w:rsid w:val="19187206"/>
    <w:rsid w:val="191C433B"/>
    <w:rsid w:val="194A1770"/>
    <w:rsid w:val="197E58BE"/>
    <w:rsid w:val="19B906A4"/>
    <w:rsid w:val="19B94B48"/>
    <w:rsid w:val="1B6F15B6"/>
    <w:rsid w:val="1B722C0B"/>
    <w:rsid w:val="1BAA2EDC"/>
    <w:rsid w:val="1CA55E64"/>
    <w:rsid w:val="1D014A01"/>
    <w:rsid w:val="1D022362"/>
    <w:rsid w:val="1D1B04B0"/>
    <w:rsid w:val="1D772D50"/>
    <w:rsid w:val="1DA52501"/>
    <w:rsid w:val="1DBD6767"/>
    <w:rsid w:val="1DC52125"/>
    <w:rsid w:val="1DD26311"/>
    <w:rsid w:val="1E176D06"/>
    <w:rsid w:val="1E1F1EBF"/>
    <w:rsid w:val="1E374ACB"/>
    <w:rsid w:val="1E74728F"/>
    <w:rsid w:val="1ECF0A66"/>
    <w:rsid w:val="1EF67CA4"/>
    <w:rsid w:val="1F020D3A"/>
    <w:rsid w:val="1F1C2848"/>
    <w:rsid w:val="1F2C5189"/>
    <w:rsid w:val="1F4B0B02"/>
    <w:rsid w:val="1F7F269C"/>
    <w:rsid w:val="1FB65CE4"/>
    <w:rsid w:val="1FBB35CD"/>
    <w:rsid w:val="1FCD26AF"/>
    <w:rsid w:val="20642787"/>
    <w:rsid w:val="20A8044E"/>
    <w:rsid w:val="20B97B47"/>
    <w:rsid w:val="20CF4C51"/>
    <w:rsid w:val="21556F04"/>
    <w:rsid w:val="22403BD3"/>
    <w:rsid w:val="22AD3177"/>
    <w:rsid w:val="23444272"/>
    <w:rsid w:val="235417B6"/>
    <w:rsid w:val="2448085F"/>
    <w:rsid w:val="24B92327"/>
    <w:rsid w:val="24C14514"/>
    <w:rsid w:val="24F95A17"/>
    <w:rsid w:val="252A114A"/>
    <w:rsid w:val="2533755C"/>
    <w:rsid w:val="25371C8E"/>
    <w:rsid w:val="25791755"/>
    <w:rsid w:val="25BC2DBE"/>
    <w:rsid w:val="26396DF4"/>
    <w:rsid w:val="26775B6F"/>
    <w:rsid w:val="27167136"/>
    <w:rsid w:val="271B442C"/>
    <w:rsid w:val="27A94479"/>
    <w:rsid w:val="27B23302"/>
    <w:rsid w:val="27E47531"/>
    <w:rsid w:val="27EE47AF"/>
    <w:rsid w:val="288527C5"/>
    <w:rsid w:val="29310A5F"/>
    <w:rsid w:val="29C37A35"/>
    <w:rsid w:val="2A076083"/>
    <w:rsid w:val="2A73162E"/>
    <w:rsid w:val="2AAE4E56"/>
    <w:rsid w:val="2AB70C30"/>
    <w:rsid w:val="2AC554AE"/>
    <w:rsid w:val="2B167953"/>
    <w:rsid w:val="2B200583"/>
    <w:rsid w:val="2B2729C0"/>
    <w:rsid w:val="2B8209DE"/>
    <w:rsid w:val="2B821C91"/>
    <w:rsid w:val="2BF81A22"/>
    <w:rsid w:val="2C636760"/>
    <w:rsid w:val="2C6762A3"/>
    <w:rsid w:val="2D1B54A6"/>
    <w:rsid w:val="2D314CC9"/>
    <w:rsid w:val="2E24038A"/>
    <w:rsid w:val="2F8E38A0"/>
    <w:rsid w:val="2FCA4B37"/>
    <w:rsid w:val="2FE029D7"/>
    <w:rsid w:val="2FF06E00"/>
    <w:rsid w:val="30586FEC"/>
    <w:rsid w:val="30907F59"/>
    <w:rsid w:val="315F0B22"/>
    <w:rsid w:val="31A15828"/>
    <w:rsid w:val="31C679AA"/>
    <w:rsid w:val="31D84415"/>
    <w:rsid w:val="32285F6F"/>
    <w:rsid w:val="32770556"/>
    <w:rsid w:val="329C0913"/>
    <w:rsid w:val="32AA0460"/>
    <w:rsid w:val="3337290D"/>
    <w:rsid w:val="33D61747"/>
    <w:rsid w:val="33E31118"/>
    <w:rsid w:val="33EF7674"/>
    <w:rsid w:val="342D7BC6"/>
    <w:rsid w:val="34F67558"/>
    <w:rsid w:val="352930DB"/>
    <w:rsid w:val="35573069"/>
    <w:rsid w:val="355F6038"/>
    <w:rsid w:val="358C217E"/>
    <w:rsid w:val="36C9128A"/>
    <w:rsid w:val="37694150"/>
    <w:rsid w:val="37841E99"/>
    <w:rsid w:val="37BF1123"/>
    <w:rsid w:val="37E11AD0"/>
    <w:rsid w:val="383C3F15"/>
    <w:rsid w:val="38BE4696"/>
    <w:rsid w:val="38FA681A"/>
    <w:rsid w:val="3939115E"/>
    <w:rsid w:val="397367C5"/>
    <w:rsid w:val="39B82A39"/>
    <w:rsid w:val="39B8407C"/>
    <w:rsid w:val="39C42CA8"/>
    <w:rsid w:val="39DC4FD6"/>
    <w:rsid w:val="39F03D7A"/>
    <w:rsid w:val="39F33306"/>
    <w:rsid w:val="3A250E0D"/>
    <w:rsid w:val="3A2C1C67"/>
    <w:rsid w:val="3A6A77C9"/>
    <w:rsid w:val="3ADD7F09"/>
    <w:rsid w:val="3AFF55B1"/>
    <w:rsid w:val="3B1705E5"/>
    <w:rsid w:val="3B18334B"/>
    <w:rsid w:val="3B36794F"/>
    <w:rsid w:val="3B602C1D"/>
    <w:rsid w:val="3B6F6EE0"/>
    <w:rsid w:val="3BCF13D0"/>
    <w:rsid w:val="3C566AD6"/>
    <w:rsid w:val="3C594871"/>
    <w:rsid w:val="3C6A5B02"/>
    <w:rsid w:val="3D083B3A"/>
    <w:rsid w:val="3D1F02AB"/>
    <w:rsid w:val="3D2757A1"/>
    <w:rsid w:val="3D3D4FC4"/>
    <w:rsid w:val="3DDF3AB1"/>
    <w:rsid w:val="3E1D0952"/>
    <w:rsid w:val="3E42660A"/>
    <w:rsid w:val="3E7555B1"/>
    <w:rsid w:val="3E787ED9"/>
    <w:rsid w:val="3EFE76AC"/>
    <w:rsid w:val="3F032E93"/>
    <w:rsid w:val="3F0527E5"/>
    <w:rsid w:val="3F4A7DCA"/>
    <w:rsid w:val="3F4C52C6"/>
    <w:rsid w:val="3F694D83"/>
    <w:rsid w:val="3F885DCC"/>
    <w:rsid w:val="3FCD675E"/>
    <w:rsid w:val="4004000C"/>
    <w:rsid w:val="4046453E"/>
    <w:rsid w:val="40760DD1"/>
    <w:rsid w:val="40BD5482"/>
    <w:rsid w:val="411B6CE5"/>
    <w:rsid w:val="412070D7"/>
    <w:rsid w:val="41314E40"/>
    <w:rsid w:val="41882D80"/>
    <w:rsid w:val="41CB4ACB"/>
    <w:rsid w:val="41E0734B"/>
    <w:rsid w:val="426C1EA8"/>
    <w:rsid w:val="42736402"/>
    <w:rsid w:val="428E7F40"/>
    <w:rsid w:val="42E86A87"/>
    <w:rsid w:val="43307B09"/>
    <w:rsid w:val="439A3EB9"/>
    <w:rsid w:val="43A92A16"/>
    <w:rsid w:val="43B35F1D"/>
    <w:rsid w:val="43BB152F"/>
    <w:rsid w:val="443E03F2"/>
    <w:rsid w:val="447A6AFE"/>
    <w:rsid w:val="44817E8C"/>
    <w:rsid w:val="44C37687"/>
    <w:rsid w:val="45CB699A"/>
    <w:rsid w:val="46423C66"/>
    <w:rsid w:val="465B470D"/>
    <w:rsid w:val="46604186"/>
    <w:rsid w:val="469D6AD4"/>
    <w:rsid w:val="46CF7214"/>
    <w:rsid w:val="471E6C84"/>
    <w:rsid w:val="4748792B"/>
    <w:rsid w:val="475D719D"/>
    <w:rsid w:val="47674801"/>
    <w:rsid w:val="47B3048C"/>
    <w:rsid w:val="48225EF7"/>
    <w:rsid w:val="488F422B"/>
    <w:rsid w:val="48E36915"/>
    <w:rsid w:val="48EB6572"/>
    <w:rsid w:val="48F733FD"/>
    <w:rsid w:val="495C4A24"/>
    <w:rsid w:val="497135DF"/>
    <w:rsid w:val="4A263DF2"/>
    <w:rsid w:val="4A2F278B"/>
    <w:rsid w:val="4A2F3F51"/>
    <w:rsid w:val="4A6F6675"/>
    <w:rsid w:val="4A993A56"/>
    <w:rsid w:val="4B135857"/>
    <w:rsid w:val="4B7951CB"/>
    <w:rsid w:val="4B7C315C"/>
    <w:rsid w:val="4BAD619F"/>
    <w:rsid w:val="4D1F53CA"/>
    <w:rsid w:val="4DAC4ACA"/>
    <w:rsid w:val="4DBE01D2"/>
    <w:rsid w:val="4EFD467F"/>
    <w:rsid w:val="4F0C6BA3"/>
    <w:rsid w:val="4F186D58"/>
    <w:rsid w:val="4FFE7F08"/>
    <w:rsid w:val="500844DE"/>
    <w:rsid w:val="501A73E7"/>
    <w:rsid w:val="504B6EAA"/>
    <w:rsid w:val="50D4243B"/>
    <w:rsid w:val="50F06B6E"/>
    <w:rsid w:val="51064DCD"/>
    <w:rsid w:val="516E3547"/>
    <w:rsid w:val="51C9203F"/>
    <w:rsid w:val="51D21804"/>
    <w:rsid w:val="52234D33"/>
    <w:rsid w:val="522F6E0C"/>
    <w:rsid w:val="52463BA1"/>
    <w:rsid w:val="52F163D4"/>
    <w:rsid w:val="531A2DB4"/>
    <w:rsid w:val="5371638E"/>
    <w:rsid w:val="53A6026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5CF09C3"/>
    <w:rsid w:val="56530F5D"/>
    <w:rsid w:val="567700D3"/>
    <w:rsid w:val="56FF7E9E"/>
    <w:rsid w:val="578867FC"/>
    <w:rsid w:val="579A25F1"/>
    <w:rsid w:val="5842572D"/>
    <w:rsid w:val="59C852F9"/>
    <w:rsid w:val="5A3B59D6"/>
    <w:rsid w:val="5AD134D8"/>
    <w:rsid w:val="5B4E2BC5"/>
    <w:rsid w:val="5BBB382C"/>
    <w:rsid w:val="5BF41F67"/>
    <w:rsid w:val="5C263CE4"/>
    <w:rsid w:val="5C2A159C"/>
    <w:rsid w:val="5C5D2777"/>
    <w:rsid w:val="5CCF2A0A"/>
    <w:rsid w:val="5CE40234"/>
    <w:rsid w:val="5CF66BF3"/>
    <w:rsid w:val="5D221689"/>
    <w:rsid w:val="5D290C69"/>
    <w:rsid w:val="5DA80C2C"/>
    <w:rsid w:val="5DCA6DA7"/>
    <w:rsid w:val="5E7A289D"/>
    <w:rsid w:val="5EC15626"/>
    <w:rsid w:val="5F2D4A41"/>
    <w:rsid w:val="5F4B18DA"/>
    <w:rsid w:val="608A7C71"/>
    <w:rsid w:val="60C74F6C"/>
    <w:rsid w:val="61015958"/>
    <w:rsid w:val="61025A59"/>
    <w:rsid w:val="6138591F"/>
    <w:rsid w:val="613D5BBC"/>
    <w:rsid w:val="61536C39"/>
    <w:rsid w:val="619A2136"/>
    <w:rsid w:val="62944DD7"/>
    <w:rsid w:val="6319381F"/>
    <w:rsid w:val="63A4195A"/>
    <w:rsid w:val="63C25DC5"/>
    <w:rsid w:val="63C62057"/>
    <w:rsid w:val="64571EF5"/>
    <w:rsid w:val="64EF3BE9"/>
    <w:rsid w:val="64FB113D"/>
    <w:rsid w:val="6535464F"/>
    <w:rsid w:val="654E5711"/>
    <w:rsid w:val="656152C6"/>
    <w:rsid w:val="6587477F"/>
    <w:rsid w:val="658C3A08"/>
    <w:rsid w:val="65C031CA"/>
    <w:rsid w:val="65CE6852"/>
    <w:rsid w:val="66267C04"/>
    <w:rsid w:val="663F505A"/>
    <w:rsid w:val="666C2D2F"/>
    <w:rsid w:val="66AF5D7C"/>
    <w:rsid w:val="66ED2D08"/>
    <w:rsid w:val="66EE5541"/>
    <w:rsid w:val="67924660"/>
    <w:rsid w:val="68407834"/>
    <w:rsid w:val="6883293E"/>
    <w:rsid w:val="688412AD"/>
    <w:rsid w:val="68EB1B71"/>
    <w:rsid w:val="691D7639"/>
    <w:rsid w:val="693904C1"/>
    <w:rsid w:val="696C0310"/>
    <w:rsid w:val="69D1624A"/>
    <w:rsid w:val="6A243F51"/>
    <w:rsid w:val="6A6C7940"/>
    <w:rsid w:val="6A6E5F0E"/>
    <w:rsid w:val="6A9F1565"/>
    <w:rsid w:val="6AAD2300"/>
    <w:rsid w:val="6B474EF5"/>
    <w:rsid w:val="6B517D09"/>
    <w:rsid w:val="6BC938E5"/>
    <w:rsid w:val="6C0A5AC5"/>
    <w:rsid w:val="6C560CAE"/>
    <w:rsid w:val="6C576495"/>
    <w:rsid w:val="6CF21078"/>
    <w:rsid w:val="6D903FF5"/>
    <w:rsid w:val="6DA955B8"/>
    <w:rsid w:val="6DE346AB"/>
    <w:rsid w:val="6DE5391A"/>
    <w:rsid w:val="6E13574A"/>
    <w:rsid w:val="6E967AD3"/>
    <w:rsid w:val="6EFD1324"/>
    <w:rsid w:val="6F0F2D0A"/>
    <w:rsid w:val="6F5A53AC"/>
    <w:rsid w:val="6FAC003D"/>
    <w:rsid w:val="6FD926BF"/>
    <w:rsid w:val="6FE55E12"/>
    <w:rsid w:val="6FF003F1"/>
    <w:rsid w:val="6FFB2E76"/>
    <w:rsid w:val="708F6F7F"/>
    <w:rsid w:val="70D94BD3"/>
    <w:rsid w:val="71574775"/>
    <w:rsid w:val="716B2A6D"/>
    <w:rsid w:val="71C34D91"/>
    <w:rsid w:val="7265409A"/>
    <w:rsid w:val="72DB435C"/>
    <w:rsid w:val="72E2613A"/>
    <w:rsid w:val="72F771F4"/>
    <w:rsid w:val="73934AD2"/>
    <w:rsid w:val="750837F0"/>
    <w:rsid w:val="754758CF"/>
    <w:rsid w:val="75595ECD"/>
    <w:rsid w:val="764F62AB"/>
    <w:rsid w:val="765C45EC"/>
    <w:rsid w:val="768A7619"/>
    <w:rsid w:val="76BD23AB"/>
    <w:rsid w:val="76C477C1"/>
    <w:rsid w:val="772E1EBA"/>
    <w:rsid w:val="776917E7"/>
    <w:rsid w:val="78093744"/>
    <w:rsid w:val="781926BC"/>
    <w:rsid w:val="796D60A4"/>
    <w:rsid w:val="79A031D5"/>
    <w:rsid w:val="79B47FDF"/>
    <w:rsid w:val="79B51569"/>
    <w:rsid w:val="79E569A9"/>
    <w:rsid w:val="7A1525F7"/>
    <w:rsid w:val="7B420052"/>
    <w:rsid w:val="7B955588"/>
    <w:rsid w:val="7BD06A28"/>
    <w:rsid w:val="7BFFA47D"/>
    <w:rsid w:val="7C3A7C0B"/>
    <w:rsid w:val="7C5248E4"/>
    <w:rsid w:val="7C566698"/>
    <w:rsid w:val="7C5866A3"/>
    <w:rsid w:val="7CCF4F32"/>
    <w:rsid w:val="7CD77BF3"/>
    <w:rsid w:val="7D357247"/>
    <w:rsid w:val="7D7406BB"/>
    <w:rsid w:val="7DE94331"/>
    <w:rsid w:val="7EDA196C"/>
    <w:rsid w:val="7F446A19"/>
    <w:rsid w:val="7F7452B9"/>
    <w:rsid w:val="BED77C4A"/>
    <w:rsid w:val="BFFF16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szCs w:val="22"/>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9"/>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10">
    <w:name w:val="Normal (Web)"/>
    <w:basedOn w:val="1"/>
    <w:unhideWhenUsed/>
    <w:qFormat/>
    <w:uiPriority w:val="0"/>
    <w:pPr>
      <w:spacing w:before="100" w:beforeAutospacing="1" w:after="100" w:afterAutospacing="1"/>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rPr>
  </w:style>
  <w:style w:type="paragraph" w:customStyle="1" w:styleId="15">
    <w:name w:val="列出段落1"/>
    <w:basedOn w:val="1"/>
    <w:qFormat/>
    <w:uiPriority w:val="99"/>
    <w:pPr>
      <w:ind w:firstLine="420" w:firstLineChars="200"/>
    </w:pPr>
    <w:rPr>
      <w:rFonts w:hint="default"/>
    </w:rPr>
  </w:style>
  <w:style w:type="paragraph" w:customStyle="1" w:styleId="16">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7">
    <w:name w:val="21"/>
    <w:basedOn w:val="13"/>
    <w:qFormat/>
    <w:uiPriority w:val="0"/>
    <w:rPr>
      <w:rFonts w:hint="default" w:ascii="Wingdings" w:hAnsi="Wingdings" w:cs="Wingdings"/>
      <w:b/>
      <w:bCs/>
    </w:rPr>
  </w:style>
  <w:style w:type="paragraph" w:customStyle="1" w:styleId="18">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9">
    <w:name w:val="批注框文本 Char"/>
    <w:basedOn w:val="13"/>
    <w:link w:val="5"/>
    <w:qFormat/>
    <w:uiPriority w:val="0"/>
    <w:rPr>
      <w:rFonts w:ascii="宋体" w:hAnsi="宋体"/>
      <w:sz w:val="18"/>
      <w:szCs w:val="18"/>
    </w:rPr>
  </w:style>
  <w:style w:type="paragraph" w:customStyle="1" w:styleId="20">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4208</Words>
  <Characters>4699</Characters>
  <Lines>186</Lines>
  <Paragraphs>52</Paragraphs>
  <TotalTime>18</TotalTime>
  <ScaleCrop>false</ScaleCrop>
  <LinksUpToDate>false</LinksUpToDate>
  <CharactersWithSpaces>4702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王乐</cp:lastModifiedBy>
  <dcterms:modified xsi:type="dcterms:W3CDTF">2025-11-12T15:05:08Z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5D1F275EC1BA4474BBC6350D1D566441_13</vt:lpwstr>
  </property>
  <property fmtid="{D5CDD505-2E9C-101B-9397-08002B2CF9AE}" pid="4" name="KSOTemplateDocerSaveRecord">
    <vt:lpwstr>eyJoZGlkIjoiZjdkMTJmM2I4ZjRmYzNmYmI3M2NlY2UyZmYzZWE2NzAiLCJ1c2VySWQiOiIxNjYyOTMxNjY2In0=</vt:lpwstr>
  </property>
</Properties>
</file>