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jc w:val="left"/>
        <w:textAlignment w:val="auto"/>
        <w:rPr>
          <w:rFonts w:hint="default" w:ascii="Times New Roman" w:hAnsi="Times New Roman" w:eastAsia="方正小标宋_GBK" w:cs="Times New Roman"/>
          <w:b w:val="0"/>
          <w:bCs w:val="0"/>
          <w:sz w:val="32"/>
          <w:szCs w:val="32"/>
          <w:lang w:eastAsia="zh-CN"/>
        </w:rPr>
      </w:pPr>
      <w:r>
        <w:rPr>
          <w:rFonts w:hint="default" w:ascii="Times New Roman" w:hAnsi="Times New Roman" w:eastAsia="方正小标宋_GBK" w:cs="Times New Roman"/>
          <w:b w:val="0"/>
          <w:bCs w:val="0"/>
          <w:sz w:val="32"/>
          <w:szCs w:val="32"/>
          <w:lang w:eastAsia="zh-CN"/>
        </w:rPr>
        <w:t>本部门及下属单位公开内容真实、准确、完整，不存在意识形态问题。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jc w:val="left"/>
        <w:textAlignment w:val="auto"/>
        <w:rPr>
          <w:rFonts w:hint="default" w:ascii="Times New Roman" w:hAnsi="Times New Roman" w:eastAsia="方正小标宋_GBK" w:cs="Times New Roman"/>
          <w:b w:val="0"/>
          <w:bCs w:val="0"/>
          <w:sz w:val="32"/>
          <w:szCs w:val="32"/>
          <w:lang w:val="en-US" w:eastAsia="zh-CN"/>
        </w:rPr>
      </w:pPr>
      <w:r>
        <w:rPr>
          <w:rFonts w:hint="default" w:ascii="Times New Roman" w:hAnsi="Times New Roman" w:eastAsia="方正小标宋_GBK" w:cs="Times New Roman"/>
          <w:b w:val="0"/>
          <w:bCs w:val="0"/>
          <w:sz w:val="32"/>
          <w:szCs w:val="32"/>
          <w:lang w:eastAsia="zh-CN"/>
        </w:rPr>
        <w:t>经办人：朱天敏</w:t>
      </w:r>
      <w:r>
        <w:rPr>
          <w:rFonts w:hint="default" w:ascii="Times New Roman" w:hAnsi="Times New Roman" w:eastAsia="方正小标宋_GBK" w:cs="Times New Roman"/>
          <w:b w:val="0"/>
          <w:bCs w:val="0"/>
          <w:sz w:val="32"/>
          <w:szCs w:val="32"/>
          <w:lang w:val="en-US" w:eastAsia="zh-CN"/>
        </w:rPr>
        <w:t xml:space="preserve">         单位负责人：覃友兰</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jc w:val="center"/>
        <w:textAlignment w:val="auto"/>
        <w:rPr>
          <w:rFonts w:hint="default" w:ascii="Times New Roman" w:hAnsi="Times New Roman" w:eastAsia="方正小标宋_GBK" w:cs="Times New Roman"/>
          <w:b w:val="0"/>
          <w:bCs w:val="0"/>
          <w:sz w:val="32"/>
          <w:szCs w:val="32"/>
          <w:lang w:val="en-US" w:eastAsia="zh-CN"/>
        </w:rPr>
      </w:pPr>
    </w:p>
    <w:p>
      <w:pPr>
        <w:pStyle w:val="6"/>
        <w:spacing w:before="0" w:beforeAutospacing="0" w:after="0" w:afterAutospacing="0" w:line="596" w:lineRule="exact"/>
        <w:jc w:val="center"/>
        <w:rPr>
          <w:rFonts w:hint="default" w:ascii="方正小标宋_GBK" w:hAnsi="方正小标宋_GBK" w:eastAsia="方正小标宋_GBK" w:cs="方正小标宋_GBK"/>
          <w:b w:val="0"/>
          <w:bCs w:val="0"/>
          <w:sz w:val="44"/>
          <w:szCs w:val="44"/>
        </w:rPr>
      </w:pPr>
      <w:r>
        <w:rPr>
          <w:rFonts w:hint="default" w:ascii="方正小标宋_GBK" w:hAnsi="方正小标宋_GBK" w:eastAsia="方正小标宋_GBK" w:cs="方正小标宋_GBK"/>
          <w:b w:val="0"/>
          <w:bCs w:val="0"/>
          <w:sz w:val="44"/>
          <w:szCs w:val="44"/>
        </w:rPr>
        <w:t>重庆市城口县葛城街道文化服务中心</w:t>
      </w:r>
    </w:p>
    <w:p>
      <w:pPr>
        <w:pStyle w:val="6"/>
        <w:spacing w:before="0" w:beforeAutospacing="0" w:after="0" w:afterAutospacing="0" w:line="596" w:lineRule="exact"/>
        <w:jc w:val="center"/>
        <w:rPr>
          <w:rFonts w:hint="default" w:ascii="方正小标宋_GBK" w:hAnsi="方正小标宋_GBK" w:eastAsia="方正小标宋_GBK" w:cs="方正小标宋_GBK"/>
          <w:b w:val="0"/>
          <w:bCs w:val="0"/>
          <w:sz w:val="44"/>
          <w:szCs w:val="44"/>
        </w:rPr>
      </w:pPr>
      <w:r>
        <w:rPr>
          <w:rFonts w:hint="default" w:ascii="方正小标宋_GBK" w:hAnsi="方正小标宋_GBK" w:eastAsia="方正小标宋_GBK" w:cs="方正小标宋_GBK"/>
          <w:b w:val="0"/>
          <w:bCs w:val="0"/>
          <w:sz w:val="44"/>
          <w:szCs w:val="44"/>
        </w:rPr>
        <w:t>2024年度决算公开说明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一、</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基本情况</w:t>
      </w:r>
    </w:p>
    <w:p>
      <w:pPr>
        <w:pStyle w:val="6"/>
        <w:keepNext w:val="0"/>
        <w:keepLines w:val="0"/>
        <w:pageBreakBefore w:val="0"/>
        <w:widowControl/>
        <w:shd w:val="clear" w:color="auto" w:fill="FFFFFF"/>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color w:val="auto"/>
          <w:sz w:val="32"/>
          <w:szCs w:val="32"/>
          <w:shd w:val="clear" w:color="auto" w:fill="FFFFFF"/>
          <w:lang w:val="en-US" w:eastAsia="zh-CN"/>
        </w:rPr>
      </w:pPr>
      <w:r>
        <w:rPr>
          <w:rFonts w:hint="default" w:ascii="Times New Roman" w:hAnsi="Times New Roman" w:eastAsia="方正仿宋_GBK" w:cs="Times New Roman"/>
          <w:color w:val="auto"/>
          <w:sz w:val="32"/>
          <w:szCs w:val="32"/>
          <w:shd w:val="clear" w:color="auto" w:fill="FFFFFF"/>
          <w:lang w:val="en-US" w:eastAsia="zh-CN"/>
        </w:rPr>
        <w:t>葛城街道文化服务中心的宗旨是开展精神文明建设，推进党群和志愿服务。主要职责是：协助党的建设办公室工作；负责辖区文明实践工作，负责新时代文明实践和精神文明建设服务工作。推动志愿服务活动建设。承担区域内党组织、群团和党员群众的服务性工作。</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二、</w:t>
      </w:r>
      <w:r>
        <w:rPr>
          <w:rStyle w:val="10"/>
          <w:rFonts w:hint="default" w:ascii="Times New Roman" w:hAnsi="Times New Roman" w:eastAsia="黑体" w:cs="Times New Roman"/>
          <w:sz w:val="32"/>
          <w:szCs w:val="32"/>
          <w:shd w:val="clear" w:color="auto" w:fill="FFFFFF"/>
          <w:lang w:eastAsia="zh-CN"/>
        </w:rPr>
        <w:t>部门</w:t>
      </w:r>
      <w:r>
        <w:rPr>
          <w:rStyle w:val="10"/>
          <w:rFonts w:hint="default" w:ascii="Times New Roman" w:hAnsi="Times New Roman" w:eastAsia="黑体" w:cs="Times New Roman"/>
          <w:sz w:val="32"/>
          <w:szCs w:val="32"/>
          <w:shd w:val="clear" w:color="auto" w:fill="FFFFFF"/>
        </w:rPr>
        <w:t>决算</w:t>
      </w:r>
      <w:r>
        <w:rPr>
          <w:rStyle w:val="10"/>
          <w:rFonts w:hint="default" w:ascii="Times New Roman" w:hAnsi="Times New Roman" w:eastAsia="黑体" w:cs="Times New Roman"/>
          <w:sz w:val="32"/>
          <w:szCs w:val="32"/>
          <w:shd w:val="clear" w:color="auto" w:fill="FFFFFF"/>
          <w:lang w:eastAsia="zh-CN"/>
        </w:rPr>
        <w:t>收支</w:t>
      </w:r>
      <w:r>
        <w:rPr>
          <w:rStyle w:val="10"/>
          <w:rFonts w:hint="default" w:ascii="Times New Roman" w:hAnsi="Times New Roman" w:eastAsia="黑体" w:cs="Times New Roman"/>
          <w:sz w:val="32"/>
          <w:szCs w:val="32"/>
          <w:shd w:val="clear" w:color="auto" w:fill="FFFFFF"/>
        </w:rPr>
        <w:t>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（一）收入支出决算总体情况说明</w:t>
      </w:r>
    </w:p>
    <w:p>
      <w:pPr>
        <w:pStyle w:val="6"/>
        <w:shd w:val="clear" w:color="auto" w:fill="FFFFFF"/>
        <w:spacing w:before="0" w:beforeAutospacing="0" w:after="0" w:afterAutospacing="0" w:line="596"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2024年度收</w:t>
      </w:r>
      <w:r>
        <w:rPr>
          <w:rFonts w:hint="default" w:ascii="Times New Roman" w:hAnsi="Times New Roman" w:eastAsia="方正仿宋_GBK" w:cs="Times New Roman"/>
          <w:sz w:val="32"/>
          <w:szCs w:val="32"/>
          <w:shd w:val="clear" w:color="auto" w:fill="FFFFFF"/>
          <w:lang w:eastAsia="zh-CN"/>
        </w:rPr>
        <w:t>、支</w:t>
      </w:r>
      <w:r>
        <w:rPr>
          <w:rFonts w:hint="default" w:ascii="Times New Roman" w:hAnsi="Times New Roman" w:eastAsia="方正仿宋_GBK" w:cs="Times New Roman"/>
          <w:sz w:val="32"/>
          <w:szCs w:val="32"/>
          <w:shd w:val="clear" w:color="auto" w:fill="FFFFFF"/>
        </w:rPr>
        <w:t>总计</w:t>
      </w:r>
      <w:r>
        <w:rPr>
          <w:rFonts w:hint="default" w:ascii="Times New Roman" w:hAnsi="Times New Roman" w:eastAsia="方正仿宋_GBK" w:cs="Times New Roman"/>
          <w:sz w:val="32"/>
          <w:szCs w:val="32"/>
          <w:shd w:val="clear" w:color="auto" w:fill="FFFFFF"/>
          <w:lang w:eastAsia="zh-CN"/>
        </w:rPr>
        <w:t>均为</w:t>
      </w:r>
      <w:r>
        <w:rPr>
          <w:rFonts w:hint="default" w:ascii="Times New Roman" w:hAnsi="Times New Roman" w:eastAsia="方正仿宋_GBK" w:cs="Times New Roman"/>
          <w:sz w:val="32"/>
          <w:szCs w:val="32"/>
          <w:shd w:val="clear" w:color="auto" w:fill="FFFFFF"/>
        </w:rPr>
        <w:t>44.66万元。收、支与2023年度相比，增加44.66万元，增长100.0%，主要原因是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6"/>
        <w:shd w:val="clear" w:color="auto" w:fill="FFFFFF"/>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1</w:t>
      </w:r>
      <w:r>
        <w:rPr>
          <w:rStyle w:val="10"/>
          <w:rFonts w:hint="default" w:ascii="Times New Roman" w:hAnsi="Times New Roman" w:eastAsia="方正仿宋_GBK" w:cs="Times New Roman"/>
          <w:sz w:val="32"/>
          <w:szCs w:val="32"/>
          <w:shd w:val="clear" w:color="auto" w:fill="FFFFFF"/>
        </w:rPr>
        <w:t>.收入情况。</w:t>
      </w:r>
      <w:r>
        <w:rPr>
          <w:rFonts w:hint="default" w:ascii="Times New Roman" w:hAnsi="Times New Roman" w:eastAsia="方正仿宋_GBK" w:cs="Times New Roman"/>
          <w:sz w:val="32"/>
          <w:szCs w:val="32"/>
          <w:shd w:val="clear" w:color="auto" w:fill="FFFFFF"/>
        </w:rPr>
        <w:t>2024年度收入合计44.66万元，与2023年度相比，增加44.66万元，增长100.0%，主要原因是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其中：财政拨款收入44.66万元，占100.0%；事业收入0.00万元，占0.0%；经营收入0.00万元，占0.0%；其他收入0.00万元，占0.0%。此外，使用非财政拨款结余（含专用结余）0.00万元，年初结转和结余0.00万元。</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shd w:val="clear" w:color="auto" w:fill="FFFFFF"/>
        </w:rPr>
      </w:pPr>
      <w:r>
        <w:rPr>
          <w:rStyle w:val="10"/>
          <w:rFonts w:hint="default" w:ascii="Times New Roman" w:hAnsi="Times New Roman" w:eastAsia="方正仿宋_GBK" w:cs="Times New Roman"/>
          <w:sz w:val="32"/>
          <w:szCs w:val="32"/>
          <w:shd w:val="clear" w:color="auto" w:fill="FFFFFF"/>
          <w:lang w:val="en-US" w:eastAsia="zh-CN"/>
        </w:rPr>
        <w:t>2</w:t>
      </w:r>
      <w:r>
        <w:rPr>
          <w:rStyle w:val="10"/>
          <w:rFonts w:hint="default" w:ascii="Times New Roman" w:hAnsi="Times New Roman" w:eastAsia="方正仿宋_GBK" w:cs="Times New Roman"/>
          <w:sz w:val="32"/>
          <w:szCs w:val="32"/>
          <w:shd w:val="clear" w:color="auto" w:fill="FFFFFF"/>
        </w:rPr>
        <w:t>.支出情况。</w:t>
      </w:r>
      <w:r>
        <w:rPr>
          <w:rFonts w:hint="default" w:ascii="Times New Roman" w:hAnsi="Times New Roman" w:eastAsia="方正仿宋_GBK" w:cs="Times New Roman"/>
          <w:sz w:val="32"/>
          <w:szCs w:val="32"/>
          <w:shd w:val="clear" w:color="auto" w:fill="FFFFFF"/>
        </w:rPr>
        <w:t>2024年度支出合计44.66万元，与2023年度相比，增加44.66万元，增长100.0%，主要原因是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其中：基本支出44.66万元，占100.0%；项目支出0.00万元，占0.0%；经营支出</w:t>
      </w:r>
      <w:r>
        <w:rPr>
          <w:rFonts w:hint="default" w:ascii="Times New Roman" w:hAnsi="Times New Roman" w:eastAsia="方正仿宋_GBK" w:cs="Times New Roman"/>
          <w:sz w:val="32"/>
          <w:szCs w:val="32"/>
        </w:rPr>
        <w:t>0.00</w:t>
      </w:r>
      <w:r>
        <w:rPr>
          <w:rFonts w:hint="default" w:ascii="Times New Roman" w:hAnsi="Times New Roman" w:eastAsia="方正仿宋_GBK" w:cs="Times New Roman"/>
          <w:sz w:val="32"/>
          <w:szCs w:val="32"/>
          <w:shd w:val="clear" w:color="auto" w:fill="FFFFFF"/>
        </w:rPr>
        <w:t>万元，占0.0%。此外，结余分配0.00万元。</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lang w:val="en-US" w:eastAsia="zh-CN"/>
        </w:rPr>
        <w:t>3</w:t>
      </w:r>
      <w:r>
        <w:rPr>
          <w:rStyle w:val="10"/>
          <w:rFonts w:hint="default" w:ascii="Times New Roman" w:hAnsi="Times New Roman" w:eastAsia="方正仿宋_GBK" w:cs="Times New Roman"/>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2024年度年末结转和结余0.00万元，与2023年度相比，无增减，主要原因是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（二）财政拨款收入支出决算总体情况说明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2024年度财政拨款收、支总计均为44.66万元。与2023年</w:t>
      </w:r>
      <w:r>
        <w:rPr>
          <w:rFonts w:hint="default" w:ascii="Times New Roman" w:hAnsi="Times New Roman" w:eastAsia="方正仿宋_GBK" w:cs="Times New Roman"/>
          <w:sz w:val="32"/>
          <w:szCs w:val="32"/>
          <w:shd w:val="clear" w:color="auto" w:fill="FFFFFF"/>
          <w:lang w:eastAsia="zh-CN"/>
        </w:rPr>
        <w:t>度</w:t>
      </w:r>
      <w:r>
        <w:rPr>
          <w:rFonts w:hint="default" w:ascii="Times New Roman" w:hAnsi="Times New Roman" w:eastAsia="方正仿宋_GBK" w:cs="Times New Roman"/>
          <w:sz w:val="32"/>
          <w:szCs w:val="32"/>
          <w:shd w:val="clear" w:color="auto" w:fill="FFFFFF"/>
        </w:rPr>
        <w:t>相比，财政拨款收、支总计各增加44.66万元，增长100.0%。主要原因是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（三）一般公共预算财政拨款收入支出决算情况说明</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sz w:val="32"/>
          <w:szCs w:val="32"/>
        </w:rPr>
      </w:pPr>
      <w:r>
        <w:rPr>
          <w:rStyle w:val="10"/>
          <w:rFonts w:hint="default" w:ascii="Times New Roman" w:hAnsi="Times New Roman" w:eastAsia="方正仿宋_GBK" w:cs="Times New Roman"/>
          <w:sz w:val="32"/>
          <w:szCs w:val="32"/>
          <w:shd w:val="clear" w:color="auto" w:fill="FFFFFF"/>
        </w:rPr>
        <w:t>1.收入情况。</w:t>
      </w:r>
      <w:r>
        <w:rPr>
          <w:rFonts w:hint="default" w:ascii="Times New Roman" w:hAnsi="Times New Roman" w:eastAsia="方正仿宋_GBK" w:cs="Times New Roman"/>
          <w:sz w:val="32"/>
          <w:szCs w:val="32"/>
          <w:shd w:val="clear" w:color="auto" w:fill="FFFFFF"/>
        </w:rPr>
        <w:t>2024年度一般公共预算财政拨款收入44.66万元，与2023年度相比，增加44.66万元，增长100.0%。主要原因是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较年初预算数增加44.66万元，增长100.0%。主要原因是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此外，年初财政拨款结转和结余0.00万元。</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2.支出情况。</w:t>
      </w:r>
      <w:r>
        <w:rPr>
          <w:rFonts w:hint="default" w:ascii="Times New Roman" w:hAnsi="Times New Roman" w:eastAsia="方正仿宋_GBK" w:cs="Times New Roman"/>
          <w:sz w:val="32"/>
          <w:szCs w:val="32"/>
          <w:shd w:val="clear" w:color="auto" w:fill="FFFFFF"/>
        </w:rPr>
        <w:t>2024年度一般公共预算财政拨款支出44.66万元，与2023年度相比，增加44.66万元，增长100.0%。主要原因是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较年初预算数增加44.66万元，增长100.0%。主要原因是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640" w:firstLineChars="200"/>
        <w:jc w:val="both"/>
        <w:textAlignment w:val="auto"/>
        <w:rPr>
          <w:rFonts w:hint="default" w:ascii="Times New Roman" w:hAnsi="Times New Roman" w:eastAsia="方正仿宋_GBK" w:cs="Times New Roman"/>
          <w:sz w:val="32"/>
          <w:szCs w:val="32"/>
          <w:highlight w:val="none"/>
          <w:shd w:val="clear" w:color="auto" w:fill="FFFFFF"/>
        </w:rPr>
      </w:pPr>
      <w:r>
        <w:rPr>
          <w:rFonts w:hint="default" w:ascii="Times New Roman" w:hAnsi="Times New Roman" w:eastAsia="方正仿宋_GBK" w:cs="Times New Roman"/>
          <w:sz w:val="32"/>
          <w:szCs w:val="32"/>
          <w:highlight w:val="none"/>
          <w:shd w:val="clear" w:color="auto" w:fill="FFFFFF"/>
        </w:rPr>
        <w:t>一般公共预算财政拨款支出主要</w:t>
      </w:r>
      <w:r>
        <w:rPr>
          <w:rFonts w:hint="default" w:ascii="Times New Roman" w:hAnsi="Times New Roman" w:eastAsia="方正仿宋_GBK" w:cs="Times New Roman"/>
          <w:sz w:val="32"/>
          <w:szCs w:val="32"/>
          <w:highlight w:val="none"/>
          <w:shd w:val="clear" w:color="auto" w:fill="FFFFFF"/>
          <w:lang w:eastAsia="zh-CN"/>
        </w:rPr>
        <w:t>用途如下</w:t>
      </w:r>
      <w:r>
        <w:rPr>
          <w:rFonts w:hint="default" w:ascii="Times New Roman" w:hAnsi="Times New Roman" w:eastAsia="方正仿宋_GBK" w:cs="Times New Roman"/>
          <w:sz w:val="32"/>
          <w:szCs w:val="32"/>
          <w:highlight w:val="none"/>
          <w:shd w:val="clear" w:color="auto" w:fill="FFFFFF"/>
        </w:rPr>
        <w:t>：</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1</w:t>
      </w:r>
      <w:r>
        <w:rPr>
          <w:rFonts w:hint="default" w:ascii="Times New Roman" w:hAnsi="Times New Roman" w:eastAsia="方正仿宋_GBK" w:cs="Times New Roman"/>
          <w:sz w:val="32"/>
          <w:szCs w:val="32"/>
          <w:shd w:val="clear" w:color="auto" w:fill="FFFFFF"/>
        </w:rPr>
        <w:t>）文化旅游体育与传媒支出36.58万元，占81.9%，较年初预算数增加36.58万元，增长100.0%，主要原因是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）社会保障</w:t>
      </w:r>
      <w:r>
        <w:rPr>
          <w:rFonts w:hint="default" w:ascii="Times New Roman" w:hAnsi="Times New Roman" w:eastAsia="方正仿宋_GBK" w:cs="Times New Roman"/>
          <w:sz w:val="32"/>
          <w:szCs w:val="32"/>
          <w:shd w:val="clear" w:color="auto" w:fill="FFFFFF"/>
          <w:lang w:eastAsia="zh-CN"/>
        </w:rPr>
        <w:t>和</w:t>
      </w:r>
      <w:r>
        <w:rPr>
          <w:rFonts w:hint="default" w:ascii="Times New Roman" w:hAnsi="Times New Roman" w:eastAsia="方正仿宋_GBK" w:cs="Times New Roman"/>
          <w:sz w:val="32"/>
          <w:szCs w:val="32"/>
          <w:shd w:val="clear" w:color="auto" w:fill="FFFFFF"/>
        </w:rPr>
        <w:t>就业支出4.19万元，占9.4%，较年初预算数增加4.19万元，增长100.0%，主要原因是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）卫生健康支出1.80万元，占4.0%，较年初预算数增加1.80万元，增长100.0%，主要原因是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spacing w:line="596" w:lineRule="exact"/>
        <w:ind w:firstLine="640" w:firstLineChars="200"/>
        <w:jc w:val="both"/>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rPr>
        <w:t>住房保障支出</w:t>
      </w:r>
      <w:r>
        <w:rPr>
          <w:rFonts w:hint="default" w:ascii="Times New Roman" w:hAnsi="Times New Roman" w:eastAsia="方正仿宋_GBK" w:cs="Times New Roman"/>
          <w:sz w:val="32"/>
          <w:szCs w:val="32"/>
          <w:shd w:val="clear" w:color="auto" w:fill="FFFFFF"/>
        </w:rPr>
        <w:t>2.09万元，占4.7%，较年初预算数增加2.09万元，增长100.0%，主要原因是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6"/>
        <w:snapToGrid w:val="0"/>
        <w:spacing w:before="0" w:beforeAutospacing="0" w:after="0" w:afterAutospacing="0" w:line="596" w:lineRule="exact"/>
        <w:ind w:firstLine="643" w:firstLineChars="200"/>
        <w:jc w:val="both"/>
        <w:rPr>
          <w:rFonts w:hint="default" w:ascii="Times New Roman" w:hAnsi="Times New Roman" w:eastAsia="方正仿宋_GBK" w:cs="Times New Roman"/>
          <w:color w:val="FF0000"/>
          <w:sz w:val="32"/>
          <w:szCs w:val="32"/>
          <w:shd w:val="clear" w:color="auto" w:fill="FFFFFF"/>
        </w:rPr>
      </w:pPr>
      <w:r>
        <w:rPr>
          <w:rStyle w:val="10"/>
          <w:rFonts w:hint="default" w:ascii="Times New Roman" w:hAnsi="Times New Roman" w:eastAsia="方正仿宋_GBK" w:cs="Times New Roman"/>
          <w:sz w:val="32"/>
          <w:szCs w:val="32"/>
          <w:shd w:val="clear" w:color="auto" w:fill="FFFFFF"/>
        </w:rPr>
        <w:t>3.结转结余情况。</w:t>
      </w:r>
      <w:r>
        <w:rPr>
          <w:rFonts w:hint="default" w:ascii="Times New Roman" w:hAnsi="Times New Roman" w:eastAsia="方正仿宋_GBK" w:cs="Times New Roman"/>
          <w:sz w:val="32"/>
          <w:szCs w:val="32"/>
          <w:shd w:val="clear" w:color="auto" w:fill="FFFFFF"/>
        </w:rPr>
        <w:t>2024年度年末一般公共预算财政拨款结转和结余0.00万元，与2023年度相比，无增减，主要原因是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（四）一般公共预算财政拨款基本支出决算情况说明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2024年度一般公共财政拨款基本支出44.66万元。</w:t>
      </w:r>
    </w:p>
    <w:p>
      <w:pPr>
        <w:pStyle w:val="6"/>
        <w:keepNext w:val="0"/>
        <w:keepLines w:val="0"/>
        <w:pageBreakBefore w:val="0"/>
        <w:widowControl/>
        <w:kinsoku/>
        <w:wordWrap/>
        <w:overflowPunct/>
        <w:topLinePunct w:val="0"/>
        <w:autoSpaceDE/>
        <w:autoSpaceDN/>
        <w:bidi w:val="0"/>
        <w:adjustRightInd/>
        <w:snapToGrid w:val="0"/>
        <w:spacing w:before="0" w:beforeAutospacing="0" w:after="0" w:afterAutospacing="0" w:line="596" w:lineRule="exact"/>
        <w:ind w:firstLine="0" w:firstLineChars="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rPr>
        <w:t>其中：人员经费41.37万元，与2023年度相比，增加41.37万元，增长100.0%，主要原因是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人员经费用途主要包括</w:t>
      </w:r>
      <w:r>
        <w:rPr>
          <w:rFonts w:hint="default" w:ascii="Times New Roman" w:hAnsi="Times New Roman" w:eastAsia="方正仿宋_GBK" w:cs="Times New Roman"/>
          <w:sz w:val="32"/>
          <w:szCs w:val="32"/>
          <w:shd w:val="clear" w:color="auto" w:fill="FFFFFF"/>
          <w:lang w:eastAsia="zh-CN"/>
        </w:rPr>
        <w:t>基本工资、津贴补贴、奖金、社会保障缴费、绩效工资、住房公积金、其他对个人和家庭的补助支出等。</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公用经费3.29万元，与2023年度相比，增加3.29万元，增长100.0%，主要原因是</w:t>
      </w:r>
      <w:r>
        <w:rPr>
          <w:rFonts w:hint="default" w:ascii="Times New Roman" w:hAnsi="Times New Roman" w:eastAsia="方正仿宋_GBK" w:cs="Times New Roman"/>
          <w:sz w:val="32"/>
          <w:szCs w:val="32"/>
          <w:shd w:val="clear" w:color="auto" w:fill="FFFFFF"/>
          <w:lang w:eastAsia="zh-CN"/>
        </w:rPr>
        <w:t>文化服务中心为新增决算单位、故无上年决算数据。</w:t>
      </w:r>
      <w:r>
        <w:rPr>
          <w:rFonts w:hint="default" w:ascii="Times New Roman" w:hAnsi="Times New Roman" w:eastAsia="方正仿宋_GBK" w:cs="Times New Roman"/>
          <w:sz w:val="32"/>
          <w:szCs w:val="32"/>
          <w:shd w:val="clear" w:color="auto" w:fill="FFFFFF"/>
        </w:rPr>
        <w:t>公用经费用途主要包括</w:t>
      </w:r>
      <w:r>
        <w:rPr>
          <w:rFonts w:hint="default" w:ascii="Times New Roman" w:hAnsi="Times New Roman" w:eastAsia="方正仿宋_GBK" w:cs="Times New Roman"/>
          <w:sz w:val="32"/>
          <w:szCs w:val="32"/>
          <w:shd w:val="clear" w:color="auto" w:fill="FFFFFF"/>
          <w:lang w:eastAsia="zh-CN"/>
        </w:rPr>
        <w:t>办公费、水费、电费、工会费、福利费、其他交通费用等。</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（五）政府性基金预算收支决算情况说明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shd w:val="clear" w:color="auto" w:fill="FFFFFF"/>
        </w:rPr>
        <w:t>本部门2024年度无政府性基金预算财政拨款收支</w:t>
      </w:r>
      <w:r>
        <w:rPr>
          <w:rFonts w:hint="default" w:ascii="Times New Roman" w:hAnsi="Times New Roman" w:eastAsia="方正仿宋_GBK" w:cs="Times New Roman"/>
          <w:sz w:val="32"/>
          <w:szCs w:val="32"/>
          <w:shd w:val="clear" w:color="auto" w:fill="FFFFFF"/>
          <w:lang w:eastAsia="zh-CN"/>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（六）国有资本经营预算财政拨款支出决算情况说明</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0"/>
          <w:rFonts w:hint="default" w:ascii="Times New Roman" w:hAnsi="Times New Roman" w:eastAsia="方正仿宋_GBK" w:cs="Times New Roman"/>
          <w:sz w:val="32"/>
          <w:szCs w:val="32"/>
          <w:shd w:val="clear" w:color="auto" w:fill="FFFF00"/>
        </w:rPr>
      </w:pPr>
      <w:r>
        <w:rPr>
          <w:rFonts w:hint="default" w:ascii="Times New Roman" w:hAnsi="Times New Roman" w:eastAsia="方正仿宋_GBK" w:cs="Times New Roman"/>
          <w:sz w:val="32"/>
          <w:szCs w:val="32"/>
          <w:shd w:val="clear" w:color="auto" w:fill="FFFFFF"/>
        </w:rPr>
        <w:t>本部门2024年度无国有资本经营预算财政拨款支出。</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三、</w:t>
      </w:r>
      <w:r>
        <w:rPr>
          <w:rStyle w:val="10"/>
          <w:rFonts w:hint="default" w:ascii="Times New Roman" w:hAnsi="Times New Roman" w:eastAsia="黑体" w:cs="Times New Roman"/>
          <w:sz w:val="32"/>
          <w:szCs w:val="32"/>
          <w:shd w:val="clear" w:color="auto" w:fill="FFFFFF"/>
          <w:lang w:eastAsia="zh-CN"/>
        </w:rPr>
        <w:t>财政拨款</w:t>
      </w:r>
      <w:r>
        <w:rPr>
          <w:rStyle w:val="10"/>
          <w:rFonts w:hint="default" w:ascii="Times New Roman" w:hAnsi="Times New Roman" w:eastAsia="黑体" w:cs="Times New Roman"/>
          <w:sz w:val="32"/>
          <w:szCs w:val="32"/>
          <w:shd w:val="clear" w:color="auto" w:fill="FFFFFF"/>
        </w:rPr>
        <w:t>“三公”经费情况说明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文化服务中心</w:t>
      </w:r>
      <w:r>
        <w:rPr>
          <w:rFonts w:hint="default" w:ascii="Times New Roman" w:hAnsi="Times New Roman" w:eastAsia="方正仿宋_GBK" w:cs="Times New Roman"/>
          <w:sz w:val="32"/>
          <w:szCs w:val="32"/>
          <w:shd w:val="clear" w:color="auto" w:fill="FFFFFF"/>
        </w:rPr>
        <w:t>属于</w:t>
      </w:r>
      <w:r>
        <w:rPr>
          <w:rFonts w:hint="default" w:ascii="Times New Roman" w:hAnsi="Times New Roman" w:eastAsia="方正仿宋_GBK" w:cs="Times New Roman"/>
          <w:sz w:val="32"/>
          <w:szCs w:val="32"/>
          <w:shd w:val="clear" w:color="auto" w:fill="FFFFFF"/>
          <w:lang w:eastAsia="zh-CN"/>
        </w:rPr>
        <w:t>街道本级下的事业单位</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未使用财政资金保障</w:t>
      </w:r>
      <w:r>
        <w:rPr>
          <w:rFonts w:hint="default" w:ascii="Times New Roman" w:hAnsi="Times New Roman" w:eastAsia="方正仿宋_GBK" w:cs="Times New Roman"/>
          <w:sz w:val="32"/>
          <w:szCs w:val="32"/>
          <w:shd w:val="clear" w:color="auto" w:fill="FFFFFF"/>
        </w:rPr>
        <w:t>“三公”经费。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rPr>
      </w:pPr>
      <w:r>
        <w:rPr>
          <w:rStyle w:val="10"/>
          <w:rFonts w:hint="default" w:ascii="Times New Roman" w:hAnsi="Times New Roman" w:eastAsia="黑体" w:cs="Times New Roman"/>
          <w:sz w:val="32"/>
          <w:szCs w:val="32"/>
          <w:shd w:val="clear" w:color="auto" w:fill="FFFFFF"/>
        </w:rPr>
        <w:t>四、其他需要说明的事项</w:t>
      </w:r>
    </w:p>
    <w:p>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jc w:val="both"/>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（一）财政拨款会议费、培训费和差旅费情况说明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文化服务中心在</w:t>
      </w:r>
      <w:r>
        <w:rPr>
          <w:rFonts w:hint="default" w:ascii="Times New Roman" w:hAnsi="Times New Roman" w:eastAsia="方正仿宋_GBK" w:cs="Times New Roman"/>
          <w:sz w:val="32"/>
          <w:szCs w:val="32"/>
          <w:shd w:val="clear" w:color="auto" w:fill="FFFFFF"/>
          <w:lang w:val="en-US" w:eastAsia="zh-CN"/>
        </w:rPr>
        <w:t>2024年从街道本级分割至下属事业单位</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因此未使用财政资金保障</w:t>
      </w:r>
      <w:r>
        <w:rPr>
          <w:rFonts w:hint="default" w:ascii="Times New Roman" w:hAnsi="Times New Roman" w:eastAsia="方正仿宋_GBK" w:cs="Times New Roman"/>
          <w:sz w:val="32"/>
          <w:szCs w:val="32"/>
          <w:shd w:val="clear" w:color="auto" w:fill="FFFFFF"/>
        </w:rPr>
        <w:t>会议费、培训费和差旅费。</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（二）机关运行经费情况说明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按照部门决算列报口径，我</w:t>
      </w:r>
      <w:r>
        <w:rPr>
          <w:rFonts w:hint="default" w:ascii="Times New Roman" w:hAnsi="Times New Roman" w:eastAsia="方正仿宋_GBK" w:cs="Times New Roman"/>
          <w:sz w:val="32"/>
          <w:szCs w:val="32"/>
          <w:shd w:val="clear" w:color="auto" w:fill="FFFFFF"/>
          <w:lang w:eastAsia="zh-CN"/>
        </w:rPr>
        <w:t>部门</w:t>
      </w:r>
      <w:r>
        <w:rPr>
          <w:rFonts w:hint="default" w:ascii="Times New Roman" w:hAnsi="Times New Roman" w:eastAsia="方正仿宋_GBK" w:cs="Times New Roman"/>
          <w:sz w:val="32"/>
          <w:szCs w:val="32"/>
          <w:shd w:val="clear" w:color="auto" w:fill="FFFFFF"/>
        </w:rPr>
        <w:t>不在机关运行经费统计范围之内。</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（三）国有资产占用情况说明</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我单位属于城口县葛城街道办事处统筹管理的事业单位，</w:t>
      </w:r>
      <w:r>
        <w:rPr>
          <w:rFonts w:hint="default" w:ascii="Times New Roman" w:hAnsi="Times New Roman" w:eastAsia="方正仿宋_GBK" w:cs="Times New Roman"/>
          <w:sz w:val="32"/>
          <w:szCs w:val="32"/>
          <w:shd w:val="clear" w:color="auto" w:fill="FFFFFF"/>
        </w:rPr>
        <w:t>资产</w:t>
      </w:r>
      <w:r>
        <w:rPr>
          <w:rFonts w:hint="default" w:ascii="Times New Roman" w:hAnsi="Times New Roman" w:eastAsia="方正仿宋_GBK" w:cs="Times New Roman"/>
          <w:sz w:val="32"/>
          <w:szCs w:val="32"/>
          <w:shd w:val="clear" w:color="auto" w:fill="FFFFFF"/>
          <w:lang w:eastAsia="zh-CN"/>
        </w:rPr>
        <w:t>登记在街道本级</w:t>
      </w:r>
      <w:r>
        <w:rPr>
          <w:rFonts w:hint="default" w:ascii="Times New Roman" w:hAnsi="Times New Roman" w:eastAsia="方正仿宋_GBK" w:cs="Times New Roman"/>
          <w:sz w:val="32"/>
          <w:szCs w:val="32"/>
          <w:shd w:val="clear" w:color="auto" w:fill="FFFFFF"/>
        </w:rPr>
        <w:t>。</w:t>
      </w:r>
    </w:p>
    <w:p>
      <w:pPr>
        <w:pStyle w:val="11"/>
        <w:keepNext w:val="0"/>
        <w:keepLines w:val="0"/>
        <w:pageBreakBefore w:val="0"/>
        <w:widowControl/>
        <w:kinsoku/>
        <w:wordWrap/>
        <w:overflowPunct/>
        <w:topLinePunct w:val="0"/>
        <w:autoSpaceDE w:val="0"/>
        <w:autoSpaceDN/>
        <w:bidi w:val="0"/>
        <w:adjustRightInd/>
        <w:snapToGrid/>
        <w:spacing w:line="596" w:lineRule="exact"/>
        <w:ind w:firstLine="643" w:firstLineChars="200"/>
        <w:textAlignment w:val="auto"/>
        <w:rPr>
          <w:rFonts w:hint="default" w:ascii="Times New Roman" w:hAnsi="Times New Roman" w:eastAsia="楷体" w:cs="Times New Roman"/>
          <w:b/>
          <w:bCs/>
          <w:sz w:val="32"/>
          <w:szCs w:val="32"/>
          <w:shd w:val="clear" w:color="auto" w:fill="FFFFFF"/>
        </w:rPr>
      </w:pPr>
      <w:r>
        <w:rPr>
          <w:rFonts w:hint="default" w:ascii="Times New Roman" w:hAnsi="Times New Roman" w:eastAsia="楷体" w:cs="Times New Roman"/>
          <w:b/>
          <w:bCs/>
          <w:sz w:val="32"/>
          <w:szCs w:val="32"/>
          <w:shd w:val="clear" w:color="auto" w:fill="FFFFFF"/>
        </w:rPr>
        <w:t>（四）政府采购支出情况说明</w:t>
      </w:r>
    </w:p>
    <w:p>
      <w:pPr>
        <w:pStyle w:val="11"/>
        <w:keepNext w:val="0"/>
        <w:keepLines w:val="0"/>
        <w:pageBreakBefore w:val="0"/>
        <w:widowControl/>
        <w:kinsoku/>
        <w:wordWrap/>
        <w:overflowPunct/>
        <w:topLinePunct w:val="0"/>
        <w:autoSpaceDE w:val="0"/>
        <w:autoSpaceDN/>
        <w:bidi w:val="0"/>
        <w:adjustRightInd/>
        <w:snapToGrid/>
        <w:spacing w:line="596" w:lineRule="exact"/>
        <w:ind w:firstLine="640" w:firstLineChars="200"/>
        <w:jc w:val="both"/>
        <w:textAlignment w:val="auto"/>
        <w:rPr>
          <w:rFonts w:hint="default" w:ascii="Times New Roman" w:hAnsi="Times New Roman" w:eastAsia="方正仿宋_GBK" w:cs="Times New Roman"/>
          <w:color w:val="FF0000"/>
          <w:sz w:val="32"/>
          <w:szCs w:val="32"/>
          <w:shd w:val="clear" w:color="auto" w:fill="FFFFFF"/>
        </w:rPr>
      </w:pPr>
      <w:r>
        <w:rPr>
          <w:rFonts w:hint="default" w:ascii="Times New Roman" w:hAnsi="Times New Roman" w:eastAsia="方正仿宋_GBK" w:cs="Times New Roman"/>
          <w:sz w:val="32"/>
          <w:szCs w:val="32"/>
          <w:shd w:val="clear" w:color="auto" w:fill="FFFFFF"/>
          <w:lang w:eastAsia="zh-CN"/>
        </w:rPr>
        <w:t>2024年度我部门未发</w:t>
      </w:r>
      <w:bookmarkStart w:id="0" w:name="_GoBack"/>
      <w:bookmarkEnd w:id="0"/>
      <w:r>
        <w:rPr>
          <w:rFonts w:hint="default" w:ascii="Times New Roman" w:hAnsi="Times New Roman" w:eastAsia="方正仿宋_GBK" w:cs="Times New Roman"/>
          <w:sz w:val="32"/>
          <w:szCs w:val="32"/>
          <w:shd w:val="clear" w:color="auto" w:fill="FFFFFF"/>
          <w:lang w:eastAsia="zh-CN"/>
        </w:rPr>
        <w:t>生政府采购事项，无相关经费支出。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Times New Roman" w:hAnsi="Times New Roman" w:eastAsia="黑体" w:cs="Times New Roman"/>
          <w:sz w:val="32"/>
          <w:szCs w:val="32"/>
          <w:shd w:val="clear" w:color="auto" w:fill="FFFFFF"/>
          <w:lang w:val="en-US" w:eastAsia="zh-CN" w:bidi="ar-SA"/>
        </w:rPr>
      </w:pPr>
      <w:r>
        <w:rPr>
          <w:rStyle w:val="10"/>
          <w:rFonts w:hint="default" w:ascii="Times New Roman" w:hAnsi="Times New Roman" w:eastAsia="黑体" w:cs="Times New Roman"/>
          <w:sz w:val="32"/>
          <w:szCs w:val="32"/>
          <w:shd w:val="clear" w:color="auto" w:fill="FFFFFF"/>
          <w:lang w:val="en-US" w:eastAsia="zh-CN" w:bidi="ar-SA"/>
        </w:rPr>
        <w:t>五、2024年度预算绩效管理情况说明</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（一）单位自评情况</w:t>
      </w:r>
    </w:p>
    <w:p>
      <w:pPr>
        <w:pStyle w:val="6"/>
        <w:snapToGrid w:val="0"/>
        <w:spacing w:before="0" w:beforeAutospacing="0" w:after="0" w:afterAutospacing="0" w:line="596" w:lineRule="exact"/>
        <w:ind w:firstLine="640" w:firstLineChars="200"/>
        <w:jc w:val="both"/>
        <w:rPr>
          <w:rFonts w:hint="default" w:ascii="Times New Roman" w:hAnsi="Times New Roman" w:eastAsia="方正仿宋_GBK" w:cs="Times New Roman"/>
          <w:sz w:val="32"/>
          <w:szCs w:val="32"/>
          <w:shd w:val="clear" w:color="auto" w:fill="FFFFFF"/>
          <w:lang w:eastAsia="zh-CN"/>
        </w:rPr>
      </w:pPr>
      <w:r>
        <w:rPr>
          <w:rFonts w:hint="default" w:ascii="Times New Roman" w:hAnsi="Times New Roman" w:eastAsia="方正仿宋_GBK" w:cs="Times New Roman"/>
          <w:sz w:val="32"/>
          <w:szCs w:val="32"/>
          <w:shd w:val="clear" w:color="auto" w:fill="FFFFFF"/>
          <w:lang w:eastAsia="zh-CN"/>
        </w:rPr>
        <w:t>我单位属于城口县葛城街道办事处统筹管理的事业单位，项目建设均在街道办事处实施核算，本单位无项目建设，未开展项目绩效评价。</w:t>
      </w:r>
    </w:p>
    <w:p>
      <w:pPr>
        <w:pStyle w:val="12"/>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default" w:ascii="Times New Roman" w:hAnsi="Times New Roman" w:eastAsia="楷体" w:cs="Times New Roman"/>
          <w:b/>
          <w:bCs/>
          <w:kern w:val="0"/>
          <w:sz w:val="32"/>
          <w:szCs w:val="32"/>
          <w:shd w:val="clear" w:fill="FFFFFF"/>
        </w:rPr>
      </w:pPr>
      <w:r>
        <w:rPr>
          <w:rFonts w:hint="default" w:ascii="Times New Roman" w:hAnsi="Times New Roman" w:eastAsia="楷体" w:cs="Times New Roman"/>
          <w:b/>
          <w:bCs/>
          <w:kern w:val="0"/>
          <w:sz w:val="32"/>
          <w:szCs w:val="32"/>
          <w:shd w:val="clear" w:fill="FFFFFF"/>
        </w:rPr>
        <w:t>（二）部门绩效评价情况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我单位属于城口县</w:t>
      </w:r>
      <w:r>
        <w:rPr>
          <w:rFonts w:hint="default" w:ascii="Times New Roman" w:hAnsi="Times New Roman" w:eastAsia="方正仿宋_GBK" w:cs="Times New Roman"/>
          <w:kern w:val="0"/>
          <w:sz w:val="32"/>
          <w:szCs w:val="32"/>
          <w:shd w:val="clear" w:fill="FFFFFF"/>
          <w:lang w:eastAsia="zh-CN"/>
        </w:rPr>
        <w:t>葛城</w:t>
      </w:r>
      <w:r>
        <w:rPr>
          <w:rFonts w:hint="default" w:ascii="Times New Roman" w:hAnsi="Times New Roman" w:eastAsia="方正仿宋_GBK" w:cs="Times New Roman"/>
          <w:kern w:val="0"/>
          <w:sz w:val="32"/>
          <w:szCs w:val="32"/>
          <w:shd w:val="clear" w:fill="FFFFFF"/>
        </w:rPr>
        <w:t>街道办事处统筹管理的事业单位，项目建设均在街道办事处实施核算，本单位无项目建设，未开展项目绩效评价</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default" w:ascii="Times New Roman" w:hAnsi="Times New Roman" w:eastAsia="方正仿宋_GBK" w:cs="Times New Roman"/>
          <w:b w:val="0"/>
          <w:bCs w:val="0"/>
          <w:kern w:val="0"/>
          <w:sz w:val="32"/>
          <w:szCs w:val="32"/>
          <w:shd w:val="clear" w:fill="FFFFFF"/>
        </w:rPr>
      </w:pPr>
      <w:r>
        <w:rPr>
          <w:rFonts w:hint="default" w:ascii="Times New Roman" w:hAnsi="Times New Roman" w:eastAsia="楷体" w:cs="Times New Roman"/>
          <w:b/>
          <w:bCs/>
          <w:kern w:val="0"/>
          <w:sz w:val="32"/>
          <w:szCs w:val="32"/>
          <w:shd w:val="clear" w:fill="FFFFFF"/>
          <w:lang w:val="en-US" w:eastAsia="zh-CN" w:bidi="ar"/>
        </w:rPr>
        <w:t>（三）财政绩效评价情况</w:t>
      </w:r>
    </w:p>
    <w:p>
      <w:pPr>
        <w:pStyle w:val="16"/>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0" w:firstLineChars="200"/>
        <w:textAlignment w:val="auto"/>
        <w:rPr>
          <w:rFonts w:hint="default" w:ascii="Times New Roman" w:hAnsi="Times New Roman" w:eastAsia="方正仿宋_GBK" w:cs="Times New Roman"/>
          <w:kern w:val="0"/>
          <w:sz w:val="32"/>
          <w:szCs w:val="32"/>
          <w:shd w:val="clear" w:fill="FFFFFF"/>
        </w:rPr>
      </w:pPr>
      <w:r>
        <w:rPr>
          <w:rFonts w:hint="default" w:ascii="Times New Roman" w:hAnsi="Times New Roman" w:eastAsia="方正仿宋_GBK" w:cs="Times New Roman"/>
          <w:kern w:val="0"/>
          <w:sz w:val="32"/>
          <w:szCs w:val="32"/>
          <w:shd w:val="clear" w:fill="FFFFFF"/>
        </w:rPr>
        <w:t>我单位属于城口县</w:t>
      </w:r>
      <w:r>
        <w:rPr>
          <w:rFonts w:hint="default" w:ascii="Times New Roman" w:hAnsi="Times New Roman" w:eastAsia="方正仿宋_GBK" w:cs="Times New Roman"/>
          <w:kern w:val="0"/>
          <w:sz w:val="32"/>
          <w:szCs w:val="32"/>
          <w:shd w:val="clear" w:fill="FFFFFF"/>
          <w:lang w:eastAsia="zh-CN"/>
        </w:rPr>
        <w:t>葛城</w:t>
      </w:r>
      <w:r>
        <w:rPr>
          <w:rFonts w:hint="default" w:ascii="Times New Roman" w:hAnsi="Times New Roman" w:eastAsia="方正仿宋_GBK" w:cs="Times New Roman"/>
          <w:kern w:val="0"/>
          <w:sz w:val="32"/>
          <w:szCs w:val="32"/>
          <w:shd w:val="clear" w:fill="FFFFFF"/>
        </w:rPr>
        <w:t>街道办事处统筹管理的事业单位，项目建设均在街道办事处实施核算，本单位无项目建设，财政未对我单位开展绩效评价。</w:t>
      </w:r>
    </w:p>
    <w:p>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default" w:ascii="Times New Roman" w:hAnsi="Times New Roman" w:eastAsia="方正仿宋_GBK" w:cs="Times New Roman"/>
          <w:kern w:val="0"/>
          <w:sz w:val="32"/>
          <w:szCs w:val="32"/>
        </w:rPr>
      </w:pPr>
      <w:r>
        <w:rPr>
          <w:rStyle w:val="13"/>
          <w:rFonts w:hint="default" w:ascii="Times New Roman" w:hAnsi="Times New Roman" w:eastAsia="方正仿宋_GBK" w:cs="Times New Roman"/>
          <w:b/>
          <w:bCs/>
          <w:sz w:val="32"/>
          <w:szCs w:val="32"/>
          <w:shd w:val="clear" w:fill="FFFFFF"/>
        </w:rPr>
        <w:t xml:space="preserve"> </w:t>
      </w:r>
      <w:r>
        <w:rPr>
          <w:rStyle w:val="13"/>
          <w:rFonts w:hint="default" w:ascii="Times New Roman" w:hAnsi="Times New Roman" w:eastAsia="方正仿宋_GBK" w:cs="Times New Roman"/>
          <w:b/>
          <w:bCs/>
          <w:sz w:val="32"/>
          <w:szCs w:val="32"/>
          <w:shd w:val="clear" w:fill="FFFFFF"/>
          <w:lang w:val="en-US" w:eastAsia="zh-CN"/>
        </w:rPr>
        <w:t xml:space="preserve">  </w:t>
      </w:r>
      <w:r>
        <w:rPr>
          <w:rStyle w:val="10"/>
          <w:rFonts w:hint="default" w:ascii="Times New Roman" w:hAnsi="Times New Roman" w:eastAsia="黑体" w:cs="Times New Roman"/>
          <w:sz w:val="32"/>
          <w:szCs w:val="32"/>
          <w:shd w:val="clear" w:color="auto" w:fill="FFFFFF"/>
          <w:lang w:val="en-US" w:eastAsia="zh-CN" w:bidi="ar-SA"/>
        </w:rPr>
        <w:t xml:space="preserve"> 六、专业名词解释</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（一）财政拨款收入：</w:t>
      </w:r>
      <w:r>
        <w:rPr>
          <w:rFonts w:hint="default" w:ascii="Times New Roman" w:hAnsi="Times New Roman" w:eastAsia="方正仿宋_GBK" w:cs="Times New Roman"/>
          <w:kern w:val="0"/>
          <w:sz w:val="32"/>
          <w:szCs w:val="32"/>
          <w:shd w:val="clear" w:fill="FFFFFF"/>
        </w:rPr>
        <w:t>指本年度从本级财政部门取得的财政拨款，包括一般公共预算财政拨款和政府性基金预算财政拨款。</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（二）事业收入：</w:t>
      </w:r>
      <w:r>
        <w:rPr>
          <w:rFonts w:hint="default" w:ascii="Times New Roman" w:hAnsi="Times New Roman" w:eastAsia="方正仿宋_GBK" w:cs="Times New Roman"/>
          <w:kern w:val="0"/>
          <w:sz w:val="32"/>
          <w:szCs w:val="32"/>
          <w:shd w:val="clear" w:fill="FFFFFF"/>
        </w:rPr>
        <w:t>指事业单位开展专业业务活动及其辅助活动取得的现金流入；事业单位收到的财政专户实际核拨的教育收费等资金在此反映。</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（三）经营收入：</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指事业单位在专业业务活动及其辅助活动之外开展非独立核算经营活动取得的现金流入。</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（四）其他收入：</w:t>
      </w:r>
      <w:r>
        <w:rPr>
          <w:rFonts w:hint="default" w:ascii="Times New Roman" w:hAnsi="Times New Roman" w:eastAsia="方正仿宋_GBK" w:cs="Times New Roman"/>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（五）使用非财政拨款结余（含专用结余）：</w:t>
      </w:r>
      <w:r>
        <w:rPr>
          <w:rFonts w:hint="default" w:ascii="Times New Roman" w:hAnsi="Times New Roman" w:eastAsia="方正仿宋_GBK" w:cs="Times New Roman"/>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（六）年初结转和结余：</w:t>
      </w:r>
      <w:r>
        <w:rPr>
          <w:rFonts w:hint="default" w:ascii="Times New Roman" w:hAnsi="Times New Roman" w:eastAsia="方正仿宋_GBK" w:cs="Times New Roman"/>
          <w:kern w:val="0"/>
          <w:sz w:val="32"/>
          <w:szCs w:val="32"/>
          <w:shd w:val="clear" w:fill="FFFFFF"/>
        </w:rPr>
        <w:t>指单位上年结转本年使用的基本支出结转、项目支出结转和结余、经营结余。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（七）结余分配：</w:t>
      </w:r>
      <w:r>
        <w:rPr>
          <w:rFonts w:hint="default" w:ascii="Times New Roman" w:hAnsi="Times New Roman" w:eastAsia="方正仿宋_GBK" w:cs="Times New Roman"/>
          <w:kern w:val="0"/>
          <w:sz w:val="32"/>
          <w:szCs w:val="32"/>
          <w:shd w:val="clear" w:fill="FFFFFF"/>
        </w:rPr>
        <w:t>指单位按照国家有关规定，缴纳所得税、提取专用基金、转入非财政拨款结余等当年结余的分配情况。</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（八）年末结转和结余：</w:t>
      </w:r>
      <w:r>
        <w:rPr>
          <w:rFonts w:hint="default" w:ascii="Times New Roman" w:hAnsi="Times New Roman" w:eastAsia="方正仿宋_GBK" w:cs="Times New Roman"/>
          <w:kern w:val="0"/>
          <w:sz w:val="32"/>
          <w:szCs w:val="32"/>
          <w:shd w:val="clear" w:fill="FFFFFF"/>
        </w:rPr>
        <w:t>指单位结转下年的基本支出结转、项目支出结转和结余、经营结余。</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（九）基本支出：</w:t>
      </w:r>
      <w:r>
        <w:rPr>
          <w:rFonts w:hint="default" w:ascii="Times New Roman" w:hAnsi="Times New Roman" w:eastAsia="方正仿宋_GBK" w:cs="Times New Roman"/>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（十）项目支出：</w:t>
      </w:r>
      <w:r>
        <w:rPr>
          <w:rFonts w:hint="default" w:ascii="Times New Roman" w:hAnsi="Times New Roman" w:eastAsia="方正仿宋_GBK" w:cs="Times New Roman"/>
          <w:kern w:val="0"/>
          <w:sz w:val="32"/>
          <w:szCs w:val="32"/>
          <w:shd w:val="clear" w:fill="FFFFFF"/>
        </w:rPr>
        <w:t>指在基本支出之外为完成特定行政任务和事业发展目标所发生的支出。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（十一）经营支出：</w:t>
      </w:r>
      <w:r>
        <w:rPr>
          <w:rFonts w:hint="default" w:ascii="Times New Roman" w:hAnsi="Times New Roman" w:eastAsia="方正仿宋_GBK" w:cs="Times New Roman"/>
          <w:kern w:val="0"/>
          <w:sz w:val="32"/>
          <w:szCs w:val="32"/>
          <w:shd w:val="clear" w:fill="FFFFFF"/>
        </w:rPr>
        <w:t>指事业单位在专业业务活动及其辅助活动之外开展非独立核算经营活动发生的支出。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（十二）“三公”经费：</w:t>
      </w:r>
      <w:r>
        <w:rPr>
          <w:rFonts w:hint="default" w:ascii="Times New Roman" w:hAnsi="Times New Roman" w:eastAsia="方正仿宋_GBK" w:cs="Times New Roman"/>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（十三）机关运行经费：</w:t>
      </w:r>
      <w:r>
        <w:rPr>
          <w:rFonts w:hint="default" w:ascii="Times New Roman" w:hAnsi="Times New Roman" w:eastAsia="方正仿宋_GBK" w:cs="Times New Roman"/>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（十四）工资福利支出（支出经济分类科目类级）：</w:t>
      </w:r>
      <w:r>
        <w:rPr>
          <w:rFonts w:hint="default" w:ascii="Times New Roman" w:hAnsi="Times New Roman" w:eastAsia="方正仿宋_GBK" w:cs="Times New Roman"/>
          <w:kern w:val="0"/>
          <w:sz w:val="32"/>
          <w:szCs w:val="32"/>
          <w:shd w:val="clear" w:fill="FFFFFF"/>
        </w:rPr>
        <w:t>反映单位开支的在职职工和编制外长期聘用人员的各类劳动报酬，以及为上述人员缴纳的各项社会保险费等。</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（十五）商品和服务支出（支出经济分类科目类级）：</w:t>
      </w:r>
      <w:r>
        <w:rPr>
          <w:rFonts w:hint="default" w:ascii="Times New Roman" w:hAnsi="Times New Roman" w:eastAsia="方正仿宋_GBK" w:cs="Times New Roman"/>
          <w:kern w:val="0"/>
          <w:sz w:val="32"/>
          <w:szCs w:val="32"/>
          <w:shd w:val="clear" w:fill="FFFFFF"/>
        </w:rPr>
        <w:t>反映单位购买商品和服务的支出（不包括用于购置固定资产的支出、战略性和应急储备支出）。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（十六）对个人和家庭的补助（支出经济分类科目类级）：</w:t>
      </w:r>
      <w:r>
        <w:rPr>
          <w:rFonts w:hint="default" w:ascii="Times New Roman" w:hAnsi="Times New Roman" w:eastAsia="方正仿宋_GBK" w:cs="Times New Roman"/>
          <w:kern w:val="0"/>
          <w:sz w:val="32"/>
          <w:szCs w:val="32"/>
          <w:shd w:val="clear" w:fill="FFFFFF"/>
        </w:rPr>
        <w:t>反映用于对个人和家庭的补助支出。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楷体" w:cs="Times New Roman"/>
          <w:sz w:val="32"/>
          <w:szCs w:val="32"/>
          <w:shd w:val="clear" w:color="auto" w:fill="FFFFFF"/>
          <w:lang w:val="en-US" w:eastAsia="zh-CN" w:bidi="ar-SA"/>
        </w:rPr>
        <w:t>（十七）其他资本性支出（支出经济分类科目类级）：</w:t>
      </w:r>
      <w:r>
        <w:rPr>
          <w:rFonts w:hint="default" w:ascii="Times New Roman" w:hAnsi="Times New Roman" w:eastAsia="方正仿宋_GBK" w:cs="Times New Roman"/>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default" w:ascii="Times New Roman" w:hAnsi="Times New Roman" w:eastAsia="方正仿宋_GBK" w:cs="Times New Roman"/>
          <w:kern w:val="0"/>
          <w:sz w:val="32"/>
          <w:szCs w:val="32"/>
        </w:rPr>
      </w:pPr>
      <w:r>
        <w:rPr>
          <w:rStyle w:val="10"/>
          <w:rFonts w:hint="default" w:ascii="Times New Roman" w:hAnsi="Times New Roman" w:eastAsia="黑体" w:cs="Times New Roman"/>
          <w:sz w:val="32"/>
          <w:szCs w:val="32"/>
          <w:shd w:val="clear" w:color="auto" w:fill="FFFFFF"/>
          <w:lang w:val="en-US" w:eastAsia="zh-CN" w:bidi="ar-SA"/>
        </w:rPr>
        <w:t>七、决算公开联系方式及信息反馈渠道</w:t>
      </w:r>
    </w:p>
    <w:p>
      <w:pPr>
        <w:pStyle w:val="6"/>
        <w:snapToGrid w:val="0"/>
        <w:spacing w:before="0" w:beforeAutospacing="0" w:after="0" w:afterAutospacing="0" w:line="600" w:lineRule="exact"/>
        <w:ind w:firstLine="640" w:firstLineChars="200"/>
        <w:jc w:val="both"/>
        <w:rPr>
          <w:rStyle w:val="10"/>
          <w:rFonts w:hint="default" w:ascii="Times New Roman" w:hAnsi="Times New Roman" w:eastAsia="方正仿宋_GBK" w:cs="Times New Roman"/>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hint="default" w:ascii="Times New Roman" w:hAnsi="Times New Roman" w:eastAsia="方正仿宋_GBK" w:cs="Times New Roman"/>
          <w:sz w:val="32"/>
          <w:szCs w:val="32"/>
          <w:shd w:val="clear" w:color="auto" w:fill="FFFFFF"/>
          <w:lang w:eastAsia="zh-CN"/>
        </w:rPr>
        <w:t>部门决算公开联系人</w:t>
      </w:r>
      <w:r>
        <w:rPr>
          <w:rFonts w:hint="default" w:ascii="Times New Roman" w:hAnsi="Times New Roman" w:eastAsia="方正仿宋_GBK" w:cs="Times New Roman"/>
          <w:sz w:val="32"/>
          <w:szCs w:val="32"/>
          <w:shd w:val="clear" w:color="auto" w:fill="FFFFFF"/>
        </w:rPr>
        <w:t>：</w:t>
      </w:r>
      <w:r>
        <w:rPr>
          <w:rFonts w:hint="default" w:ascii="Times New Roman" w:hAnsi="Times New Roman" w:eastAsia="方正仿宋_GBK" w:cs="Times New Roman"/>
          <w:sz w:val="32"/>
          <w:szCs w:val="32"/>
          <w:shd w:val="clear" w:color="auto" w:fill="FFFFFF"/>
          <w:lang w:eastAsia="zh-CN"/>
        </w:rPr>
        <w:t>城口县葛城街道办事处，</w:t>
      </w:r>
      <w:r>
        <w:rPr>
          <w:rFonts w:hint="default" w:ascii="Times New Roman" w:hAnsi="Times New Roman" w:eastAsia="方正仿宋_GBK" w:cs="Times New Roman"/>
          <w:sz w:val="32"/>
          <w:szCs w:val="32"/>
          <w:shd w:val="clear" w:color="auto" w:fill="FFFFFF"/>
          <w:lang w:val="en-US" w:eastAsia="zh-CN"/>
        </w:rPr>
        <w:t>联系方式：023-59222208。</w:t>
      </w:r>
    </w:p>
    <w:p>
      <w:pPr>
        <w:rPr>
          <w:rFonts w:hint="default" w:ascii="Times New Roman" w:hAnsi="Times New Roman" w:cs="Times New Roman"/>
          <w:sz w:val="32"/>
          <w:szCs w:val="32"/>
        </w:rPr>
      </w:pP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default"/>
      </w:rPr>
    </w:pPr>
    <w:r>
      <w:rPr>
        <w:rFonts w:hint="default"/>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3"/>
                      <w:rPr>
                        <w:rFonts w:hint="default"/>
                      </w:rPr>
                    </w:pPr>
                    <w:r>
                      <w:fldChar w:fldCharType="begin"/>
                    </w:r>
                    <w:r>
                      <w:instrText xml:space="preserve"> PAGE  \* MERGEFORMAT </w:instrText>
                    </w:r>
                    <w:r>
                      <w:fldChar w:fldCharType="separate"/>
                    </w:r>
                    <w:r>
                      <w:rPr>
                        <w:rFonts w:hint="default"/>
                      </w:rPr>
                      <w:t>- 21 -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both"/>
      <w:rPr>
        <w:rFonts w:hint="default"/>
      </w:rPr>
    </w:pPr>
    <w:r>
      <w:rPr>
        <w:rFonts w:hint="default"/>
      </w:rPr>
      <mc:AlternateContent>
        <mc:Choice Requires="wps">
          <w:drawing>
            <wp:anchor distT="0" distB="0" distL="114300" distR="114300" simplePos="0" relativeHeight="251660288" behindDoc="0" locked="0" layoutInCell="1" allowOverlap="0">
              <wp:simplePos x="0" y="0"/>
              <wp:positionH relativeFrom="margin">
                <wp:align>center</wp:align>
              </wp:positionH>
              <wp:positionV relativeFrom="paragraph">
                <wp:posOffset>0</wp:posOffset>
              </wp:positionV>
              <wp:extent cx="1828800" cy="1828800"/>
              <wp:effectExtent l="0" t="0" r="0" b="0"/>
              <wp:wrapNone/>
              <wp:docPr id="127" name="文本框 1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sPgxiRcCAAAZBAAADgAAAAAA&#10;AAABACAAAAAfAQAAZHJzL2Uyb0RvYy54bWxQSwUGAAAAAAYABgBZAQAAqAUAAAAA&#10;">
              <v:fill on="f" focussize="0,0"/>
              <v:stroke on="f" weight="0.5pt"/>
              <v:imagedata o:title=""/>
              <o:lock v:ext="edit" aspectratio="f"/>
              <v:textbox inset="0mm,0mm,0mm,0mm" style="mso-fit-shape-to-text:t;">
                <w:txbxContent>
                  <w:p>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1"/>
                    <wps:spPr>
                      <a:xfrm>
                        <a:off x="0" y="0"/>
                        <a:ext cx="1828800" cy="220980"/>
                      </a:xfrm>
                      <a:prstGeom prst="rect">
                        <a:avLst/>
                      </a:prstGeom>
                      <a:noFill/>
                      <a:ln w="6350">
                        <a:noFill/>
                      </a:ln>
                      <a:effectLst/>
                    </wps:spPr>
                    <wps:txbx>
                      <w:txbxContent>
                        <w:p>
                          <w:pPr>
                            <w:pStyle w:val="3"/>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eA1UVNgAAAAKAQAA&#10;DwAAAAAAAAABACAAAAAiAAAAZHJzL2Rvd25yZXYueG1sUEsBAhQAFAAAAAgAh07iQG8zbR0ZAgAA&#10;GAQAAA4AAAAAAAAAAQAgAAAAJwEAAGRycy9lMm9Eb2MueG1sUEsFBgAAAAAGAAYAWQEAALIFAAAA&#10;AA==&#10;">
              <v:fill on="f" focussize="0,0"/>
              <v:stroke on="f" weight="0.5pt"/>
              <v:imagedata o:title=""/>
              <o:lock v:ext="edit" aspectratio="f"/>
              <v:textbox inset="0mm,0mm,0mm,0mm">
                <w:txbxContent>
                  <w:p>
                    <w:pPr>
                      <w:pStyle w:val="3"/>
                      <w:jc w:val="both"/>
                      <w:rPr>
                        <w:rFonts w:hint="default" w:cs="宋体"/>
                      </w:rPr>
                    </w:pPr>
                    <w:r>
                      <w:rPr>
                        <w:rFonts w:cs="宋体"/>
                      </w:rPr>
                      <w:t>— 27.1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F3521E"/>
    <w:rsid w:val="03077B2E"/>
    <w:rsid w:val="03B87EA0"/>
    <w:rsid w:val="03E3214F"/>
    <w:rsid w:val="044C50BA"/>
    <w:rsid w:val="05BC6D49"/>
    <w:rsid w:val="06194FF1"/>
    <w:rsid w:val="069A489D"/>
    <w:rsid w:val="06A2550B"/>
    <w:rsid w:val="06B31921"/>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CF41F3C"/>
    <w:rsid w:val="0D1C09DF"/>
    <w:rsid w:val="0D673E11"/>
    <w:rsid w:val="0DDA54E4"/>
    <w:rsid w:val="0E084ABF"/>
    <w:rsid w:val="0E3A5F83"/>
    <w:rsid w:val="0E74421A"/>
    <w:rsid w:val="0EA46639"/>
    <w:rsid w:val="0EC6180C"/>
    <w:rsid w:val="0F497FB6"/>
    <w:rsid w:val="0F836721"/>
    <w:rsid w:val="0FA25D96"/>
    <w:rsid w:val="107B59E5"/>
    <w:rsid w:val="10EC0126"/>
    <w:rsid w:val="10F70B9A"/>
    <w:rsid w:val="111445C7"/>
    <w:rsid w:val="114278C6"/>
    <w:rsid w:val="1158083A"/>
    <w:rsid w:val="11643A4B"/>
    <w:rsid w:val="11ED0F98"/>
    <w:rsid w:val="11F03528"/>
    <w:rsid w:val="122C0291"/>
    <w:rsid w:val="12C921C4"/>
    <w:rsid w:val="12F52ECF"/>
    <w:rsid w:val="13871C70"/>
    <w:rsid w:val="13892B0F"/>
    <w:rsid w:val="13A71CB4"/>
    <w:rsid w:val="13AF1D43"/>
    <w:rsid w:val="13CE1647"/>
    <w:rsid w:val="13DA0C25"/>
    <w:rsid w:val="13FD55AB"/>
    <w:rsid w:val="14200702"/>
    <w:rsid w:val="14907817"/>
    <w:rsid w:val="154B777F"/>
    <w:rsid w:val="15D15531"/>
    <w:rsid w:val="163A6CEE"/>
    <w:rsid w:val="173708E3"/>
    <w:rsid w:val="174C19C7"/>
    <w:rsid w:val="17C374FC"/>
    <w:rsid w:val="189079DC"/>
    <w:rsid w:val="189B0D0B"/>
    <w:rsid w:val="18B43F7C"/>
    <w:rsid w:val="194A1770"/>
    <w:rsid w:val="19B906A4"/>
    <w:rsid w:val="19FB026E"/>
    <w:rsid w:val="1B6F15B6"/>
    <w:rsid w:val="1BAA2EDC"/>
    <w:rsid w:val="1C5C0973"/>
    <w:rsid w:val="1CA55E64"/>
    <w:rsid w:val="1D014A01"/>
    <w:rsid w:val="1D022362"/>
    <w:rsid w:val="1D1B04B0"/>
    <w:rsid w:val="1D6534C4"/>
    <w:rsid w:val="1DBD6767"/>
    <w:rsid w:val="1DC52125"/>
    <w:rsid w:val="1DD26311"/>
    <w:rsid w:val="1E374ACB"/>
    <w:rsid w:val="1E5E27E3"/>
    <w:rsid w:val="1EA33588"/>
    <w:rsid w:val="1EB57761"/>
    <w:rsid w:val="1ECF0A66"/>
    <w:rsid w:val="1EF67CA4"/>
    <w:rsid w:val="1F020D3A"/>
    <w:rsid w:val="1F2C5189"/>
    <w:rsid w:val="1F4B0B02"/>
    <w:rsid w:val="1FBB35CD"/>
    <w:rsid w:val="1FCD26AF"/>
    <w:rsid w:val="20642787"/>
    <w:rsid w:val="20F4064E"/>
    <w:rsid w:val="21456138"/>
    <w:rsid w:val="21556F04"/>
    <w:rsid w:val="21DA233F"/>
    <w:rsid w:val="22403BD3"/>
    <w:rsid w:val="23DA37D9"/>
    <w:rsid w:val="24B92327"/>
    <w:rsid w:val="24C14514"/>
    <w:rsid w:val="2533755C"/>
    <w:rsid w:val="25791755"/>
    <w:rsid w:val="26396DF4"/>
    <w:rsid w:val="26892D34"/>
    <w:rsid w:val="27167136"/>
    <w:rsid w:val="27B23302"/>
    <w:rsid w:val="29310A5F"/>
    <w:rsid w:val="29C37A35"/>
    <w:rsid w:val="2A076083"/>
    <w:rsid w:val="2A73162E"/>
    <w:rsid w:val="2A751F0B"/>
    <w:rsid w:val="2B167953"/>
    <w:rsid w:val="2B200583"/>
    <w:rsid w:val="2B220436"/>
    <w:rsid w:val="2B8209DE"/>
    <w:rsid w:val="2C6762A3"/>
    <w:rsid w:val="2EBF7B3E"/>
    <w:rsid w:val="2EDE1934"/>
    <w:rsid w:val="2FCA4B37"/>
    <w:rsid w:val="2FE029D7"/>
    <w:rsid w:val="2FF06E00"/>
    <w:rsid w:val="30562E26"/>
    <w:rsid w:val="30586FEC"/>
    <w:rsid w:val="30945406"/>
    <w:rsid w:val="30EC7046"/>
    <w:rsid w:val="31341BE7"/>
    <w:rsid w:val="315F0B22"/>
    <w:rsid w:val="319D022C"/>
    <w:rsid w:val="31C90022"/>
    <w:rsid w:val="31D84415"/>
    <w:rsid w:val="32285F6F"/>
    <w:rsid w:val="32770556"/>
    <w:rsid w:val="329C0913"/>
    <w:rsid w:val="32AA0460"/>
    <w:rsid w:val="3337290D"/>
    <w:rsid w:val="33E31118"/>
    <w:rsid w:val="33EF7674"/>
    <w:rsid w:val="342D7BC6"/>
    <w:rsid w:val="34475F39"/>
    <w:rsid w:val="352930DB"/>
    <w:rsid w:val="35573069"/>
    <w:rsid w:val="355F6038"/>
    <w:rsid w:val="358C217E"/>
    <w:rsid w:val="35937598"/>
    <w:rsid w:val="36C9128A"/>
    <w:rsid w:val="372E3953"/>
    <w:rsid w:val="37841E99"/>
    <w:rsid w:val="37BF1123"/>
    <w:rsid w:val="383C3F15"/>
    <w:rsid w:val="38BE4696"/>
    <w:rsid w:val="3939115E"/>
    <w:rsid w:val="39B82A39"/>
    <w:rsid w:val="39C42CA8"/>
    <w:rsid w:val="39DC4FD6"/>
    <w:rsid w:val="39F03D7A"/>
    <w:rsid w:val="39F33306"/>
    <w:rsid w:val="3A2C1C67"/>
    <w:rsid w:val="3B1705E5"/>
    <w:rsid w:val="3B18334B"/>
    <w:rsid w:val="3B36794F"/>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D54604"/>
    <w:rsid w:val="411B6CE5"/>
    <w:rsid w:val="412070D7"/>
    <w:rsid w:val="41314E40"/>
    <w:rsid w:val="41E0734B"/>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E36915"/>
    <w:rsid w:val="495C4A24"/>
    <w:rsid w:val="497135DF"/>
    <w:rsid w:val="4A1605D9"/>
    <w:rsid w:val="4A161693"/>
    <w:rsid w:val="4A263DF2"/>
    <w:rsid w:val="4A6F6675"/>
    <w:rsid w:val="4ABF0746"/>
    <w:rsid w:val="4B0502DF"/>
    <w:rsid w:val="4B135857"/>
    <w:rsid w:val="4B7951CB"/>
    <w:rsid w:val="4B7C315C"/>
    <w:rsid w:val="4CCF773C"/>
    <w:rsid w:val="4DAC4ACA"/>
    <w:rsid w:val="4DBE01D2"/>
    <w:rsid w:val="4EC92552"/>
    <w:rsid w:val="4EFC6D10"/>
    <w:rsid w:val="4F0C6BA3"/>
    <w:rsid w:val="4F10477D"/>
    <w:rsid w:val="4F186D58"/>
    <w:rsid w:val="4FEA65B7"/>
    <w:rsid w:val="5042146E"/>
    <w:rsid w:val="50F06B6E"/>
    <w:rsid w:val="52234D33"/>
    <w:rsid w:val="52261ABA"/>
    <w:rsid w:val="522F6E0C"/>
    <w:rsid w:val="52463BA1"/>
    <w:rsid w:val="5298794F"/>
    <w:rsid w:val="52F163D4"/>
    <w:rsid w:val="531A2DB4"/>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D134D8"/>
    <w:rsid w:val="5B0E33DD"/>
    <w:rsid w:val="5B2F4F96"/>
    <w:rsid w:val="5B6503B1"/>
    <w:rsid w:val="5C0F7EC4"/>
    <w:rsid w:val="5C263CE4"/>
    <w:rsid w:val="5C5D2777"/>
    <w:rsid w:val="5CF66BF3"/>
    <w:rsid w:val="5D290C69"/>
    <w:rsid w:val="5F2D4A41"/>
    <w:rsid w:val="5F432492"/>
    <w:rsid w:val="60C74F6C"/>
    <w:rsid w:val="61025A59"/>
    <w:rsid w:val="613D5BBC"/>
    <w:rsid w:val="61536C39"/>
    <w:rsid w:val="61E64F4A"/>
    <w:rsid w:val="623E0993"/>
    <w:rsid w:val="62944DD7"/>
    <w:rsid w:val="6319381F"/>
    <w:rsid w:val="63236436"/>
    <w:rsid w:val="63C25DC5"/>
    <w:rsid w:val="63C62057"/>
    <w:rsid w:val="64571EF5"/>
    <w:rsid w:val="64CB0157"/>
    <w:rsid w:val="64FB113D"/>
    <w:rsid w:val="65036946"/>
    <w:rsid w:val="654A25FE"/>
    <w:rsid w:val="656152C6"/>
    <w:rsid w:val="6587477F"/>
    <w:rsid w:val="658C3A08"/>
    <w:rsid w:val="65C031CA"/>
    <w:rsid w:val="65CE6852"/>
    <w:rsid w:val="66267C04"/>
    <w:rsid w:val="663F505A"/>
    <w:rsid w:val="66967186"/>
    <w:rsid w:val="66EE5541"/>
    <w:rsid w:val="67924660"/>
    <w:rsid w:val="683200C2"/>
    <w:rsid w:val="68407834"/>
    <w:rsid w:val="6883293E"/>
    <w:rsid w:val="688412AD"/>
    <w:rsid w:val="68DC38E5"/>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1118C4"/>
    <w:rsid w:val="71C34D91"/>
    <w:rsid w:val="72DB435C"/>
    <w:rsid w:val="72E2613A"/>
    <w:rsid w:val="72F771F4"/>
    <w:rsid w:val="734150D5"/>
    <w:rsid w:val="736650B0"/>
    <w:rsid w:val="73934AD2"/>
    <w:rsid w:val="750837F0"/>
    <w:rsid w:val="754758CF"/>
    <w:rsid w:val="761275E6"/>
    <w:rsid w:val="764F62AB"/>
    <w:rsid w:val="765C45EC"/>
    <w:rsid w:val="768A7619"/>
    <w:rsid w:val="76AA36E6"/>
    <w:rsid w:val="772E1EBA"/>
    <w:rsid w:val="77303AE2"/>
    <w:rsid w:val="77EB79F7"/>
    <w:rsid w:val="796D60A4"/>
    <w:rsid w:val="79A031D5"/>
    <w:rsid w:val="7A1525F7"/>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3933</Words>
  <Characters>22421</Characters>
  <Lines>186</Lines>
  <Paragraphs>52</Paragraphs>
  <TotalTime>33</TotalTime>
  <ScaleCrop>false</ScaleCrop>
  <LinksUpToDate>false</LinksUpToDate>
  <CharactersWithSpaces>26302</CharactersWithSpaces>
  <Application>WPS Office_11.1.0.9564_F1E327BC-269C-435d-A152-05C5408002CA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Administrator</cp:lastModifiedBy>
  <dcterms:modified xsi:type="dcterms:W3CDTF">2025-11-12T06:23:52Z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2052-11.1.0.9564</vt:lpwstr>
  </property>
  <property fmtid="{D5CDD505-2E9C-101B-9397-08002B2CF9AE}" pid="3" name="ICV">
    <vt:lpwstr>BB46EABDBB2749749395447164B066B3_12</vt:lpwstr>
  </property>
</Properties>
</file>