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jc w:val="left"/>
        <w:textAlignment w:val="auto"/>
        <w:rPr>
          <w:rFonts w:hint="default" w:ascii="Times New Roman" w:hAnsi="Times New Roman" w:eastAsia="方正小标宋_GBK" w:cs="Times New Roman"/>
          <w:b w:val="0"/>
          <w:bCs w:val="0"/>
          <w:sz w:val="36"/>
          <w:szCs w:val="36"/>
          <w:lang w:eastAsia="zh-CN"/>
        </w:rPr>
      </w:pPr>
      <w:r>
        <w:rPr>
          <w:rFonts w:hint="default" w:ascii="Times New Roman" w:hAnsi="Times New Roman" w:eastAsia="方正小标宋_GBK" w:cs="Times New Roman"/>
          <w:b w:val="0"/>
          <w:bCs w:val="0"/>
          <w:sz w:val="36"/>
          <w:szCs w:val="36"/>
          <w:lang w:eastAsia="zh-CN"/>
        </w:rPr>
        <w:t>本部门及下属单位公开内容真实、准确、完整，不存在意识形态问题。</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720" w:firstLineChars="200"/>
        <w:jc w:val="left"/>
        <w:textAlignment w:val="auto"/>
        <w:rPr>
          <w:rFonts w:hint="default" w:ascii="Times New Roman" w:hAnsi="Times New Roman" w:eastAsia="方正小标宋_GBK" w:cs="Times New Roman"/>
          <w:b w:val="0"/>
          <w:bCs w:val="0"/>
          <w:sz w:val="36"/>
          <w:szCs w:val="36"/>
          <w:lang w:val="en-US" w:eastAsia="zh-CN"/>
        </w:rPr>
      </w:pPr>
      <w:r>
        <w:rPr>
          <w:rFonts w:hint="default" w:ascii="Times New Roman" w:hAnsi="Times New Roman" w:eastAsia="方正小标宋_GBK" w:cs="Times New Roman"/>
          <w:b w:val="0"/>
          <w:bCs w:val="0"/>
          <w:sz w:val="36"/>
          <w:szCs w:val="36"/>
          <w:lang w:eastAsia="zh-CN"/>
        </w:rPr>
        <w:t>经办人：朱天敏</w:t>
      </w:r>
      <w:r>
        <w:rPr>
          <w:rFonts w:hint="default" w:ascii="Times New Roman" w:hAnsi="Times New Roman" w:eastAsia="方正小标宋_GBK" w:cs="Times New Roman"/>
          <w:b w:val="0"/>
          <w:bCs w:val="0"/>
          <w:sz w:val="36"/>
          <w:szCs w:val="36"/>
          <w:lang w:val="en-US" w:eastAsia="zh-CN"/>
        </w:rPr>
        <w:t xml:space="preserve">           单位负责人：李健</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0" w:firstLineChars="0"/>
        <w:jc w:val="center"/>
        <w:textAlignment w:val="auto"/>
        <w:rPr>
          <w:rFonts w:hint="default" w:ascii="Times New Roman" w:hAnsi="Times New Roman" w:eastAsia="方正小标宋_GBK" w:cs="Times New Roman"/>
          <w:b w:val="0"/>
          <w:bCs w:val="0"/>
          <w:sz w:val="36"/>
          <w:szCs w:val="36"/>
          <w:lang w:val="en-US" w:eastAsia="zh-CN"/>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0" w:firstLineChars="0"/>
        <w:jc w:val="center"/>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重庆市城口县葛城街道办事处（本级）</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0" w:firstLineChars="0"/>
        <w:jc w:val="center"/>
        <w:textAlignment w:val="auto"/>
        <w:rPr>
          <w:rFonts w:hint="default" w:ascii="Times New Roman" w:hAnsi="Times New Roman" w:cs="Times New Roman"/>
          <w:sz w:val="27"/>
          <w:szCs w:val="27"/>
          <w:shd w:val="clear" w:color="auto" w:fill="FFFF00"/>
        </w:rPr>
      </w:pPr>
      <w:r>
        <w:rPr>
          <w:rFonts w:hint="default" w:ascii="Times New Roman" w:hAnsi="Times New Roman" w:eastAsia="方正小标宋_GBK" w:cs="Times New Roman"/>
          <w:b w:val="0"/>
          <w:bCs w:val="0"/>
          <w:sz w:val="44"/>
          <w:szCs w:val="44"/>
          <w:shd w:val="clear" w:color="auto" w:fill="FFFFFF"/>
        </w:rPr>
        <w:t>2024年度决算公开说明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0" w:lineRule="exact"/>
        <w:ind w:firstLine="643" w:firstLineChars="200"/>
        <w:jc w:val="both"/>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一、</w:t>
      </w:r>
      <w:r>
        <w:rPr>
          <w:rStyle w:val="10"/>
          <w:rFonts w:hint="default" w:ascii="Times New Roman" w:hAnsi="Times New Roman" w:eastAsia="黑体" w:cs="Times New Roman"/>
          <w:sz w:val="32"/>
          <w:szCs w:val="32"/>
          <w:shd w:val="clear" w:color="auto" w:fill="FFFFFF"/>
          <w:lang w:eastAsia="zh-CN"/>
        </w:rPr>
        <w:t>部门</w:t>
      </w:r>
      <w:r>
        <w:rPr>
          <w:rStyle w:val="10"/>
          <w:rFonts w:hint="default" w:ascii="Times New Roman" w:hAnsi="Times New Roman" w:eastAsia="黑体" w:cs="Times New Roman"/>
          <w:sz w:val="32"/>
          <w:szCs w:val="32"/>
          <w:shd w:val="clear" w:color="auto" w:fill="FFFFFF"/>
        </w:rPr>
        <w:t>基本情况</w:t>
      </w:r>
    </w:p>
    <w:p>
      <w:pPr>
        <w:pStyle w:val="6"/>
        <w:keepNext w:val="0"/>
        <w:keepLines w:val="0"/>
        <w:pageBreakBefore w:val="0"/>
        <w:widowControl/>
        <w:shd w:val="clear" w:color="auto" w:fill="FFFFFF"/>
        <w:kinsoku/>
        <w:wordWrap/>
        <w:overflowPunct/>
        <w:topLinePunct w:val="0"/>
        <w:autoSpaceDN/>
        <w:bidi w:val="0"/>
        <w:adjustRightInd/>
        <w:spacing w:beforeAutospacing="0" w:afterAutospacing="0" w:line="570"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（一）职能职责</w:t>
      </w:r>
    </w:p>
    <w:p>
      <w:pPr>
        <w:pStyle w:val="6"/>
        <w:keepNext w:val="0"/>
        <w:keepLines w:val="0"/>
        <w:pageBreakBefore w:val="0"/>
        <w:widowControl/>
        <w:shd w:val="clear" w:color="auto" w:fill="FFFFFF"/>
        <w:kinsoku/>
        <w:wordWrap/>
        <w:overflowPunct/>
        <w:topLinePunct w:val="0"/>
        <w:autoSpaceDN/>
        <w:bidi w:val="0"/>
        <w:adjustRightInd/>
        <w:spacing w:beforeAutospacing="0" w:afterAutospacing="0" w:line="570"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default" w:ascii="Times New Roman" w:hAnsi="Times New Roman" w:eastAsia="方正仿宋_GBK" w:cs="Times New Roman"/>
          <w:color w:val="auto"/>
          <w:sz w:val="32"/>
          <w:szCs w:val="32"/>
          <w:highlight w:val="none"/>
          <w:shd w:val="clear" w:color="auto" w:fill="FFFFFF"/>
        </w:rPr>
        <w:t>城口县</w:t>
      </w:r>
      <w:r>
        <w:rPr>
          <w:rFonts w:hint="default" w:ascii="Times New Roman" w:hAnsi="Times New Roman" w:eastAsia="方正仿宋_GBK" w:cs="Times New Roman"/>
          <w:color w:val="auto"/>
          <w:sz w:val="32"/>
          <w:szCs w:val="32"/>
          <w:highlight w:val="none"/>
          <w:shd w:val="clear" w:color="auto" w:fill="FFFFFF"/>
          <w:lang w:eastAsia="zh-CN"/>
        </w:rPr>
        <w:t>葛城街道</w:t>
      </w:r>
      <w:r>
        <w:rPr>
          <w:rFonts w:hint="default" w:ascii="Times New Roman" w:hAnsi="Times New Roman" w:eastAsia="方正仿宋_GBK" w:cs="Times New Roman"/>
          <w:color w:val="auto"/>
          <w:sz w:val="32"/>
          <w:szCs w:val="32"/>
          <w:highlight w:val="none"/>
          <w:shd w:val="clear" w:color="auto" w:fill="FFFFFF"/>
        </w:rPr>
        <w:t>办事处是城口县委、县政府领导下的一个行政部门，负责全面规划和组织实施我辖区各项行政事业的发展。</w:t>
      </w:r>
      <w:r>
        <w:rPr>
          <w:rFonts w:hint="default" w:ascii="Times New Roman" w:hAnsi="Times New Roman" w:eastAsia="方正仿宋_GBK" w:cs="Times New Roman"/>
          <w:color w:val="auto"/>
          <w:sz w:val="32"/>
          <w:szCs w:val="32"/>
          <w:highlight w:val="none"/>
          <w:shd w:val="clear" w:color="auto" w:fill="FFFFFF"/>
          <w:lang w:eastAsia="zh-CN"/>
        </w:rPr>
        <w:t>葛城</w:t>
      </w:r>
      <w:r>
        <w:rPr>
          <w:rFonts w:hint="default" w:ascii="Times New Roman" w:hAnsi="Times New Roman" w:eastAsia="方正仿宋_GBK" w:cs="Times New Roman"/>
          <w:color w:val="auto"/>
          <w:sz w:val="32"/>
          <w:szCs w:val="32"/>
          <w:highlight w:val="none"/>
          <w:shd w:val="clear" w:color="auto" w:fill="FFFFFF"/>
        </w:rPr>
        <w:t>街道办事处作为一级基层独立核算的全额拨款预算单位，它具有领导、管理、执行、决策、协调、服务等职能，肩负着党在农村的方针政策和组织、推动各项工作的任务。</w:t>
      </w:r>
    </w:p>
    <w:p>
      <w:pPr>
        <w:pStyle w:val="6"/>
        <w:keepNext w:val="0"/>
        <w:keepLines w:val="0"/>
        <w:pageBreakBefore w:val="0"/>
        <w:widowControl/>
        <w:shd w:val="clear" w:color="auto" w:fill="FFFFFF"/>
        <w:kinsoku/>
        <w:wordWrap/>
        <w:overflowPunct/>
        <w:topLinePunct w:val="0"/>
        <w:autoSpaceDN/>
        <w:bidi w:val="0"/>
        <w:adjustRightInd/>
        <w:spacing w:beforeAutospacing="0" w:afterAutospacing="0" w:line="570" w:lineRule="exact"/>
        <w:ind w:firstLine="643" w:firstLineChars="200"/>
        <w:jc w:val="both"/>
        <w:rPr>
          <w:rFonts w:hint="default" w:ascii="Times New Roman" w:hAnsi="Times New Roman" w:eastAsia="楷体" w:cs="Times New Roman"/>
          <w:sz w:val="32"/>
          <w:szCs w:val="32"/>
        </w:rPr>
      </w:pPr>
      <w:r>
        <w:rPr>
          <w:rStyle w:val="10"/>
          <w:rFonts w:hint="default" w:ascii="Times New Roman" w:hAnsi="Times New Roman" w:eastAsia="楷体" w:cs="Times New Roman"/>
          <w:sz w:val="32"/>
          <w:szCs w:val="32"/>
          <w:shd w:val="clear" w:color="auto" w:fill="FFFFFF"/>
        </w:rPr>
        <w:t>（二）机构设置</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lang w:val="en-US" w:eastAsia="zh-CN"/>
        </w:rPr>
        <w:t>机构设置情况：</w:t>
      </w:r>
      <w:r>
        <w:rPr>
          <w:rFonts w:hint="default" w:ascii="Times New Roman" w:hAnsi="Times New Roman" w:eastAsia="方正仿宋_GBK" w:cs="Times New Roman"/>
          <w:color w:val="auto"/>
          <w:sz w:val="32"/>
          <w:szCs w:val="32"/>
          <w:shd w:val="clear" w:color="auto" w:fill="FFFFFF"/>
        </w:rPr>
        <w:t>基层治理综合指挥室。党的建设办公室。经济发展办公室。民生服务办公室。平安法治办公室。</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0" w:lineRule="exact"/>
        <w:ind w:firstLine="643" w:firstLineChars="200"/>
        <w:jc w:val="both"/>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二、</w:t>
      </w:r>
      <w:r>
        <w:rPr>
          <w:rStyle w:val="10"/>
          <w:rFonts w:hint="default" w:ascii="Times New Roman" w:hAnsi="Times New Roman" w:eastAsia="黑体" w:cs="Times New Roman"/>
          <w:sz w:val="32"/>
          <w:szCs w:val="32"/>
          <w:shd w:val="clear" w:color="auto" w:fill="FFFFFF"/>
          <w:lang w:eastAsia="zh-CN"/>
        </w:rPr>
        <w:t>部门</w:t>
      </w:r>
      <w:r>
        <w:rPr>
          <w:rStyle w:val="10"/>
          <w:rFonts w:hint="default" w:ascii="Times New Roman" w:hAnsi="Times New Roman" w:eastAsia="黑体" w:cs="Times New Roman"/>
          <w:sz w:val="32"/>
          <w:szCs w:val="32"/>
          <w:shd w:val="clear" w:color="auto" w:fill="FFFFFF"/>
        </w:rPr>
        <w:t>决算</w:t>
      </w:r>
      <w:r>
        <w:rPr>
          <w:rStyle w:val="10"/>
          <w:rFonts w:hint="default" w:ascii="Times New Roman" w:hAnsi="Times New Roman" w:eastAsia="黑体" w:cs="Times New Roman"/>
          <w:sz w:val="32"/>
          <w:szCs w:val="32"/>
          <w:shd w:val="clear" w:color="auto" w:fill="FFFFFF"/>
          <w:lang w:eastAsia="zh-CN"/>
        </w:rPr>
        <w:t>收支</w:t>
      </w:r>
      <w:r>
        <w:rPr>
          <w:rStyle w:val="10"/>
          <w:rFonts w:hint="default" w:ascii="Times New Roman" w:hAnsi="Times New Roman" w:eastAsia="黑体" w:cs="Times New Roman"/>
          <w:sz w:val="32"/>
          <w:szCs w:val="32"/>
          <w:shd w:val="clear" w:color="auto" w:fill="FFFFFF"/>
        </w:rPr>
        <w:t>情况说明</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570"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（一）收入支出决算总体情况说明</w:t>
      </w:r>
    </w:p>
    <w:p>
      <w:pPr>
        <w:pStyle w:val="6"/>
        <w:keepNext w:val="0"/>
        <w:keepLines w:val="0"/>
        <w:pageBreakBefore w:val="0"/>
        <w:widowControl/>
        <w:shd w:val="clear" w:color="auto" w:fill="FFFFFF"/>
        <w:kinsoku/>
        <w:wordWrap/>
        <w:overflowPunct/>
        <w:topLinePunct w:val="0"/>
        <w:autoSpaceDN/>
        <w:bidi w:val="0"/>
        <w:adjustRightInd/>
        <w:spacing w:before="0" w:beforeAutospacing="0" w:after="0" w:afterAutospacing="0" w:line="570"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2024年度收</w:t>
      </w:r>
      <w:r>
        <w:rPr>
          <w:rFonts w:hint="default" w:ascii="Times New Roman" w:hAnsi="Times New Roman" w:eastAsia="方正仿宋_GBK" w:cs="Times New Roman"/>
          <w:sz w:val="32"/>
          <w:szCs w:val="32"/>
          <w:shd w:val="clear" w:color="auto" w:fill="FFFFFF"/>
          <w:lang w:eastAsia="zh-CN"/>
        </w:rPr>
        <w:t>、支</w:t>
      </w:r>
      <w:r>
        <w:rPr>
          <w:rFonts w:hint="default" w:ascii="Times New Roman" w:hAnsi="Times New Roman" w:eastAsia="方正仿宋_GBK" w:cs="Times New Roman"/>
          <w:sz w:val="32"/>
          <w:szCs w:val="32"/>
          <w:shd w:val="clear" w:color="auto" w:fill="FFFFFF"/>
        </w:rPr>
        <w:t>总计</w:t>
      </w:r>
      <w:r>
        <w:rPr>
          <w:rFonts w:hint="default" w:ascii="Times New Roman" w:hAnsi="Times New Roman" w:eastAsia="方正仿宋_GBK" w:cs="Times New Roman"/>
          <w:sz w:val="32"/>
          <w:szCs w:val="32"/>
          <w:shd w:val="clear" w:color="auto" w:fill="FFFFFF"/>
          <w:lang w:eastAsia="zh-CN"/>
        </w:rPr>
        <w:t>均为</w:t>
      </w:r>
      <w:r>
        <w:rPr>
          <w:rFonts w:hint="default" w:ascii="Times New Roman" w:hAnsi="Times New Roman" w:eastAsia="方正仿宋_GBK" w:cs="Times New Roman"/>
          <w:sz w:val="32"/>
          <w:szCs w:val="32"/>
          <w:shd w:val="clear" w:color="auto" w:fill="FFFFFF"/>
        </w:rPr>
        <w:t>1880.80万元。收、支与2023年度相比，减少2527.48万元，下降57.3%，主要原因是</w:t>
      </w:r>
      <w:r>
        <w:rPr>
          <w:rFonts w:hint="default" w:ascii="Times New Roman" w:hAnsi="Times New Roman" w:eastAsia="方正仿宋_GBK" w:cs="Times New Roman"/>
          <w:sz w:val="32"/>
          <w:szCs w:val="32"/>
          <w:shd w:val="clear" w:color="auto" w:fill="FFFFFF"/>
          <w:lang w:val="en-US" w:eastAsia="zh-CN"/>
        </w:rPr>
        <w:t>2023年社区事务服务中心等5个事业单位在政府本级核算，2024年各个站所分开独立核算。</w:t>
      </w:r>
    </w:p>
    <w:p>
      <w:pPr>
        <w:pStyle w:val="6"/>
        <w:keepNext w:val="0"/>
        <w:keepLines w:val="0"/>
        <w:pageBreakBefore w:val="0"/>
        <w:widowControl/>
        <w:shd w:val="clear" w:color="auto" w:fill="FFFFFF"/>
        <w:kinsoku/>
        <w:wordWrap/>
        <w:overflowPunct/>
        <w:topLinePunct w:val="0"/>
        <w:autoSpaceDN/>
        <w:bidi w:val="0"/>
        <w:adjustRightInd/>
        <w:spacing w:before="0" w:beforeAutospacing="0" w:after="0" w:afterAutospacing="0" w:line="570"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lang w:val="en-US" w:eastAsia="zh-CN"/>
        </w:rPr>
        <w:t>1</w:t>
      </w:r>
      <w:r>
        <w:rPr>
          <w:rStyle w:val="10"/>
          <w:rFonts w:hint="default" w:ascii="Times New Roman" w:hAnsi="Times New Roman" w:eastAsia="方正仿宋_GBK" w:cs="Times New Roman"/>
          <w:sz w:val="32"/>
          <w:szCs w:val="32"/>
          <w:shd w:val="clear" w:color="auto" w:fill="FFFFFF"/>
        </w:rPr>
        <w:t>.收入情况。</w:t>
      </w:r>
      <w:r>
        <w:rPr>
          <w:rFonts w:hint="default" w:ascii="Times New Roman" w:hAnsi="Times New Roman" w:eastAsia="方正仿宋_GBK" w:cs="Times New Roman"/>
          <w:sz w:val="32"/>
          <w:szCs w:val="32"/>
          <w:shd w:val="clear" w:color="auto" w:fill="FFFFFF"/>
        </w:rPr>
        <w:t>2024年度收入合计1880.80万元，与2023年度相比，减少613.34万元，下降24.6%，主要原因是</w:t>
      </w:r>
      <w:r>
        <w:rPr>
          <w:rFonts w:hint="default" w:ascii="Times New Roman" w:hAnsi="Times New Roman" w:eastAsia="方正仿宋_GBK" w:cs="Times New Roman"/>
          <w:sz w:val="32"/>
          <w:szCs w:val="32"/>
          <w:shd w:val="clear" w:color="auto" w:fill="FFFFFF"/>
          <w:lang w:val="en-US" w:eastAsia="zh-CN"/>
        </w:rPr>
        <w:t>2023年社区事务服务中心等5个事业单位在政府本级核算，2024年各个站所分开独立核算。</w:t>
      </w:r>
      <w:r>
        <w:rPr>
          <w:rFonts w:hint="default" w:ascii="Times New Roman" w:hAnsi="Times New Roman" w:eastAsia="方正仿宋_GBK" w:cs="Times New Roman"/>
          <w:sz w:val="32"/>
          <w:szCs w:val="32"/>
          <w:shd w:val="clear" w:color="auto" w:fill="FFFFFF"/>
        </w:rPr>
        <w:t>其中：财政拨款收入1880.80万元，占100.0%；事业收入0.00万元，占0.0%；经营收入0.00万元，占0.0%；其他收入0.00万元，占0.0%。此外，使用非财政拨款结余（含专用结余）0.00万元，年初结转和结余0.00万元。</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lang w:val="en-US" w:eastAsia="zh-CN"/>
        </w:rPr>
        <w:t>2</w:t>
      </w:r>
      <w:r>
        <w:rPr>
          <w:rStyle w:val="10"/>
          <w:rFonts w:hint="default" w:ascii="Times New Roman" w:hAnsi="Times New Roman" w:eastAsia="方正仿宋_GBK" w:cs="Times New Roman"/>
          <w:sz w:val="32"/>
          <w:szCs w:val="32"/>
          <w:shd w:val="clear" w:color="auto" w:fill="FFFFFF"/>
        </w:rPr>
        <w:t>.支出情况。</w:t>
      </w:r>
      <w:r>
        <w:rPr>
          <w:rFonts w:hint="default" w:ascii="Times New Roman" w:hAnsi="Times New Roman" w:eastAsia="方正仿宋_GBK" w:cs="Times New Roman"/>
          <w:sz w:val="32"/>
          <w:szCs w:val="32"/>
          <w:shd w:val="clear" w:color="auto" w:fill="FFFFFF"/>
        </w:rPr>
        <w:t>2024年度支出合计1880.80万元，与2023年度相比，减少2119.72万元，下降53.0%，主要原因是</w:t>
      </w:r>
      <w:r>
        <w:rPr>
          <w:rFonts w:hint="default" w:ascii="Times New Roman" w:hAnsi="Times New Roman" w:eastAsia="方正仿宋_GBK" w:cs="Times New Roman"/>
          <w:sz w:val="32"/>
          <w:szCs w:val="32"/>
          <w:shd w:val="clear" w:color="auto" w:fill="FFFFFF"/>
          <w:lang w:val="en-US" w:eastAsia="zh-CN"/>
        </w:rPr>
        <w:t>2023年社区事务服务中心等5个事业单位在政府本级核算，2024年各个站所分开独立核算。</w:t>
      </w:r>
      <w:r>
        <w:rPr>
          <w:rFonts w:hint="default" w:ascii="Times New Roman" w:hAnsi="Times New Roman" w:eastAsia="方正仿宋_GBK" w:cs="Times New Roman"/>
          <w:sz w:val="32"/>
          <w:szCs w:val="32"/>
          <w:shd w:val="clear" w:color="auto" w:fill="FFFFFF"/>
        </w:rPr>
        <w:t>其中：基本支出774.96万元，占41.2%；项目支出1105.83万元，占58.8%；经营支出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万元，占0.0%。此外，结余分配0.00万元。</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lang w:val="en-US" w:eastAsia="zh-CN"/>
        </w:rPr>
        <w:t>3</w:t>
      </w:r>
      <w:r>
        <w:rPr>
          <w:rStyle w:val="10"/>
          <w:rFonts w:hint="default" w:ascii="Times New Roman" w:hAnsi="Times New Roman" w:eastAsia="方正仿宋_GBK" w:cs="Times New Roman"/>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2024年度年末结转和结余0.00万元，与2023年度相比，减少407.76万元，下降100.0%，主要原因是</w:t>
      </w:r>
      <w:r>
        <w:rPr>
          <w:rFonts w:hint="default" w:ascii="Times New Roman" w:hAnsi="Times New Roman" w:eastAsia="方正仿宋_GBK" w:cs="Times New Roman"/>
          <w:sz w:val="32"/>
          <w:szCs w:val="32"/>
          <w:shd w:val="clear" w:color="auto" w:fill="FFFFFF"/>
          <w:lang w:val="en-US" w:eastAsia="zh-CN"/>
        </w:rPr>
        <w:t>2024年代管资金未纳入决算。</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570"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（二）财政拨款收入支出决算总体情况说明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2024年度财政拨款收、支总计均为1880.80万元。与2023年</w:t>
      </w:r>
      <w:r>
        <w:rPr>
          <w:rFonts w:hint="default" w:ascii="Times New Roman" w:hAnsi="Times New Roman" w:eastAsia="方正仿宋_GBK" w:cs="Times New Roman"/>
          <w:sz w:val="32"/>
          <w:szCs w:val="32"/>
          <w:shd w:val="clear" w:color="auto" w:fill="FFFFFF"/>
          <w:lang w:eastAsia="zh-CN"/>
        </w:rPr>
        <w:t>度</w:t>
      </w:r>
      <w:r>
        <w:rPr>
          <w:rFonts w:hint="default" w:ascii="Times New Roman" w:hAnsi="Times New Roman" w:eastAsia="方正仿宋_GBK" w:cs="Times New Roman"/>
          <w:sz w:val="32"/>
          <w:szCs w:val="32"/>
          <w:shd w:val="clear" w:color="auto" w:fill="FFFFFF"/>
        </w:rPr>
        <w:t>相比，财政拨款收、支总计各减少553.34万元，下降22.7%。主要原因是</w:t>
      </w:r>
      <w:r>
        <w:rPr>
          <w:rFonts w:hint="default" w:ascii="Times New Roman" w:hAnsi="Times New Roman" w:eastAsia="方正仿宋_GBK" w:cs="Times New Roman"/>
          <w:sz w:val="32"/>
          <w:szCs w:val="32"/>
          <w:shd w:val="clear" w:color="auto" w:fill="FFFFFF"/>
          <w:lang w:val="en-US" w:eastAsia="zh-CN"/>
        </w:rPr>
        <w:t>2023年社区事务服务中心等5个事业单位在政府本级核算，2024年各个站所分开独立核算。</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570"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（三）一般公共预算财政拨款收入支出决算情况说明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2024年度一般公共预算财政拨款收入1873.61万元，与2023年度相比，减少546.03万元，下降22.6%。主要原因是</w:t>
      </w:r>
      <w:r>
        <w:rPr>
          <w:rFonts w:hint="default" w:ascii="Times New Roman" w:hAnsi="Times New Roman" w:eastAsia="方正仿宋_GBK" w:cs="Times New Roman"/>
          <w:sz w:val="32"/>
          <w:szCs w:val="32"/>
          <w:shd w:val="clear" w:color="auto" w:fill="FFFFFF"/>
          <w:lang w:val="en-US" w:eastAsia="zh-CN"/>
        </w:rPr>
        <w:t>2023年社区事务服务中心等5个事业单位在政府本级核算，2024年各个站所分开独立核算。</w:t>
      </w:r>
      <w:r>
        <w:rPr>
          <w:rFonts w:hint="default" w:ascii="Times New Roman" w:hAnsi="Times New Roman" w:eastAsia="方正仿宋_GBK" w:cs="Times New Roman"/>
          <w:sz w:val="32"/>
          <w:szCs w:val="32"/>
          <w:shd w:val="clear" w:color="auto" w:fill="FFFFFF"/>
        </w:rPr>
        <w:t>较年初预算数增加44.13万元，增长2.4%。主要原因是</w:t>
      </w:r>
      <w:r>
        <w:rPr>
          <w:rFonts w:hint="default" w:ascii="Times New Roman" w:hAnsi="Times New Roman" w:eastAsia="方正仿宋_GBK" w:cs="Times New Roman"/>
          <w:sz w:val="32"/>
          <w:szCs w:val="32"/>
          <w:shd w:val="clear" w:color="auto" w:fill="FFFFFF"/>
          <w:lang w:val="en-US" w:eastAsia="zh-CN"/>
        </w:rPr>
        <w:t>2024年编制了人员运转补助经费。</w:t>
      </w:r>
      <w:r>
        <w:rPr>
          <w:rFonts w:hint="default" w:ascii="Times New Roman" w:hAnsi="Times New Roman" w:eastAsia="方正仿宋_GBK" w:cs="Times New Roman"/>
          <w:sz w:val="32"/>
          <w:szCs w:val="32"/>
          <w:shd w:val="clear" w:color="auto" w:fill="FFFFFF"/>
        </w:rPr>
        <w:t>此外，年初财政拨款结转和结余0.00万元。</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3" w:firstLineChars="200"/>
        <w:jc w:val="both"/>
        <w:rPr>
          <w:rFonts w:hint="default" w:ascii="Times New Roman" w:hAnsi="Times New Roman" w:eastAsia="方正仿宋_GBK" w:cs="Times New Roman"/>
          <w:color w:val="FF0000"/>
          <w:sz w:val="32"/>
          <w:szCs w:val="32"/>
          <w:shd w:val="clear" w:color="auto" w:fill="FFFFFF"/>
        </w:rPr>
      </w:pPr>
      <w:r>
        <w:rPr>
          <w:rStyle w:val="10"/>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rPr>
        <w:t>2024年度一般公共预算财政拨款支出1873.61万元，与2023年度相比，减少546.03万元，下降22.6%。主要原因是</w:t>
      </w:r>
      <w:r>
        <w:rPr>
          <w:rFonts w:hint="default" w:ascii="Times New Roman" w:hAnsi="Times New Roman" w:eastAsia="方正仿宋_GBK" w:cs="Times New Roman"/>
          <w:sz w:val="32"/>
          <w:szCs w:val="32"/>
          <w:shd w:val="clear" w:color="auto" w:fill="FFFFFF"/>
          <w:lang w:val="en-US" w:eastAsia="zh-CN"/>
        </w:rPr>
        <w:t>2023年社区事务服务中心等5个事业单位在政府本级核算，2024年各个站所分开独立核算。</w:t>
      </w:r>
      <w:r>
        <w:rPr>
          <w:rFonts w:hint="default" w:ascii="Times New Roman" w:hAnsi="Times New Roman" w:eastAsia="方正仿宋_GBK" w:cs="Times New Roman"/>
          <w:sz w:val="32"/>
          <w:szCs w:val="32"/>
          <w:shd w:val="clear" w:color="auto" w:fill="FFFFFF"/>
        </w:rPr>
        <w:t>较年初预算数增加44.13万元，增长2.4%。主要原因是</w:t>
      </w:r>
      <w:r>
        <w:rPr>
          <w:rFonts w:hint="default" w:ascii="Times New Roman" w:hAnsi="Times New Roman" w:eastAsia="方正仿宋_GBK" w:cs="Times New Roman"/>
          <w:sz w:val="32"/>
          <w:szCs w:val="32"/>
          <w:shd w:val="clear" w:color="auto" w:fill="FFFFFF"/>
          <w:lang w:val="en-US" w:eastAsia="zh-CN"/>
        </w:rPr>
        <w:t>2024年编制了人员运转补助经费。</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70" w:lineRule="exact"/>
        <w:ind w:firstLine="640" w:firstLineChars="200"/>
        <w:jc w:val="both"/>
        <w:textAlignment w:val="auto"/>
        <w:rPr>
          <w:rFonts w:hint="default" w:ascii="Times New Roman" w:hAnsi="Times New Roman" w:eastAsia="方正仿宋_GBK" w:cs="Times New Roman"/>
          <w:sz w:val="32"/>
          <w:szCs w:val="32"/>
          <w:highlight w:val="none"/>
          <w:shd w:val="clear" w:color="auto" w:fill="FFFFFF"/>
        </w:rPr>
      </w:pPr>
      <w:r>
        <w:rPr>
          <w:rFonts w:hint="default" w:ascii="Times New Roman" w:hAnsi="Times New Roman" w:eastAsia="方正仿宋_GBK" w:cs="Times New Roman"/>
          <w:sz w:val="32"/>
          <w:szCs w:val="32"/>
          <w:highlight w:val="none"/>
          <w:shd w:val="clear" w:color="auto" w:fill="FFFFFF"/>
        </w:rPr>
        <w:t>一般公共预算财政拨款支出主要</w:t>
      </w:r>
      <w:r>
        <w:rPr>
          <w:rFonts w:hint="default" w:ascii="Times New Roman" w:hAnsi="Times New Roman" w:eastAsia="方正仿宋_GBK" w:cs="Times New Roman"/>
          <w:sz w:val="32"/>
          <w:szCs w:val="32"/>
          <w:highlight w:val="none"/>
          <w:shd w:val="clear" w:color="auto" w:fill="FFFFFF"/>
          <w:lang w:eastAsia="zh-CN"/>
        </w:rPr>
        <w:t>用途如下</w:t>
      </w:r>
      <w:r>
        <w:rPr>
          <w:rFonts w:hint="default" w:ascii="Times New Roman" w:hAnsi="Times New Roman" w:eastAsia="方正仿宋_GBK" w:cs="Times New Roman"/>
          <w:sz w:val="32"/>
          <w:szCs w:val="32"/>
          <w:highlight w:val="none"/>
          <w:shd w:val="clear" w:color="auto" w:fill="FFFFFF"/>
        </w:rPr>
        <w:t>：</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（1）一般公共服务支出524.92万元，占28.0%，较年初预算数减少98.62万元，下降15.8%，主要原因是</w:t>
      </w:r>
      <w:r>
        <w:rPr>
          <w:rFonts w:hint="default" w:ascii="Times New Roman" w:hAnsi="Times New Roman" w:eastAsia="方正仿宋_GBK" w:cs="Times New Roman"/>
          <w:sz w:val="32"/>
          <w:szCs w:val="32"/>
          <w:shd w:val="clear" w:color="auto" w:fill="FFFFFF"/>
          <w:lang w:val="en-US" w:eastAsia="zh-CN"/>
        </w:rPr>
        <w:t>2023年社区事务服务中心等5个事业单位在政府本级核算，2024年各个站所分开独立核算。</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）公共安全支出8.75万元，占0.5%，较年初预算数增加8.75万元，增长100.0%，主要原因是</w:t>
      </w:r>
      <w:r>
        <w:rPr>
          <w:rFonts w:hint="default" w:ascii="Times New Roman" w:hAnsi="Times New Roman" w:eastAsia="方正仿宋_GBK" w:cs="Times New Roman"/>
          <w:sz w:val="32"/>
          <w:szCs w:val="32"/>
          <w:shd w:val="clear" w:color="auto" w:fill="FFFFFF"/>
          <w:lang w:eastAsia="zh-CN"/>
        </w:rPr>
        <w:t>调整预算下达了</w:t>
      </w:r>
      <w:r>
        <w:rPr>
          <w:rFonts w:hint="default" w:ascii="Times New Roman" w:hAnsi="Times New Roman" w:eastAsia="方正仿宋_GBK" w:cs="Times New Roman"/>
          <w:sz w:val="32"/>
          <w:szCs w:val="32"/>
          <w:shd w:val="clear" w:color="auto" w:fill="FFFFFF"/>
        </w:rPr>
        <w:t>葛城司法所搬迁及规范化建设</w:t>
      </w:r>
      <w:r>
        <w:rPr>
          <w:rFonts w:hint="default" w:ascii="Times New Roman" w:hAnsi="Times New Roman" w:eastAsia="方正仿宋_GBK" w:cs="Times New Roman"/>
          <w:sz w:val="32"/>
          <w:szCs w:val="32"/>
          <w:shd w:val="clear" w:color="auto" w:fill="FFFFFF"/>
          <w:lang w:eastAsia="zh-CN"/>
        </w:rPr>
        <w:t>资金。</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）文化旅游体育与传媒支出12.93万元，占0.7%，较年初预算数减少14.51万元，下降52.9%，主要原因是</w:t>
      </w:r>
      <w:r>
        <w:rPr>
          <w:rFonts w:hint="default" w:ascii="Times New Roman" w:hAnsi="Times New Roman" w:eastAsia="方正仿宋_GBK" w:cs="Times New Roman"/>
          <w:sz w:val="32"/>
          <w:szCs w:val="32"/>
          <w:shd w:val="clear" w:color="auto" w:fill="FFFFFF"/>
          <w:lang w:val="en-US" w:eastAsia="zh-CN"/>
        </w:rPr>
        <w:t>2023年新时代文明实践站在政府本级核算，2024年分开独立核算。</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）社会保障</w:t>
      </w:r>
      <w:r>
        <w:rPr>
          <w:rFonts w:hint="default" w:ascii="Times New Roman" w:hAnsi="Times New Roman" w:eastAsia="方正仿宋_GBK" w:cs="Times New Roman"/>
          <w:sz w:val="32"/>
          <w:szCs w:val="32"/>
          <w:shd w:val="clear" w:color="auto" w:fill="FFFFFF"/>
          <w:lang w:eastAsia="zh-CN"/>
        </w:rPr>
        <w:t>和</w:t>
      </w:r>
      <w:r>
        <w:rPr>
          <w:rFonts w:hint="default" w:ascii="Times New Roman" w:hAnsi="Times New Roman" w:eastAsia="方正仿宋_GBK" w:cs="Times New Roman"/>
          <w:sz w:val="32"/>
          <w:szCs w:val="32"/>
          <w:shd w:val="clear" w:color="auto" w:fill="FFFFFF"/>
        </w:rPr>
        <w:t>就业支出345.42万元，占18.4%，较年初预算数减少128.29万元，下降27.1%，主要原因是</w:t>
      </w:r>
      <w:r>
        <w:rPr>
          <w:rFonts w:hint="default" w:ascii="Times New Roman" w:hAnsi="Times New Roman" w:eastAsia="方正仿宋_GBK" w:cs="Times New Roman"/>
          <w:sz w:val="32"/>
          <w:szCs w:val="32"/>
          <w:shd w:val="clear" w:color="auto" w:fill="FFFFFF"/>
          <w:lang w:val="en-US" w:eastAsia="zh-CN"/>
        </w:rPr>
        <w:t>2023年便民服务中心在政府本级核算，2024年分开独立核算。</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rPr>
        <w:t>）卫生健康支出72.48万元，占3.9%，较年初预算数增加8.51万元，增长13.3%，主要原因是医疗服务与保障能力提升</w:t>
      </w:r>
      <w:r>
        <w:rPr>
          <w:rFonts w:hint="default" w:ascii="Times New Roman" w:hAnsi="Times New Roman" w:eastAsia="方正仿宋_GBK" w:cs="Times New Roman"/>
          <w:sz w:val="32"/>
          <w:szCs w:val="32"/>
          <w:shd w:val="clear" w:color="auto" w:fill="FFFFFF"/>
          <w:lang w:eastAsia="zh-CN"/>
        </w:rPr>
        <w:t>项目资金的下达。</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6</w:t>
      </w:r>
      <w:r>
        <w:rPr>
          <w:rFonts w:hint="default" w:ascii="Times New Roman" w:hAnsi="Times New Roman" w:eastAsia="方正仿宋_GBK" w:cs="Times New Roman"/>
          <w:sz w:val="32"/>
          <w:szCs w:val="32"/>
          <w:shd w:val="clear" w:color="auto" w:fill="FFFFFF"/>
        </w:rPr>
        <w:t>）节能环保支出1.00万元，占0.1%，较年初预算数增加1.00万元，增长100.0%，主要原因是城财发﹝2024﹞年36号</w:t>
      </w:r>
      <w:r>
        <w:rPr>
          <w:rFonts w:hint="default" w:ascii="Times New Roman" w:hAnsi="Times New Roman" w:eastAsia="方正仿宋_GBK" w:cs="Times New Roman"/>
          <w:sz w:val="32"/>
          <w:szCs w:val="32"/>
          <w:shd w:val="clear" w:color="auto" w:fill="FFFFFF"/>
          <w:lang w:eastAsia="zh-CN"/>
        </w:rPr>
        <w:t>文件下达了</w:t>
      </w:r>
      <w:r>
        <w:rPr>
          <w:rFonts w:hint="default" w:ascii="Times New Roman" w:hAnsi="Times New Roman" w:eastAsia="方正仿宋_GBK" w:cs="Times New Roman"/>
          <w:sz w:val="32"/>
          <w:szCs w:val="32"/>
          <w:shd w:val="clear" w:color="auto" w:fill="FFFFFF"/>
        </w:rPr>
        <w:t>森林资源保护管理</w:t>
      </w:r>
      <w:r>
        <w:rPr>
          <w:rFonts w:hint="default" w:ascii="Times New Roman" w:hAnsi="Times New Roman" w:eastAsia="方正仿宋_GBK" w:cs="Times New Roman"/>
          <w:sz w:val="32"/>
          <w:szCs w:val="32"/>
          <w:shd w:val="clear" w:color="auto" w:fill="FFFFFF"/>
          <w:lang w:eastAsia="zh-CN"/>
        </w:rPr>
        <w:t>经费。</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7</w:t>
      </w:r>
      <w:r>
        <w:rPr>
          <w:rFonts w:hint="default" w:ascii="Times New Roman" w:hAnsi="Times New Roman" w:eastAsia="方正仿宋_GBK" w:cs="Times New Roman"/>
          <w:sz w:val="32"/>
          <w:szCs w:val="32"/>
          <w:shd w:val="clear" w:color="auto" w:fill="FFFFFF"/>
        </w:rPr>
        <w:t>）农林水支出755.02万元，占40.3%，较年初预算数增加194.60万元，增长34.7%，主要原因是</w:t>
      </w:r>
      <w:r>
        <w:rPr>
          <w:rFonts w:hint="default" w:ascii="Times New Roman" w:hAnsi="Times New Roman" w:eastAsia="方正仿宋_GBK" w:cs="Times New Roman"/>
          <w:sz w:val="32"/>
          <w:szCs w:val="32"/>
          <w:shd w:val="clear" w:color="auto" w:fill="FFFFFF"/>
          <w:lang w:eastAsia="zh-CN"/>
        </w:rPr>
        <w:t>年中追加预算，支出对应增加。</w:t>
      </w:r>
    </w:p>
    <w:p>
      <w:pPr>
        <w:keepNext w:val="0"/>
        <w:keepLines w:val="0"/>
        <w:pageBreakBefore w:val="0"/>
        <w:widowControl/>
        <w:kinsoku/>
        <w:wordWrap/>
        <w:overflowPunct/>
        <w:topLinePunct w:val="0"/>
        <w:autoSpaceDN/>
        <w:bidi w:val="0"/>
        <w:adjustRightInd/>
        <w:spacing w:beforeAutospacing="0" w:afterAutospacing="0" w:line="570"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8</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shd w:val="clear" w:color="auto" w:fill="FFFFFF"/>
        </w:rPr>
        <w:t>55.37万元，占3.0%，较年初预算数减少25.03万元，下降31.1%，主要原因是</w:t>
      </w:r>
      <w:r>
        <w:rPr>
          <w:rFonts w:hint="default" w:ascii="Times New Roman" w:hAnsi="Times New Roman" w:eastAsia="方正仿宋_GBK" w:cs="Times New Roman"/>
          <w:sz w:val="32"/>
          <w:szCs w:val="32"/>
          <w:shd w:val="clear" w:color="auto" w:fill="FFFFFF"/>
          <w:lang w:val="en-US" w:eastAsia="zh-CN"/>
        </w:rPr>
        <w:t>2023年社区事务服务中心等5个事业单位在政府本级核算，2024年各个站所分开独立核算。</w:t>
      </w:r>
    </w:p>
    <w:p>
      <w:pPr>
        <w:keepNext w:val="0"/>
        <w:keepLines w:val="0"/>
        <w:pageBreakBefore w:val="0"/>
        <w:widowControl/>
        <w:kinsoku/>
        <w:wordWrap/>
        <w:overflowPunct/>
        <w:topLinePunct w:val="0"/>
        <w:autoSpaceDN/>
        <w:bidi w:val="0"/>
        <w:adjustRightInd/>
        <w:spacing w:beforeAutospacing="0" w:afterAutospacing="0" w:line="570"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9</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rPr>
        <w:t>灾害防治及应急管理支出</w:t>
      </w:r>
      <w:r>
        <w:rPr>
          <w:rFonts w:hint="default" w:ascii="Times New Roman" w:hAnsi="Times New Roman" w:eastAsia="方正仿宋_GBK" w:cs="Times New Roman"/>
          <w:sz w:val="32"/>
          <w:szCs w:val="32"/>
          <w:shd w:val="clear" w:color="auto" w:fill="FFFFFF"/>
        </w:rPr>
        <w:t>97.73万元，占5.2%，较年初预算数增加97.73万元，增长100.0%，主要原因是城财发〔2023〕769号</w:t>
      </w:r>
      <w:r>
        <w:rPr>
          <w:rFonts w:hint="default" w:ascii="Times New Roman" w:hAnsi="Times New Roman" w:eastAsia="方正仿宋_GBK" w:cs="Times New Roman"/>
          <w:sz w:val="32"/>
          <w:szCs w:val="32"/>
          <w:shd w:val="clear" w:color="auto" w:fill="FFFFFF"/>
          <w:lang w:eastAsia="zh-CN"/>
        </w:rPr>
        <w:t>资金文件下达了</w:t>
      </w:r>
      <w:r>
        <w:rPr>
          <w:rFonts w:hint="default" w:ascii="Times New Roman" w:hAnsi="Times New Roman" w:eastAsia="方正仿宋_GBK" w:cs="Times New Roman"/>
          <w:sz w:val="32"/>
          <w:szCs w:val="32"/>
          <w:shd w:val="clear" w:color="auto" w:fill="FFFFFF"/>
        </w:rPr>
        <w:t>2023年中央自然灾害救灾补助资金</w:t>
      </w:r>
      <w:r>
        <w:rPr>
          <w:rFonts w:hint="default" w:ascii="Times New Roman" w:hAnsi="Times New Roman" w:eastAsia="方正仿宋_GBK" w:cs="Times New Roman"/>
          <w:sz w:val="32"/>
          <w:szCs w:val="32"/>
          <w:shd w:val="clear" w:color="auto" w:fill="FFFFFF"/>
          <w:lang w:eastAsia="zh-CN"/>
        </w:rPr>
        <w:t>、城财发</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2024</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年333号资金文件下达了城口县财政局关于下达2023年中央自然灾害救灾补助资金预算、城财发</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2024</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年594号资金文件下达了2024年第二批中央自然灾害救灾补助资金。</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3" w:firstLineChars="200"/>
        <w:jc w:val="both"/>
        <w:rPr>
          <w:rFonts w:hint="default" w:ascii="Times New Roman" w:hAnsi="Times New Roman" w:eastAsia="方正仿宋_GBK" w:cs="Times New Roman"/>
          <w:color w:val="FF0000"/>
          <w:sz w:val="32"/>
          <w:szCs w:val="32"/>
          <w:shd w:val="clear" w:color="auto" w:fill="FFFFFF"/>
          <w:lang w:eastAsia="zh-CN"/>
        </w:rPr>
      </w:pPr>
      <w:r>
        <w:rPr>
          <w:rStyle w:val="10"/>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2024年度年末一般公共预算财政拨款结转和结余0.00万元，与2023年度相比，无增减，</w:t>
      </w:r>
      <w:r>
        <w:rPr>
          <w:rFonts w:hint="default" w:ascii="Times New Roman" w:hAnsi="Times New Roman" w:eastAsia="方正仿宋_GBK" w:cs="Times New Roman"/>
          <w:sz w:val="32"/>
          <w:szCs w:val="32"/>
          <w:shd w:val="clear" w:color="auto" w:fill="FFFFFF"/>
          <w:lang w:eastAsia="zh-CN"/>
        </w:rPr>
        <w:t>与上年决算数持平。</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3" w:firstLineChars="200"/>
        <w:jc w:val="both"/>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（四）一般公共预算财政拨款基本支出决算情况说明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2024年度一般公共财政拨款基本支出774.96万元。其中：人员经费708.52万元，与2023年度相比，减少588.56万元，下降45.4%，主要原因是</w:t>
      </w:r>
      <w:r>
        <w:rPr>
          <w:rFonts w:hint="default" w:ascii="Times New Roman" w:hAnsi="Times New Roman" w:eastAsia="方正仿宋_GBK" w:cs="Times New Roman"/>
          <w:sz w:val="32"/>
          <w:szCs w:val="32"/>
          <w:shd w:val="clear" w:color="auto" w:fill="FFFFFF"/>
          <w:lang w:val="en-US" w:eastAsia="zh-CN"/>
        </w:rPr>
        <w:t>2023年社区事务服务中心等5个事业单位在政府本级核算，2024年各个站所分开独立核算。</w:t>
      </w:r>
      <w:r>
        <w:rPr>
          <w:rFonts w:hint="default" w:ascii="Times New Roman" w:hAnsi="Times New Roman" w:eastAsia="方正仿宋_GBK" w:cs="Times New Roman"/>
          <w:sz w:val="32"/>
          <w:szCs w:val="32"/>
          <w:shd w:val="clear" w:color="auto" w:fill="FFFFFF"/>
        </w:rPr>
        <w:t>人员经费用途主要包括</w:t>
      </w:r>
      <w:r>
        <w:rPr>
          <w:rFonts w:hint="default" w:ascii="Times New Roman" w:hAnsi="Times New Roman" w:eastAsia="方正仿宋_GBK" w:cs="Times New Roman"/>
          <w:sz w:val="32"/>
          <w:szCs w:val="32"/>
          <w:shd w:val="clear" w:color="auto" w:fill="FFFFFF"/>
          <w:lang w:eastAsia="zh-CN"/>
        </w:rPr>
        <w:t>基本工资、津贴补贴、奖金、社会保障缴费、绩效工资、退休费、生活补助、住房公积金、其他对个人和家庭的补助支出等。</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公用经费66.44万元，与2023年度相比，减少32.82万元，下降33.1%，主要原因是</w:t>
      </w:r>
      <w:r>
        <w:rPr>
          <w:rFonts w:hint="default" w:ascii="Times New Roman" w:hAnsi="Times New Roman" w:eastAsia="方正仿宋_GBK" w:cs="Times New Roman"/>
          <w:sz w:val="32"/>
          <w:szCs w:val="32"/>
          <w:shd w:val="clear" w:color="auto" w:fill="FFFFFF"/>
          <w:lang w:val="en-US" w:eastAsia="zh-CN"/>
        </w:rPr>
        <w:t>2023年社区事务服务中心等5个事业单位在政府本级核算，2024年各个站所分开独立核算。</w:t>
      </w:r>
      <w:r>
        <w:rPr>
          <w:rFonts w:hint="default" w:ascii="Times New Roman" w:hAnsi="Times New Roman" w:eastAsia="方正仿宋_GBK" w:cs="Times New Roman"/>
          <w:sz w:val="32"/>
          <w:szCs w:val="32"/>
          <w:shd w:val="clear" w:color="auto" w:fill="FFFFFF"/>
        </w:rPr>
        <w:t>公用经费用途主要包括</w:t>
      </w:r>
      <w:r>
        <w:rPr>
          <w:rFonts w:hint="default" w:ascii="Times New Roman" w:hAnsi="Times New Roman" w:eastAsia="方正仿宋_GBK" w:cs="Times New Roman"/>
          <w:sz w:val="32"/>
          <w:szCs w:val="32"/>
          <w:shd w:val="clear" w:color="auto" w:fill="FFFFFF"/>
          <w:lang w:eastAsia="zh-CN"/>
        </w:rPr>
        <w:t>办公费、水费、电费、差旅费、维修（护）费、公务接待费、公务用车运行维护费、工会费、福利费、其他交通费用等。</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570"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（五）政府性基金预算收支决算情况说明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2024年度政府性基金预算财政拨款年初结转结余0.00万元，年末结转结余0.00万元。本年收入7.18万元，与2023年度相比，减少7.33万元，下降50.5%，主要原因是</w:t>
      </w:r>
      <w:r>
        <w:rPr>
          <w:rFonts w:hint="default" w:ascii="Times New Roman" w:hAnsi="Times New Roman" w:eastAsia="方正仿宋_GBK" w:cs="Times New Roman"/>
          <w:color w:val="auto"/>
          <w:sz w:val="32"/>
          <w:szCs w:val="32"/>
          <w:shd w:val="clear" w:color="auto" w:fill="FFFFFF"/>
          <w:lang w:val="en-US" w:eastAsia="zh-CN"/>
        </w:rPr>
        <w:t>2024年未预算土城老街装饰工程款。</w:t>
      </w:r>
      <w:r>
        <w:rPr>
          <w:rFonts w:hint="default" w:ascii="Times New Roman" w:hAnsi="Times New Roman" w:eastAsia="方正仿宋_GBK" w:cs="Times New Roman"/>
          <w:sz w:val="32"/>
          <w:szCs w:val="32"/>
          <w:shd w:val="clear" w:color="auto" w:fill="FFFFFF"/>
        </w:rPr>
        <w:t>本年支出7.18万元，与2023年度相比，减少7.33万元，下降50.5%，主要原因是</w:t>
      </w:r>
      <w:r>
        <w:rPr>
          <w:rFonts w:hint="default" w:ascii="Times New Roman" w:hAnsi="Times New Roman" w:eastAsia="方正仿宋_GBK" w:cs="Times New Roman"/>
          <w:color w:val="auto"/>
          <w:sz w:val="32"/>
          <w:szCs w:val="32"/>
          <w:shd w:val="clear" w:color="auto" w:fill="FFFFFF"/>
          <w:lang w:val="en-US" w:eastAsia="zh-CN"/>
        </w:rPr>
        <w:t>2024年未预算土城老街装饰工程款。</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570"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（六）国有资本经营预算财政拨款支出决算情况说明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shd w:val="clear" w:color="auto" w:fill="FFFFFF"/>
        </w:rPr>
        <w:t>本部门2024年度无国有资本经营预算财政拨款支出。</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0" w:lineRule="exact"/>
        <w:ind w:firstLine="643" w:firstLineChars="200"/>
        <w:jc w:val="both"/>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三、</w:t>
      </w:r>
      <w:r>
        <w:rPr>
          <w:rStyle w:val="10"/>
          <w:rFonts w:hint="default" w:ascii="Times New Roman" w:hAnsi="Times New Roman" w:eastAsia="黑体" w:cs="Times New Roman"/>
          <w:sz w:val="32"/>
          <w:szCs w:val="32"/>
          <w:shd w:val="clear" w:color="auto" w:fill="FFFFFF"/>
          <w:lang w:eastAsia="zh-CN"/>
        </w:rPr>
        <w:t>财政拨款</w:t>
      </w:r>
      <w:r>
        <w:rPr>
          <w:rStyle w:val="10"/>
          <w:rFonts w:hint="default" w:ascii="Times New Roman" w:hAnsi="Times New Roman" w:eastAsia="黑体" w:cs="Times New Roman"/>
          <w:sz w:val="32"/>
          <w:szCs w:val="32"/>
          <w:shd w:val="clear" w:color="auto" w:fill="FFFFFF"/>
        </w:rPr>
        <w:t>“三公”经费情况说明</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570" w:lineRule="exact"/>
        <w:ind w:firstLine="640"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方正仿宋_GBK" w:cs="Times New Roman"/>
          <w:color w:val="FF0000"/>
          <w:sz w:val="32"/>
          <w:szCs w:val="32"/>
          <w:shd w:val="clear" w:color="auto" w:fill="FFFFFF"/>
        </w:rPr>
        <w:t>.</w:t>
      </w:r>
      <w:r>
        <w:rPr>
          <w:rFonts w:hint="default" w:ascii="Times New Roman" w:hAnsi="Times New Roman" w:eastAsia="楷体" w:cs="Times New Roman"/>
          <w:b/>
          <w:bCs/>
          <w:sz w:val="32"/>
          <w:szCs w:val="32"/>
          <w:shd w:val="clear" w:color="auto" w:fill="FFFFFF"/>
        </w:rPr>
        <w:t>（一）“三公”经费支出总体情况说明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shd w:val="clear" w:color="auto" w:fill="FFFFFF"/>
        </w:rPr>
        <w:t>2024年度“三公”经费支出共计7.79万元，较年初预算数减少0.01万元，下降0.1%，主要原因是</w:t>
      </w:r>
      <w:r>
        <w:rPr>
          <w:rFonts w:hint="default" w:ascii="Times New Roman" w:hAnsi="Times New Roman" w:eastAsia="方正仿宋_GBK" w:cs="Times New Roman"/>
          <w:color w:val="auto"/>
          <w:sz w:val="32"/>
          <w:szCs w:val="32"/>
          <w:shd w:val="clear" w:color="auto" w:fill="FFFFFF"/>
          <w:lang w:eastAsia="zh-CN"/>
        </w:rPr>
        <w:t>例行节约，严控支出</w:t>
      </w:r>
      <w:r>
        <w:rPr>
          <w:rFonts w:hint="default" w:ascii="Times New Roman" w:hAnsi="Times New Roman" w:eastAsia="方正仿宋_GBK" w:cs="Times New Roman"/>
          <w:color w:val="auto"/>
          <w:sz w:val="32"/>
          <w:szCs w:val="32"/>
          <w:shd w:val="clear" w:color="auto" w:fill="FFFFFF"/>
        </w:rPr>
        <w:t>。较上年支出数增加2.49万元，增长47.0%，主要原因是</w:t>
      </w:r>
      <w:r>
        <w:rPr>
          <w:rFonts w:hint="default" w:ascii="Times New Roman" w:hAnsi="Times New Roman" w:eastAsia="方正仿宋_GBK" w:cs="Times New Roman"/>
          <w:color w:val="auto"/>
          <w:sz w:val="32"/>
          <w:szCs w:val="32"/>
          <w:shd w:val="clear" w:color="auto" w:fill="FFFFFF"/>
          <w:lang w:val="en-US" w:eastAsia="zh-CN"/>
        </w:rPr>
        <w:t>2024年公车增加一辆预算增加2.5万元</w:t>
      </w:r>
      <w:r>
        <w:rPr>
          <w:rFonts w:hint="default" w:ascii="Times New Roman" w:hAnsi="Times New Roman" w:eastAsia="方正仿宋_GBK" w:cs="Times New Roman"/>
          <w:color w:val="auto"/>
          <w:sz w:val="32"/>
          <w:szCs w:val="32"/>
          <w:shd w:val="clear" w:color="auto" w:fill="FFFFFF"/>
        </w:rPr>
        <w:t>。</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570"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（二）“三公”经费分项支出情况</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2024年度本部门</w:t>
      </w:r>
      <w:r>
        <w:rPr>
          <w:rFonts w:hint="default" w:ascii="Times New Roman" w:hAnsi="Times New Roman" w:eastAsia="方正仿宋_GBK" w:cs="Times New Roman"/>
          <w:sz w:val="32"/>
          <w:szCs w:val="32"/>
          <w:shd w:val="clear" w:color="auto" w:fill="FFFFFF"/>
          <w:lang w:eastAsia="zh-CN"/>
        </w:rPr>
        <w:t>未发生</w:t>
      </w:r>
      <w:r>
        <w:rPr>
          <w:rFonts w:hint="default" w:ascii="Times New Roman" w:hAnsi="Times New Roman" w:eastAsia="方正仿宋_GBK" w:cs="Times New Roman"/>
          <w:sz w:val="32"/>
          <w:szCs w:val="32"/>
          <w:shd w:val="clear" w:color="auto" w:fill="FFFFFF"/>
        </w:rPr>
        <w:t>因公出国（境）费用</w:t>
      </w:r>
      <w:r>
        <w:rPr>
          <w:rFonts w:hint="default" w:ascii="Times New Roman" w:hAnsi="Times New Roman" w:eastAsia="方正仿宋_GBK" w:cs="Times New Roman"/>
          <w:sz w:val="32"/>
          <w:szCs w:val="32"/>
          <w:shd w:val="clear" w:color="auto" w:fill="FFFFFF"/>
          <w:lang w:eastAsia="zh-CN"/>
        </w:rPr>
        <w:t>。</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2024年度本部门</w:t>
      </w:r>
      <w:r>
        <w:rPr>
          <w:rFonts w:hint="default" w:ascii="Times New Roman" w:hAnsi="Times New Roman" w:eastAsia="方正仿宋_GBK" w:cs="Times New Roman"/>
          <w:sz w:val="32"/>
          <w:szCs w:val="32"/>
          <w:shd w:val="clear" w:color="auto" w:fill="FFFFFF"/>
          <w:lang w:eastAsia="zh-CN"/>
        </w:rPr>
        <w:t>未发生</w:t>
      </w:r>
      <w:r>
        <w:rPr>
          <w:rFonts w:hint="default" w:ascii="Times New Roman" w:hAnsi="Times New Roman" w:eastAsia="方正仿宋_GBK" w:cs="Times New Roman"/>
          <w:sz w:val="32"/>
          <w:szCs w:val="32"/>
          <w:shd w:val="clear" w:color="auto" w:fill="FFFFFF"/>
        </w:rPr>
        <w:t>公务</w:t>
      </w:r>
      <w:r>
        <w:rPr>
          <w:rFonts w:hint="default" w:ascii="Times New Roman" w:hAnsi="Times New Roman" w:eastAsia="方正仿宋_GBK" w:cs="Times New Roman"/>
          <w:sz w:val="32"/>
          <w:szCs w:val="32"/>
          <w:shd w:val="clear" w:color="auto" w:fill="FFFFFF"/>
          <w:lang w:eastAsia="zh-CN"/>
        </w:rPr>
        <w:t>用</w:t>
      </w:r>
      <w:r>
        <w:rPr>
          <w:rFonts w:hint="default" w:ascii="Times New Roman" w:hAnsi="Times New Roman" w:eastAsia="方正仿宋_GBK" w:cs="Times New Roman"/>
          <w:sz w:val="32"/>
          <w:szCs w:val="32"/>
          <w:shd w:val="clear" w:color="auto" w:fill="FFFFFF"/>
        </w:rPr>
        <w:t>车购置费</w:t>
      </w:r>
      <w:r>
        <w:rPr>
          <w:rFonts w:hint="default" w:ascii="Times New Roman" w:hAnsi="Times New Roman" w:eastAsia="方正仿宋_GBK" w:cs="Times New Roman"/>
          <w:sz w:val="32"/>
          <w:szCs w:val="32"/>
          <w:shd w:val="clear" w:color="auto" w:fill="FFFFFF"/>
          <w:lang w:eastAsia="zh-CN"/>
        </w:rPr>
        <w:t>用。</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公务</w:t>
      </w:r>
      <w:r>
        <w:rPr>
          <w:rFonts w:hint="default" w:ascii="Times New Roman" w:hAnsi="Times New Roman" w:eastAsia="方正仿宋_GBK" w:cs="Times New Roman"/>
          <w:sz w:val="32"/>
          <w:szCs w:val="32"/>
          <w:shd w:val="clear" w:color="auto" w:fill="FFFFFF"/>
          <w:lang w:eastAsia="zh-CN"/>
        </w:rPr>
        <w:t>用</w:t>
      </w:r>
      <w:r>
        <w:rPr>
          <w:rFonts w:hint="default" w:ascii="Times New Roman" w:hAnsi="Times New Roman" w:eastAsia="方正仿宋_GBK" w:cs="Times New Roman"/>
          <w:sz w:val="32"/>
          <w:szCs w:val="32"/>
          <w:shd w:val="clear" w:color="auto" w:fill="FFFFFF"/>
        </w:rPr>
        <w:t>车运行维护费4.99万元，主要用于公务车加油及维修等</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费用支出较年初预算数减少0.01万元，下降0.2%，主要原因是</w:t>
      </w:r>
      <w:r>
        <w:rPr>
          <w:rFonts w:hint="default" w:ascii="Times New Roman" w:hAnsi="Times New Roman" w:eastAsia="方正仿宋_GBK" w:cs="Times New Roman"/>
          <w:sz w:val="32"/>
          <w:szCs w:val="32"/>
          <w:shd w:val="clear" w:color="auto" w:fill="FFFFFF"/>
          <w:lang w:eastAsia="zh-CN"/>
        </w:rPr>
        <w:t>严格按照有预算才支出，无预算不支出的原则执行。</w:t>
      </w:r>
      <w:r>
        <w:rPr>
          <w:rFonts w:hint="default" w:ascii="Times New Roman" w:hAnsi="Times New Roman" w:eastAsia="方正仿宋_GBK" w:cs="Times New Roman"/>
          <w:sz w:val="32"/>
          <w:szCs w:val="32"/>
          <w:shd w:val="clear" w:color="auto" w:fill="FFFFFF"/>
        </w:rPr>
        <w:t>较上年支出数增加2.49万元，增长99.6%，主要原因是</w:t>
      </w:r>
      <w:r>
        <w:rPr>
          <w:rFonts w:hint="default" w:ascii="Times New Roman" w:hAnsi="Times New Roman" w:eastAsia="方正仿宋_GBK" w:cs="Times New Roman"/>
          <w:color w:val="auto"/>
          <w:sz w:val="32"/>
          <w:szCs w:val="32"/>
          <w:shd w:val="clear" w:color="auto" w:fill="FFFFFF"/>
          <w:lang w:val="en-US" w:eastAsia="zh-CN"/>
        </w:rPr>
        <w:t>2024年公车增加一辆预算增加2.5万元。</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公务接待费2.80万元，主要用于接待</w:t>
      </w:r>
      <w:r>
        <w:rPr>
          <w:rFonts w:hint="default" w:ascii="Times New Roman" w:hAnsi="Times New Roman" w:eastAsia="方正仿宋_GBK" w:cs="Times New Roman"/>
          <w:sz w:val="32"/>
          <w:szCs w:val="32"/>
          <w:shd w:val="clear" w:color="auto" w:fill="FFFFFF"/>
          <w:lang w:eastAsia="zh-CN"/>
        </w:rPr>
        <w:t>县外工作人员因公就餐。</w:t>
      </w:r>
      <w:r>
        <w:rPr>
          <w:rFonts w:hint="default" w:ascii="Times New Roman" w:hAnsi="Times New Roman" w:eastAsia="方正仿宋_GBK" w:cs="Times New Roman"/>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严格按照有预算才支出，无预算不支出的原则执行。</w:t>
      </w:r>
      <w:r>
        <w:rPr>
          <w:rFonts w:hint="default" w:ascii="Times New Roman" w:hAnsi="Times New Roman" w:eastAsia="方正仿宋_GBK" w:cs="Times New Roman"/>
          <w:sz w:val="32"/>
          <w:szCs w:val="32"/>
          <w:shd w:val="clear" w:color="auto" w:fill="FFFFFF"/>
        </w:rPr>
        <w:t>较上年支出数无增减，主要原因是</w:t>
      </w:r>
      <w:r>
        <w:rPr>
          <w:rFonts w:hint="default" w:ascii="Times New Roman" w:hAnsi="Times New Roman" w:eastAsia="方正仿宋_GBK" w:cs="Times New Roman"/>
          <w:sz w:val="32"/>
          <w:szCs w:val="32"/>
          <w:shd w:val="clear" w:color="auto" w:fill="FFFFFF"/>
          <w:lang w:eastAsia="zh-CN"/>
        </w:rPr>
        <w:t>严格按照有预算才支出，无预算不支出的原则执行。</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570"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（三）“三公”经费实物量情况</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本部门因公出国（境）共计0个团组，0人；公务用车购置0辆，公务车保有量为2辆；国内公务接待62批次622人，其中：国内外事接待0批次，0人；国（境）外公务接待0批次，0人。2024年本部门人均接待费45.02元，车均购置费0万元，车均维护费2.50万元。</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0" w:lineRule="exact"/>
        <w:ind w:firstLine="643" w:firstLineChars="200"/>
        <w:jc w:val="both"/>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四、其他需要说明的事项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（一）财政拨款会议费、培训费和差旅费情况说明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color w:val="FF0000"/>
          <w:sz w:val="32"/>
          <w:szCs w:val="32"/>
        </w:rPr>
      </w:pPr>
      <w:r>
        <w:rPr>
          <w:rFonts w:hint="default" w:ascii="Times New Roman" w:hAnsi="Times New Roman" w:eastAsia="方正仿宋_GBK" w:cs="Times New Roman"/>
          <w:sz w:val="32"/>
          <w:szCs w:val="32"/>
          <w:shd w:val="clear" w:color="auto" w:fill="FFFFFF"/>
        </w:rPr>
        <w:t>本年度会议费支出0.00万元，与2023年度相比，无增减，主要原因是</w:t>
      </w:r>
      <w:r>
        <w:rPr>
          <w:rFonts w:hint="default" w:ascii="Times New Roman" w:hAnsi="Times New Roman" w:eastAsia="方正仿宋_GBK" w:cs="Times New Roman"/>
          <w:sz w:val="32"/>
          <w:szCs w:val="32"/>
          <w:shd w:val="clear" w:color="auto" w:fill="FFFFFF"/>
          <w:lang w:eastAsia="zh-CN"/>
        </w:rPr>
        <w:t>本年度无会议费支出。</w:t>
      </w:r>
      <w:r>
        <w:rPr>
          <w:rFonts w:hint="default" w:ascii="Times New Roman" w:hAnsi="Times New Roman" w:eastAsia="方正仿宋_GBK" w:cs="Times New Roman"/>
          <w:sz w:val="32"/>
          <w:szCs w:val="32"/>
          <w:shd w:val="clear" w:color="auto" w:fill="FFFFFF"/>
        </w:rPr>
        <w:t>本年度培训费支出0.00万元，与2023年度相比，无变化，主要原因是</w:t>
      </w:r>
      <w:r>
        <w:rPr>
          <w:rFonts w:hint="default" w:ascii="Times New Roman" w:hAnsi="Times New Roman" w:eastAsia="方正仿宋_GBK" w:cs="Times New Roman"/>
          <w:sz w:val="32"/>
          <w:szCs w:val="32"/>
          <w:shd w:val="clear" w:color="auto" w:fill="FFFFFF"/>
          <w:lang w:eastAsia="zh-CN"/>
        </w:rPr>
        <w:t>本年度无培训费支出。</w:t>
      </w:r>
      <w:r>
        <w:rPr>
          <w:rFonts w:hint="default" w:ascii="Times New Roman" w:hAnsi="Times New Roman" w:eastAsia="方正仿宋_GBK" w:cs="Times New Roman"/>
          <w:sz w:val="32"/>
          <w:szCs w:val="32"/>
          <w:shd w:val="clear" w:color="auto" w:fill="FFFFFF"/>
        </w:rPr>
        <w:t>本年度差旅费支出1.72</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shd w:val="clear" w:color="auto" w:fill="FFFFFF"/>
        </w:rPr>
        <w:t>与2023年度相比，减少1.08万元，下降38.6%，主要原因是</w:t>
      </w:r>
      <w:r>
        <w:rPr>
          <w:rFonts w:hint="default" w:ascii="Times New Roman" w:hAnsi="Times New Roman" w:eastAsia="方正仿宋_GBK" w:cs="Times New Roman"/>
          <w:sz w:val="32"/>
          <w:szCs w:val="32"/>
          <w:shd w:val="clear" w:color="auto" w:fill="FFFFFF"/>
          <w:lang w:eastAsia="zh-CN"/>
        </w:rPr>
        <w:t>严格控制出差次数，例行节约。</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570"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（二）机关运行经费情况说明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color w:val="auto"/>
          <w:sz w:val="32"/>
          <w:szCs w:val="32"/>
          <w:highlight w:val="yellow"/>
        </w:rPr>
      </w:pPr>
      <w:r>
        <w:rPr>
          <w:rFonts w:hint="default" w:ascii="Times New Roman" w:hAnsi="Times New Roman" w:eastAsia="方正仿宋_GBK" w:cs="Times New Roman"/>
          <w:sz w:val="32"/>
          <w:szCs w:val="32"/>
          <w:shd w:val="clear" w:color="auto" w:fill="FFFFFF"/>
        </w:rPr>
        <w:t>2024年度本部门机关运行经费支出66.44万元，机关运行经费主要用于开支</w:t>
      </w:r>
      <w:r>
        <w:rPr>
          <w:rFonts w:hint="default" w:ascii="Times New Roman" w:hAnsi="Times New Roman" w:eastAsia="方正仿宋_GBK" w:cs="Times New Roman"/>
          <w:sz w:val="32"/>
          <w:szCs w:val="32"/>
          <w:shd w:val="clear" w:color="auto" w:fill="FFFFFF"/>
          <w:lang w:eastAsia="zh-CN"/>
        </w:rPr>
        <w:t>办公费、水费、电费、差旅费、维修（护）费、公务接待费、工会费、福利费、公务用车运行维护费、其他交通费等。</w:t>
      </w:r>
      <w:r>
        <w:rPr>
          <w:rFonts w:hint="default" w:ascii="Times New Roman" w:hAnsi="Times New Roman" w:eastAsia="方正仿宋_GBK" w:cs="Times New Roman"/>
          <w:sz w:val="32"/>
          <w:szCs w:val="32"/>
          <w:shd w:val="clear" w:color="auto" w:fill="FFFFFF"/>
        </w:rPr>
        <w:t>机关运行经费较上年支出数增加66.44万元，增长100.0%，主要原因是2023年度机关运行经费支出</w:t>
      </w:r>
      <w:r>
        <w:rPr>
          <w:rFonts w:hint="default" w:ascii="Times New Roman" w:hAnsi="Times New Roman" w:eastAsia="方正仿宋_GBK" w:cs="Times New Roman"/>
          <w:sz w:val="32"/>
          <w:szCs w:val="32"/>
          <w:lang w:val="en-US" w:eastAsia="zh-CN"/>
        </w:rPr>
        <w:t>99.26</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lang w:eastAsia="zh-CN"/>
        </w:rPr>
        <w:t>，但</w:t>
      </w:r>
      <w:r>
        <w:rPr>
          <w:rFonts w:hint="default" w:ascii="Times New Roman" w:hAnsi="Times New Roman" w:eastAsia="方正仿宋_GBK" w:cs="Times New Roman"/>
          <w:sz w:val="32"/>
          <w:szCs w:val="32"/>
          <w:shd w:val="clear" w:color="auto" w:fill="FFFFFF"/>
          <w:lang w:val="en-US" w:eastAsia="zh-CN"/>
        </w:rPr>
        <w:t>2023年更换决算系统后</w:t>
      </w:r>
      <w:r>
        <w:rPr>
          <w:rFonts w:hint="default" w:ascii="Times New Roman" w:hAnsi="Times New Roman" w:eastAsia="方正仿宋_GBK" w:cs="Times New Roman"/>
          <w:sz w:val="32"/>
          <w:szCs w:val="32"/>
          <w:shd w:val="clear" w:color="auto" w:fill="FFFFFF"/>
          <w:lang w:eastAsia="zh-CN"/>
        </w:rPr>
        <w:t>未取到数导致的。</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570"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（三）国有资产占用情况说明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color w:val="FF0000"/>
          <w:sz w:val="32"/>
          <w:szCs w:val="32"/>
        </w:rPr>
      </w:pPr>
      <w:r>
        <w:rPr>
          <w:rFonts w:hint="default" w:ascii="Times New Roman" w:hAnsi="Times New Roman" w:eastAsia="方正仿宋_GBK" w:cs="Times New Roman"/>
          <w:sz w:val="32"/>
          <w:szCs w:val="32"/>
          <w:shd w:val="clear" w:color="auto" w:fill="FFFFFF"/>
        </w:rPr>
        <w:t>截至2024年12月31日，本部门共有车辆2辆，其中，副部（省）级及以上领导用车0辆、主要负责人用车0辆、机要通信用车0辆、应急保障用车2辆、执法执勤用车0辆，特种专业技术用车0辆，离退休干部用车0辆。单价100万元（含）以上专用设备0台（套）。</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570"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（四）政府采购支出情况说明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2024年度本部门政府采购支出总额110.53万元，其中：政府采购货物支出101.97万元、政府采购工程支出0.00万元、政府采购服务支出8.56万元。授予中小企业合同金额104.53</w:t>
      </w:r>
      <w:r>
        <w:rPr>
          <w:rFonts w:hint="default" w:ascii="Times New Roman" w:hAnsi="Times New Roman" w:eastAsia="方正仿宋_GBK" w:cs="Times New Roman"/>
          <w:sz w:val="32"/>
          <w:szCs w:val="32"/>
        </w:rPr>
        <w:t>万</w:t>
      </w:r>
      <w:r>
        <w:rPr>
          <w:rFonts w:hint="default" w:ascii="Times New Roman" w:hAnsi="Times New Roman" w:eastAsia="方正仿宋_GBK" w:cs="Times New Roman"/>
          <w:sz w:val="32"/>
          <w:szCs w:val="32"/>
          <w:shd w:val="clear" w:color="auto" w:fill="FFFFFF"/>
        </w:rPr>
        <w:t>元，占政府采购支出总额的94.6%，其中：授予小微企业合同金额62.03万元，占政府采购支出总额的56.1 %。主要用于采购</w:t>
      </w:r>
      <w:r>
        <w:rPr>
          <w:rFonts w:hint="default" w:ascii="Times New Roman" w:hAnsi="Times New Roman" w:eastAsia="方正仿宋_GBK" w:cs="Times New Roman"/>
          <w:sz w:val="32"/>
          <w:szCs w:val="32"/>
          <w:shd w:val="clear" w:color="auto" w:fill="FFFFFF"/>
          <w:lang w:eastAsia="zh-CN"/>
        </w:rPr>
        <w:t>办公桌椅等固定资产。</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643" w:firstLineChars="200"/>
        <w:jc w:val="both"/>
        <w:textAlignment w:val="auto"/>
        <w:rPr>
          <w:rStyle w:val="10"/>
          <w:rFonts w:hint="default" w:ascii="Times New Roman" w:hAnsi="Times New Roman" w:eastAsia="黑体" w:cs="Times New Roman"/>
          <w:sz w:val="32"/>
          <w:szCs w:val="32"/>
          <w:shd w:val="clear" w:color="auto" w:fill="FFFFFF"/>
          <w:lang w:val="en-US" w:eastAsia="zh-CN" w:bidi="ar-SA"/>
        </w:rPr>
      </w:pPr>
      <w:r>
        <w:rPr>
          <w:rStyle w:val="10"/>
          <w:rFonts w:hint="default" w:ascii="Times New Roman" w:hAnsi="Times New Roman" w:eastAsia="黑体" w:cs="Times New Roman"/>
          <w:sz w:val="32"/>
          <w:szCs w:val="32"/>
          <w:shd w:val="clear" w:color="auto" w:fill="FFFFFF"/>
          <w:lang w:val="en-US" w:eastAsia="zh-CN" w:bidi="ar-SA"/>
        </w:rPr>
        <w:t>五、2024年度预算绩效管理情况说明</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楷体" w:cs="Times New Roman"/>
          <w:b/>
          <w:bCs/>
          <w:kern w:val="0"/>
          <w:sz w:val="32"/>
          <w:szCs w:val="32"/>
          <w:shd w:val="clear" w:fill="FFFFFF"/>
        </w:rPr>
      </w:pPr>
      <w:r>
        <w:rPr>
          <w:rFonts w:hint="default" w:ascii="Times New Roman" w:hAnsi="Times New Roman" w:eastAsia="楷体" w:cs="Times New Roman"/>
          <w:b/>
          <w:bCs/>
          <w:kern w:val="0"/>
          <w:sz w:val="32"/>
          <w:szCs w:val="32"/>
          <w:shd w:val="clear" w:fill="FFFFFF"/>
        </w:rPr>
        <w:t>（一）单位自评情况</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0" w:firstLineChars="200"/>
        <w:jc w:val="both"/>
        <w:textAlignment w:val="auto"/>
        <w:rPr>
          <w:rFonts w:hint="default" w:ascii="Times New Roman" w:hAnsi="Times New Roman" w:eastAsia="方正仿宋_GBK" w:cs="Times New Roman"/>
          <w:kern w:val="0"/>
          <w:sz w:val="32"/>
          <w:szCs w:val="32"/>
          <w:shd w:val="clear" w:fill="FFFFFF"/>
          <w:lang w:eastAsia="zh-CN"/>
        </w:rPr>
      </w:pPr>
      <w:r>
        <w:rPr>
          <w:rFonts w:hint="default" w:ascii="Times New Roman" w:hAnsi="Times New Roman" w:eastAsia="方正仿宋_GBK" w:cs="Times New Roman"/>
          <w:kern w:val="0"/>
          <w:sz w:val="32"/>
          <w:szCs w:val="32"/>
          <w:shd w:val="clear" w:fill="FFFFFF"/>
        </w:rPr>
        <w:t>根据预算绩效管理要求，我部门对部门整体和</w:t>
      </w:r>
      <w:r>
        <w:rPr>
          <w:rFonts w:hint="default" w:ascii="Times New Roman" w:hAnsi="Times New Roman" w:eastAsia="方正仿宋_GBK" w:cs="Times New Roman"/>
          <w:kern w:val="0"/>
          <w:sz w:val="32"/>
          <w:szCs w:val="32"/>
          <w:shd w:val="clear" w:fill="FFFFFF"/>
          <w:lang w:val="en-US" w:eastAsia="zh-CN"/>
        </w:rPr>
        <w:t>47</w:t>
      </w:r>
      <w:r>
        <w:rPr>
          <w:rFonts w:hint="default" w:ascii="Times New Roman" w:hAnsi="Times New Roman" w:eastAsia="方正仿宋_GBK" w:cs="Times New Roman"/>
          <w:kern w:val="0"/>
          <w:sz w:val="32"/>
          <w:szCs w:val="32"/>
          <w:shd w:val="clear" w:fill="FFFFFF"/>
        </w:rPr>
        <w:t>个二级项目开展了绩效自评，涉及财</w:t>
      </w:r>
      <w:bookmarkStart w:id="0" w:name="_GoBack"/>
      <w:bookmarkEnd w:id="0"/>
      <w:r>
        <w:rPr>
          <w:rFonts w:hint="default" w:ascii="Times New Roman" w:hAnsi="Times New Roman" w:eastAsia="方正仿宋_GBK" w:cs="Times New Roman"/>
          <w:kern w:val="0"/>
          <w:sz w:val="32"/>
          <w:szCs w:val="32"/>
          <w:shd w:val="clear" w:fill="FFFFFF"/>
        </w:rPr>
        <w:t>政拨款项目支出资金</w:t>
      </w:r>
      <w:r>
        <w:rPr>
          <w:rFonts w:hint="default" w:ascii="Times New Roman" w:hAnsi="Times New Roman" w:eastAsia="方正仿宋_GBK" w:cs="Times New Roman"/>
          <w:kern w:val="0"/>
          <w:sz w:val="32"/>
          <w:szCs w:val="32"/>
          <w:shd w:val="clear" w:fill="FFFFFF"/>
          <w:lang w:val="en-US" w:eastAsia="zh-CN"/>
        </w:rPr>
        <w:t>1098.65</w:t>
      </w:r>
      <w:r>
        <w:rPr>
          <w:rFonts w:hint="default" w:ascii="Times New Roman" w:hAnsi="Times New Roman" w:eastAsia="方正仿宋_GBK" w:cs="Times New Roman"/>
          <w:kern w:val="0"/>
          <w:sz w:val="32"/>
          <w:szCs w:val="32"/>
          <w:shd w:val="clear" w:fill="FFFFFF"/>
        </w:rPr>
        <w:t>万元</w:t>
      </w:r>
      <w:r>
        <w:rPr>
          <w:rFonts w:hint="default" w:ascii="Times New Roman" w:hAnsi="Times New Roman" w:eastAsia="方正仿宋_GBK" w:cs="Times New Roman"/>
          <w:kern w:val="0"/>
          <w:sz w:val="32"/>
          <w:szCs w:val="32"/>
          <w:shd w:val="clear" w:fill="FFFFFF"/>
          <w:lang w:eastAsia="zh-CN"/>
        </w:rPr>
        <w:t>。</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b/>
          <w:bCs/>
          <w:kern w:val="0"/>
          <w:sz w:val="32"/>
          <w:szCs w:val="32"/>
          <w:shd w:val="clear" w:fill="FFFFFF"/>
          <w:lang w:val="en-US" w:eastAsia="zh-CN"/>
        </w:rPr>
      </w:pPr>
      <w:r>
        <w:rPr>
          <w:rFonts w:hint="default" w:ascii="Times New Roman" w:hAnsi="Times New Roman" w:eastAsia="方正仿宋_GBK" w:cs="Times New Roman"/>
          <w:b/>
          <w:bCs/>
          <w:kern w:val="0"/>
          <w:sz w:val="32"/>
          <w:szCs w:val="32"/>
          <w:shd w:val="clear" w:fill="FFFFFF"/>
        </w:rPr>
        <w:t>部门整体绩效自评</w:t>
      </w:r>
      <w:r>
        <w:rPr>
          <w:rFonts w:hint="default" w:ascii="Times New Roman" w:hAnsi="Times New Roman" w:eastAsia="方正仿宋_GBK" w:cs="Times New Roman"/>
          <w:b/>
          <w:bCs/>
          <w:kern w:val="0"/>
          <w:sz w:val="32"/>
          <w:szCs w:val="32"/>
          <w:shd w:val="clear" w:fill="FFFFFF"/>
          <w:lang w:eastAsia="zh-CN"/>
        </w:rPr>
        <w:t>表</w:t>
      </w:r>
      <w:r>
        <w:rPr>
          <w:rFonts w:hint="default" w:ascii="Times New Roman" w:hAnsi="Times New Roman" w:eastAsia="方正仿宋_GBK" w:cs="Times New Roman"/>
          <w:b/>
          <w:bCs/>
          <w:kern w:val="0"/>
          <w:sz w:val="32"/>
          <w:szCs w:val="32"/>
          <w:shd w:val="clear" w:fill="FFFFFF"/>
          <w:lang w:val="en-US" w:eastAsia="zh-CN"/>
        </w:rPr>
        <w:t xml:space="preserve">  </w:t>
      </w:r>
    </w:p>
    <w:tbl>
      <w:tblPr>
        <w:tblStyle w:val="7"/>
        <w:tblpPr w:leftFromText="180" w:rightFromText="180" w:vertAnchor="text" w:horzAnchor="page" w:tblpX="1688" w:tblpY="537"/>
        <w:tblOverlap w:val="never"/>
        <w:tblW w:w="9263" w:type="dxa"/>
        <w:tblInd w:w="0" w:type="dxa"/>
        <w:shd w:val="clear" w:color="auto" w:fill="auto"/>
        <w:tblLayout w:type="fixed"/>
        <w:tblCellMar>
          <w:top w:w="0" w:type="dxa"/>
          <w:left w:w="0" w:type="dxa"/>
          <w:bottom w:w="0" w:type="dxa"/>
          <w:right w:w="0" w:type="dxa"/>
        </w:tblCellMar>
      </w:tblPr>
      <w:tblGrid>
        <w:gridCol w:w="665"/>
        <w:gridCol w:w="665"/>
        <w:gridCol w:w="665"/>
        <w:gridCol w:w="1064"/>
        <w:gridCol w:w="823"/>
        <w:gridCol w:w="1130"/>
        <w:gridCol w:w="744"/>
        <w:gridCol w:w="1064"/>
        <w:gridCol w:w="864"/>
        <w:gridCol w:w="864"/>
        <w:gridCol w:w="715"/>
      </w:tblGrid>
      <w:tr>
        <w:tblPrEx>
          <w:shd w:val="clear" w:color="auto" w:fill="auto"/>
          <w:tblCellMar>
            <w:top w:w="0" w:type="dxa"/>
            <w:left w:w="0" w:type="dxa"/>
            <w:bottom w:w="0" w:type="dxa"/>
            <w:right w:w="0" w:type="dxa"/>
          </w:tblCellMar>
        </w:tblPrEx>
        <w:trPr>
          <w:trHeight w:val="800" w:hRule="atLeast"/>
        </w:trPr>
        <w:tc>
          <w:tcPr>
            <w:tcW w:w="9263"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center"/>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2024年度部门整体绩效自评表</w:t>
            </w:r>
          </w:p>
        </w:tc>
      </w:tr>
      <w:tr>
        <w:tblPrEx>
          <w:tblCellMar>
            <w:top w:w="0" w:type="dxa"/>
            <w:left w:w="0" w:type="dxa"/>
            <w:bottom w:w="0" w:type="dxa"/>
            <w:right w:w="0" w:type="dxa"/>
          </w:tblCellMar>
        </w:tblPrEx>
        <w:trPr>
          <w:trHeight w:val="500" w:hRule="atLeast"/>
        </w:trPr>
        <w:tc>
          <w:tcPr>
            <w:tcW w:w="9263"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jc w:val="left"/>
              <w:textAlignment w:val="center"/>
              <w:rPr>
                <w:rFonts w:hint="default" w:ascii="Times New Roman" w:hAnsi="Times New Roman" w:eastAsia="方正仿宋_GBK" w:cs="Times New Roman"/>
                <w:b/>
                <w:i w:val="0"/>
                <w:color w:val="DA3232"/>
                <w:sz w:val="16"/>
                <w:szCs w:val="16"/>
                <w:u w:val="none"/>
              </w:rPr>
            </w:pPr>
            <w:r>
              <w:rPr>
                <w:rFonts w:hint="default" w:ascii="Times New Roman" w:hAnsi="Times New Roman" w:eastAsia="方正仿宋_GBK" w:cs="Times New Roman"/>
                <w:b/>
                <w:i w:val="0"/>
                <w:color w:val="DA3232"/>
                <w:kern w:val="0"/>
                <w:sz w:val="16"/>
                <w:szCs w:val="16"/>
                <w:u w:val="none"/>
                <w:lang w:val="en-US" w:eastAsia="zh-CN" w:bidi="ar"/>
              </w:rPr>
              <w:t>单位：万元                                                                                   状态：业务审核已审</w:t>
            </w:r>
          </w:p>
        </w:tc>
      </w:tr>
      <w:tr>
        <w:tblPrEx>
          <w:tblCellMar>
            <w:top w:w="0" w:type="dxa"/>
            <w:left w:w="0" w:type="dxa"/>
            <w:bottom w:w="0" w:type="dxa"/>
            <w:right w:w="0" w:type="dxa"/>
          </w:tblCellMar>
        </w:tblPrEx>
        <w:trPr>
          <w:trHeight w:val="66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项目名称：</w:t>
            </w: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城口县葛城街道办事处整体监控</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项目编码：</w:t>
            </w:r>
          </w:p>
        </w:tc>
        <w:tc>
          <w:tcPr>
            <w:tcW w:w="195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50022900024P000053</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自评总分：</w:t>
            </w:r>
          </w:p>
        </w:tc>
        <w:tc>
          <w:tcPr>
            <w:tcW w:w="192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99.64</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1" w:firstLineChars="200"/>
              <w:jc w:val="both"/>
              <w:rPr>
                <w:rFonts w:hint="default" w:ascii="Times New Roman" w:hAnsi="Times New Roman" w:eastAsia="方正仿宋_GBK" w:cs="Times New Roman"/>
                <w:b/>
                <w:i w:val="0"/>
                <w:color w:val="000000"/>
                <w:sz w:val="16"/>
                <w:szCs w:val="16"/>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r>
      <w:tr>
        <w:tblPrEx>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项目主管部门：</w:t>
            </w:r>
          </w:p>
        </w:tc>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901-城口县葛城街道办事处</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财政归口处室：</w:t>
            </w:r>
          </w:p>
        </w:tc>
        <w:tc>
          <w:tcPr>
            <w:tcW w:w="195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005-预算科—乡镇</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部门联系人：</w:t>
            </w:r>
          </w:p>
        </w:tc>
        <w:tc>
          <w:tcPr>
            <w:tcW w:w="192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李健</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联系电话：</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59222208</w:t>
            </w:r>
          </w:p>
        </w:tc>
      </w:tr>
      <w:tr>
        <w:tblPrEx>
          <w:tblCellMar>
            <w:top w:w="0" w:type="dxa"/>
            <w:left w:w="0" w:type="dxa"/>
            <w:bottom w:w="0" w:type="dxa"/>
            <w:right w:w="0" w:type="dxa"/>
          </w:tblCellMar>
        </w:tblPrEx>
        <w:trPr>
          <w:trHeight w:val="600" w:hRule="atLeast"/>
        </w:trPr>
        <w:tc>
          <w:tcPr>
            <w:tcW w:w="9263"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808080"/>
                <w:sz w:val="16"/>
                <w:szCs w:val="16"/>
                <w:u w:val="none"/>
              </w:rPr>
            </w:pPr>
            <w:r>
              <w:rPr>
                <w:rFonts w:hint="default" w:ascii="Times New Roman" w:hAnsi="Times New Roman" w:eastAsia="方正仿宋_GBK" w:cs="Times New Roman"/>
                <w:b/>
                <w:i w:val="0"/>
                <w:color w:val="808080"/>
                <w:kern w:val="0"/>
                <w:sz w:val="16"/>
                <w:szCs w:val="16"/>
                <w:u w:val="none"/>
                <w:lang w:val="en-US" w:eastAsia="zh-CN" w:bidi="ar"/>
              </w:rPr>
              <w:t>资金情况</w:t>
            </w:r>
          </w:p>
        </w:tc>
      </w:tr>
      <w:tr>
        <w:tblPrEx>
          <w:tblCellMar>
            <w:top w:w="0" w:type="dxa"/>
            <w:left w:w="0" w:type="dxa"/>
            <w:bottom w:w="0" w:type="dxa"/>
            <w:right w:w="0" w:type="dxa"/>
          </w:tblCellMar>
        </w:tblPrEx>
        <w:trPr>
          <w:trHeight w:val="500" w:hRule="atLeast"/>
        </w:trPr>
        <w:tc>
          <w:tcPr>
            <w:tcW w:w="133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1729"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年初预算数</w:t>
            </w:r>
          </w:p>
        </w:tc>
        <w:tc>
          <w:tcPr>
            <w:tcW w:w="195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全年（调整）预算数</w:t>
            </w:r>
          </w:p>
        </w:tc>
        <w:tc>
          <w:tcPr>
            <w:tcW w:w="180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全年执行数</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执行率</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执行率权重</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执行率得分</w:t>
            </w:r>
          </w:p>
        </w:tc>
      </w:tr>
      <w:tr>
        <w:tblPrEx>
          <w:tblCellMar>
            <w:top w:w="0" w:type="dxa"/>
            <w:left w:w="0" w:type="dxa"/>
            <w:bottom w:w="0" w:type="dxa"/>
            <w:right w:w="0" w:type="dxa"/>
          </w:tblCellMar>
        </w:tblPrEx>
        <w:trPr>
          <w:trHeight w:val="500" w:hRule="atLeast"/>
        </w:trPr>
        <w:tc>
          <w:tcPr>
            <w:tcW w:w="665"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年度总金额</w:t>
            </w:r>
          </w:p>
        </w:tc>
        <w:tc>
          <w:tcPr>
            <w:tcW w:w="665"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665"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106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 xml:space="preserve">1,839.22 </w:t>
            </w:r>
          </w:p>
        </w:tc>
        <w:tc>
          <w:tcPr>
            <w:tcW w:w="823"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1130"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 xml:space="preserve">2,397.53 </w:t>
            </w:r>
          </w:p>
        </w:tc>
        <w:tc>
          <w:tcPr>
            <w:tcW w:w="7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106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 xml:space="preserve">2,311.56 </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r>
      <w:tr>
        <w:tblPrEx>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其中：财政拨款</w:t>
            </w:r>
          </w:p>
        </w:tc>
        <w:tc>
          <w:tcPr>
            <w:tcW w:w="665"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665"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106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 xml:space="preserve">1,839.22 </w:t>
            </w:r>
          </w:p>
        </w:tc>
        <w:tc>
          <w:tcPr>
            <w:tcW w:w="823"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1130"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 xml:space="preserve">2,397.53 </w:t>
            </w:r>
          </w:p>
        </w:tc>
        <w:tc>
          <w:tcPr>
            <w:tcW w:w="7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106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 xml:space="preserve">2,311.56 </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96.41</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10.00</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 xml:space="preserve">9.64 </w:t>
            </w:r>
          </w:p>
        </w:tc>
      </w:tr>
      <w:tr>
        <w:tblPrEx>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一般公共预算</w:t>
            </w:r>
          </w:p>
        </w:tc>
        <w:tc>
          <w:tcPr>
            <w:tcW w:w="665"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665"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106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 xml:space="preserve">1,829.48 </w:t>
            </w:r>
          </w:p>
        </w:tc>
        <w:tc>
          <w:tcPr>
            <w:tcW w:w="823"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1130"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 xml:space="preserve">2,387.80 </w:t>
            </w:r>
          </w:p>
        </w:tc>
        <w:tc>
          <w:tcPr>
            <w:tcW w:w="74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106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 xml:space="preserve">2,304.37 </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96.51</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r>
      <w:tr>
        <w:tblPrEx>
          <w:tblCellMar>
            <w:top w:w="0" w:type="dxa"/>
            <w:left w:w="0" w:type="dxa"/>
            <w:bottom w:w="0" w:type="dxa"/>
            <w:right w:w="0" w:type="dxa"/>
          </w:tblCellMar>
        </w:tblPrEx>
        <w:trPr>
          <w:trHeight w:val="600" w:hRule="atLeast"/>
        </w:trPr>
        <w:tc>
          <w:tcPr>
            <w:tcW w:w="9263"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808080"/>
                <w:sz w:val="16"/>
                <w:szCs w:val="16"/>
                <w:u w:val="none"/>
              </w:rPr>
            </w:pPr>
            <w:r>
              <w:rPr>
                <w:rFonts w:hint="default" w:ascii="Times New Roman" w:hAnsi="Times New Roman" w:eastAsia="方正仿宋_GBK" w:cs="Times New Roman"/>
                <w:b/>
                <w:i w:val="0"/>
                <w:color w:val="808080"/>
                <w:kern w:val="0"/>
                <w:sz w:val="16"/>
                <w:szCs w:val="16"/>
                <w:u w:val="none"/>
                <w:lang w:val="en-US" w:eastAsia="zh-CN" w:bidi="ar"/>
              </w:rPr>
              <w:t>绩效目标</w:t>
            </w:r>
          </w:p>
        </w:tc>
      </w:tr>
      <w:tr>
        <w:tblPrEx>
          <w:tblCellMar>
            <w:top w:w="0" w:type="dxa"/>
            <w:left w:w="0" w:type="dxa"/>
            <w:bottom w:w="0" w:type="dxa"/>
            <w:right w:w="0" w:type="dxa"/>
          </w:tblCellMar>
        </w:tblPrEx>
        <w:trPr>
          <w:trHeight w:val="500" w:hRule="atLeast"/>
        </w:trPr>
        <w:tc>
          <w:tcPr>
            <w:tcW w:w="305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年初绩效目标</w:t>
            </w:r>
          </w:p>
        </w:tc>
        <w:tc>
          <w:tcPr>
            <w:tcW w:w="3761"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全年（调整）绩效目标</w:t>
            </w:r>
          </w:p>
        </w:tc>
        <w:tc>
          <w:tcPr>
            <w:tcW w:w="2443"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全年目标实际完成情况</w:t>
            </w:r>
          </w:p>
        </w:tc>
      </w:tr>
      <w:tr>
        <w:tblPrEx>
          <w:tblCellMar>
            <w:top w:w="0" w:type="dxa"/>
            <w:left w:w="0" w:type="dxa"/>
            <w:bottom w:w="0" w:type="dxa"/>
            <w:right w:w="0" w:type="dxa"/>
          </w:tblCellMar>
        </w:tblPrEx>
        <w:trPr>
          <w:trHeight w:val="2120" w:hRule="atLeast"/>
        </w:trPr>
        <w:tc>
          <w:tcPr>
            <w:tcW w:w="305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top"/>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 xml:space="preserve"> </w:t>
            </w:r>
            <w:r>
              <w:rPr>
                <w:rStyle w:val="18"/>
                <w:rFonts w:hint="default" w:ascii="Times New Roman" w:hAnsi="Times New Roman" w:cs="Times New Roman"/>
                <w:lang w:val="en-US" w:eastAsia="zh-CN" w:bidi="ar"/>
              </w:rPr>
              <w:br w:type="textWrapping"/>
            </w:r>
            <w:r>
              <w:rPr>
                <w:rStyle w:val="18"/>
                <w:rFonts w:hint="default" w:ascii="Times New Roman" w:hAnsi="Times New Roman" w:cs="Times New Roman"/>
                <w:lang w:val="en-US" w:eastAsia="zh-CN" w:bidi="ar"/>
              </w:rPr>
              <w:t>切实履行三保兜底责任，严格控制三公经费支出，同时全力推进乡村振兴工作，以项目为引领、统筹整合为抓手、资金监管为核心，全力确保乡村振兴支出需求</w:t>
            </w:r>
          </w:p>
        </w:tc>
        <w:tc>
          <w:tcPr>
            <w:tcW w:w="3761"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c>
          <w:tcPr>
            <w:tcW w:w="2443"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top"/>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br w:type="textWrapping"/>
            </w:r>
            <w:r>
              <w:rPr>
                <w:rFonts w:hint="default" w:ascii="Times New Roman" w:hAnsi="Times New Roman" w:eastAsia="方正仿宋_GBK" w:cs="Times New Roman"/>
                <w:i w:val="0"/>
                <w:color w:val="000000"/>
                <w:kern w:val="0"/>
                <w:sz w:val="16"/>
                <w:szCs w:val="16"/>
                <w:u w:val="none"/>
                <w:lang w:val="en-US" w:eastAsia="zh-CN" w:bidi="ar"/>
              </w:rPr>
              <w:t>切实履行三保兜底责任，严格控制三公经费支出，同时全力推进乡村振兴工作，以项目为引领、统筹整合为抓手、资金监管为核心，全力确保乡村振兴支出需求</w:t>
            </w:r>
          </w:p>
        </w:tc>
      </w:tr>
      <w:tr>
        <w:tblPrEx>
          <w:tblCellMar>
            <w:top w:w="0" w:type="dxa"/>
            <w:left w:w="0" w:type="dxa"/>
            <w:bottom w:w="0" w:type="dxa"/>
            <w:right w:w="0" w:type="dxa"/>
          </w:tblCellMar>
        </w:tblPrEx>
        <w:trPr>
          <w:trHeight w:val="600" w:hRule="atLeast"/>
        </w:trPr>
        <w:tc>
          <w:tcPr>
            <w:tcW w:w="9263"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808080"/>
                <w:sz w:val="16"/>
                <w:szCs w:val="16"/>
                <w:u w:val="none"/>
              </w:rPr>
            </w:pPr>
            <w:r>
              <w:rPr>
                <w:rFonts w:hint="default" w:ascii="Times New Roman" w:hAnsi="Times New Roman" w:eastAsia="方正仿宋_GBK" w:cs="Times New Roman"/>
                <w:b/>
                <w:i w:val="0"/>
                <w:color w:val="808080"/>
                <w:kern w:val="0"/>
                <w:sz w:val="16"/>
                <w:szCs w:val="16"/>
                <w:u w:val="none"/>
                <w:lang w:val="en-US" w:eastAsia="zh-CN" w:bidi="ar"/>
              </w:rPr>
              <w:t>绩效指标</w:t>
            </w:r>
          </w:p>
        </w:tc>
      </w:tr>
      <w:tr>
        <w:tblPrEx>
          <w:tblCellMar>
            <w:top w:w="0" w:type="dxa"/>
            <w:left w:w="0" w:type="dxa"/>
            <w:bottom w:w="0" w:type="dxa"/>
            <w:right w:w="0" w:type="dxa"/>
          </w:tblCellMar>
        </w:tblPrEx>
        <w:trPr>
          <w:trHeight w:val="5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指标名称</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计量单位</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指标性质</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指标值</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全年完成值</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偏离度（%）</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得分系数（%）</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指标权重</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指标得分</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是否核心指标</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1" w:firstLineChars="200"/>
              <w:jc w:val="both"/>
              <w:textAlignment w:val="center"/>
              <w:rPr>
                <w:rFonts w:hint="default" w:ascii="Times New Roman" w:hAnsi="Times New Roman" w:eastAsia="方正仿宋_GBK" w:cs="Times New Roman"/>
                <w:b/>
                <w:i w:val="0"/>
                <w:color w:val="000000"/>
                <w:sz w:val="16"/>
                <w:szCs w:val="16"/>
                <w:u w:val="none"/>
              </w:rPr>
            </w:pPr>
            <w:r>
              <w:rPr>
                <w:rFonts w:hint="default" w:ascii="Times New Roman" w:hAnsi="Times New Roman" w:eastAsia="方正仿宋_GBK" w:cs="Times New Roman"/>
                <w:b/>
                <w:i w:val="0"/>
                <w:color w:val="000000"/>
                <w:kern w:val="0"/>
                <w:sz w:val="16"/>
                <w:szCs w:val="16"/>
                <w:u w:val="none"/>
                <w:lang w:val="en-US" w:eastAsia="zh-CN" w:bidi="ar"/>
              </w:rPr>
              <w:t>说明</w:t>
            </w:r>
          </w:p>
        </w:tc>
      </w:tr>
      <w:tr>
        <w:tblPrEx>
          <w:tblCellMar>
            <w:top w:w="0" w:type="dxa"/>
            <w:left w:w="0" w:type="dxa"/>
            <w:bottom w:w="0" w:type="dxa"/>
            <w:right w:w="0" w:type="dxa"/>
          </w:tblCellMar>
        </w:tblPrEx>
        <w:trPr>
          <w:trHeight w:val="5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政府采购合规性</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是</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r>
      <w:tr>
        <w:tblPrEx>
          <w:tblCellMar>
            <w:top w:w="0" w:type="dxa"/>
            <w:left w:w="0" w:type="dxa"/>
            <w:bottom w:w="0" w:type="dxa"/>
            <w:right w:w="0" w:type="dxa"/>
          </w:tblCellMar>
        </w:tblPrEx>
        <w:trPr>
          <w:trHeight w:val="5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资金使用合规性</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95</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95</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20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20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是</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r>
      <w:tr>
        <w:tblPrEx>
          <w:tblCellMar>
            <w:top w:w="0" w:type="dxa"/>
            <w:left w:w="0" w:type="dxa"/>
            <w:bottom w:w="0" w:type="dxa"/>
            <w:right w:w="0" w:type="dxa"/>
          </w:tblCellMar>
        </w:tblPrEx>
        <w:trPr>
          <w:trHeight w:val="5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人员待遇发放及时性</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95</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95</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20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20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是</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r>
      <w:tr>
        <w:tblPrEx>
          <w:tblCellMar>
            <w:top w:w="0" w:type="dxa"/>
            <w:left w:w="0" w:type="dxa"/>
            <w:bottom w:w="0" w:type="dxa"/>
            <w:right w:w="0" w:type="dxa"/>
          </w:tblCellMar>
        </w:tblPrEx>
        <w:trPr>
          <w:trHeight w:val="5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预算支出序时进度合理性</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95</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95</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否</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r>
      <w:tr>
        <w:tblPrEx>
          <w:tblCellMar>
            <w:top w:w="0" w:type="dxa"/>
            <w:left w:w="0" w:type="dxa"/>
            <w:bottom w:w="0" w:type="dxa"/>
            <w:right w:w="0" w:type="dxa"/>
          </w:tblCellMar>
        </w:tblPrEx>
        <w:trPr>
          <w:trHeight w:val="5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三公经费控制情况</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98</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98</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是</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r>
      <w:tr>
        <w:tblPrEx>
          <w:tblCellMar>
            <w:top w:w="0" w:type="dxa"/>
            <w:left w:w="0" w:type="dxa"/>
            <w:bottom w:w="0" w:type="dxa"/>
            <w:right w:w="0" w:type="dxa"/>
          </w:tblCellMar>
        </w:tblPrEx>
        <w:trPr>
          <w:trHeight w:val="5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资金结转结余率</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5</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否</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r>
      <w:tr>
        <w:tblPrEx>
          <w:tblCellMar>
            <w:top w:w="0" w:type="dxa"/>
            <w:left w:w="0" w:type="dxa"/>
            <w:bottom w:w="0" w:type="dxa"/>
            <w:right w:w="0" w:type="dxa"/>
          </w:tblCellMar>
        </w:tblPrEx>
        <w:trPr>
          <w:trHeight w:val="5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满意度</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95</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95</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否</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r>
      <w:tr>
        <w:tblPrEx>
          <w:tblCellMar>
            <w:top w:w="0" w:type="dxa"/>
            <w:left w:w="0" w:type="dxa"/>
            <w:bottom w:w="0" w:type="dxa"/>
            <w:right w:w="0" w:type="dxa"/>
          </w:tblCellMar>
        </w:tblPrEx>
        <w:trPr>
          <w:trHeight w:val="5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资金使用公开率</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w:t>
            </w:r>
          </w:p>
        </w:tc>
        <w:tc>
          <w:tcPr>
            <w:tcW w:w="8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100</w:t>
            </w:r>
          </w:p>
        </w:tc>
        <w:tc>
          <w:tcPr>
            <w:tcW w:w="10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N/>
              <w:bidi w:val="0"/>
              <w:adjustRightInd/>
              <w:spacing w:beforeAutospacing="0" w:afterAutospacing="0" w:line="570" w:lineRule="exact"/>
              <w:ind w:firstLine="320" w:firstLineChars="200"/>
              <w:jc w:val="both"/>
              <w:textAlignment w:val="center"/>
              <w:rPr>
                <w:rFonts w:hint="default" w:ascii="Times New Roman" w:hAnsi="Times New Roman" w:eastAsia="方正仿宋_GBK" w:cs="Times New Roman"/>
                <w:i w:val="0"/>
                <w:color w:val="000000"/>
                <w:sz w:val="16"/>
                <w:szCs w:val="16"/>
                <w:u w:val="none"/>
              </w:rPr>
            </w:pPr>
            <w:r>
              <w:rPr>
                <w:rFonts w:hint="default" w:ascii="Times New Roman" w:hAnsi="Times New Roman" w:eastAsia="方正仿宋_GBK" w:cs="Times New Roman"/>
                <w:i w:val="0"/>
                <w:color w:val="000000"/>
                <w:kern w:val="0"/>
                <w:sz w:val="16"/>
                <w:szCs w:val="16"/>
                <w:u w:val="none"/>
                <w:lang w:val="en-US" w:eastAsia="zh-CN" w:bidi="ar"/>
              </w:rPr>
              <w:t>是</w:t>
            </w: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N/>
              <w:bidi w:val="0"/>
              <w:adjustRightInd/>
              <w:spacing w:beforeAutospacing="0" w:afterAutospacing="0" w:line="570" w:lineRule="exact"/>
              <w:ind w:firstLine="320" w:firstLineChars="200"/>
              <w:jc w:val="both"/>
              <w:rPr>
                <w:rFonts w:hint="default" w:ascii="Times New Roman" w:hAnsi="Times New Roman" w:eastAsia="方正仿宋_GBK" w:cs="Times New Roman"/>
                <w:i w:val="0"/>
                <w:color w:val="000000"/>
                <w:sz w:val="16"/>
                <w:szCs w:val="16"/>
                <w:u w:val="none"/>
              </w:rPr>
            </w:pPr>
          </w:p>
        </w:tc>
      </w:tr>
    </w:tbl>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jc w:val="both"/>
        <w:textAlignment w:val="auto"/>
        <w:rPr>
          <w:rFonts w:hint="default" w:ascii="Times New Roman" w:hAnsi="Times New Roman" w:eastAsia="方正仿宋_GBK" w:cs="Times New Roman"/>
          <w:b/>
          <w:bCs/>
          <w:kern w:val="0"/>
          <w:sz w:val="32"/>
          <w:szCs w:val="32"/>
          <w:shd w:val="clear" w:fill="FFFFFF"/>
          <w:lang w:eastAsia="zh-CN"/>
        </w:rPr>
      </w:pPr>
      <w:r>
        <w:rPr>
          <w:rFonts w:hint="default" w:ascii="Times New Roman" w:hAnsi="Times New Roman" w:eastAsia="方正仿宋_GBK" w:cs="Times New Roman"/>
          <w:b/>
          <w:bCs/>
          <w:kern w:val="0"/>
          <w:sz w:val="32"/>
          <w:szCs w:val="32"/>
          <w:shd w:val="clear" w:fill="FFFFFF"/>
          <w:lang w:val="en-US" w:eastAsia="zh-CN"/>
        </w:rPr>
        <w:t xml:space="preserve"> </w:t>
      </w:r>
      <w:r>
        <w:rPr>
          <w:rFonts w:hint="eastAsia" w:ascii="Times New Roman" w:hAnsi="Times New Roman" w:eastAsia="方正仿宋_GBK" w:cs="Times New Roman"/>
          <w:b/>
          <w:bCs/>
          <w:kern w:val="0"/>
          <w:sz w:val="32"/>
          <w:szCs w:val="32"/>
          <w:shd w:val="clear" w:fill="FFFFFF"/>
          <w:lang w:val="en-US" w:eastAsia="zh-CN"/>
        </w:rPr>
        <w:t>项目支出绩效自评表：</w:t>
      </w:r>
      <w:r>
        <w:rPr>
          <w:rFonts w:hint="eastAsia" w:ascii="Times New Roman" w:hAnsi="Times New Roman" w:eastAsia="方正仿宋_GBK" w:cs="Times New Roman"/>
          <w:kern w:val="0"/>
          <w:sz w:val="32"/>
          <w:szCs w:val="32"/>
          <w:shd w:val="clear" w:fill="FFFFFF"/>
          <w:lang w:val="en-US" w:eastAsia="zh-CN" w:bidi="ar-SA"/>
        </w:rPr>
        <w:t>见附件。</w:t>
      </w:r>
      <w:r>
        <w:rPr>
          <w:rFonts w:hint="default" w:ascii="Times New Roman" w:hAnsi="Times New Roman" w:eastAsia="方正仿宋_GBK" w:cs="Times New Roman"/>
          <w:kern w:val="0"/>
          <w:sz w:val="32"/>
          <w:szCs w:val="32"/>
          <w:shd w:val="clear" w:fill="FFFFFF"/>
          <w:lang w:val="en-US" w:eastAsia="zh-CN" w:bidi="ar-SA"/>
        </w:rPr>
        <w:t xml:space="preserve">  </w:t>
      </w:r>
      <w:r>
        <w:rPr>
          <w:rFonts w:hint="default" w:ascii="Times New Roman" w:hAnsi="Times New Roman" w:eastAsia="方正仿宋_GBK" w:cs="Times New Roman"/>
          <w:b/>
          <w:bCs/>
          <w:kern w:val="0"/>
          <w:sz w:val="32"/>
          <w:szCs w:val="32"/>
          <w:shd w:val="clear" w:fill="FFFFFF"/>
          <w:lang w:val="en-US" w:eastAsia="zh-CN"/>
        </w:rPr>
        <w:t xml:space="preserve">         </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楷体" w:cs="Times New Roman"/>
          <w:b/>
          <w:bCs/>
          <w:kern w:val="0"/>
          <w:sz w:val="32"/>
          <w:szCs w:val="32"/>
          <w:shd w:val="clear" w:fill="FFFFFF"/>
        </w:rPr>
      </w:pPr>
      <w:r>
        <w:rPr>
          <w:rFonts w:hint="default" w:ascii="Times New Roman" w:hAnsi="Times New Roman" w:eastAsia="楷体" w:cs="Times New Roman"/>
          <w:b/>
          <w:bCs/>
          <w:kern w:val="0"/>
          <w:sz w:val="32"/>
          <w:szCs w:val="32"/>
          <w:shd w:val="clear" w:fill="FFFFFF"/>
        </w:rPr>
        <w:t>（二）部门绩效评价情况</w:t>
      </w:r>
    </w:p>
    <w:p>
      <w:pPr>
        <w:pStyle w:val="11"/>
        <w:keepNext w:val="0"/>
        <w:keepLines w:val="0"/>
        <w:pageBreakBefore w:val="0"/>
        <w:widowControl/>
        <w:kinsoku/>
        <w:wordWrap/>
        <w:overflowPunct/>
        <w:topLinePunct w:val="0"/>
        <w:autoSpaceDE w:val="0"/>
        <w:autoSpaceDN/>
        <w:bidi w:val="0"/>
        <w:adjustRightInd/>
        <w:spacing w:beforeAutospacing="0" w:afterAutospacing="0" w:line="570"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kern w:val="0"/>
          <w:sz w:val="32"/>
          <w:szCs w:val="32"/>
          <w:shd w:val="clear" w:fill="FFFFFF"/>
        </w:rPr>
        <w:t>我部门对城口县2024年葛城街道中药材产业基地项目开展了绩效评价，涉及财政拨款项目资金</w:t>
      </w:r>
      <w:r>
        <w:rPr>
          <w:rFonts w:hint="default" w:ascii="Times New Roman" w:hAnsi="Times New Roman" w:eastAsia="方正仿宋_GBK" w:cs="Times New Roman"/>
          <w:kern w:val="0"/>
          <w:sz w:val="32"/>
          <w:szCs w:val="32"/>
          <w:shd w:val="clear" w:fill="FFFFFF"/>
          <w:lang w:val="en-US" w:eastAsia="zh-CN"/>
        </w:rPr>
        <w:t>80</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100</w:t>
      </w:r>
      <w:r>
        <w:rPr>
          <w:rFonts w:hint="default" w:ascii="Times New Roman" w:hAnsi="Times New Roman" w:eastAsia="方正仿宋_GBK" w:cs="Times New Roman"/>
          <w:kern w:val="0"/>
          <w:sz w:val="32"/>
          <w:szCs w:val="32"/>
          <w:shd w:val="clear" w:fill="FFFFFF"/>
        </w:rPr>
        <w:t>分，绩效评价发现了</w:t>
      </w:r>
      <w:r>
        <w:rPr>
          <w:rFonts w:hint="default" w:ascii="Times New Roman" w:hAnsi="Times New Roman" w:eastAsia="方正仿宋_GBK" w:cs="Times New Roman"/>
          <w:sz w:val="32"/>
          <w:szCs w:val="32"/>
          <w:shd w:val="clear" w:color="auto" w:fill="FFFFFF"/>
        </w:rPr>
        <w:t>个别特殊困难群众的等、靠、要思想严重，其原因是自身发展动力不足，懒惰情绪滋生，没有发挥干事致富的主观能动性等</w:t>
      </w:r>
      <w:r>
        <w:rPr>
          <w:rFonts w:hint="default" w:ascii="Times New Roman" w:hAnsi="Times New Roman" w:eastAsia="方正仿宋_GBK" w:cs="Times New Roman"/>
          <w:kern w:val="0"/>
          <w:sz w:val="32"/>
          <w:szCs w:val="32"/>
          <w:shd w:val="clear" w:fill="FFFFFF"/>
        </w:rPr>
        <w:t>主要问题，提出</w:t>
      </w:r>
      <w:r>
        <w:rPr>
          <w:rFonts w:hint="default" w:ascii="Times New Roman" w:hAnsi="Times New Roman" w:eastAsia="方正仿宋_GBK" w:cs="Times New Roman"/>
          <w:sz w:val="32"/>
          <w:szCs w:val="32"/>
          <w:shd w:val="clear" w:color="auto" w:fill="FFFFFF"/>
        </w:rPr>
        <w:t>扶贫先扶志，引导其摒弃等、靠、要的思想，增强致富创业的主观能动性，同时，扶贫干部要积极宣传政策，践行党的宗旨意识，实现好、维护好、发展好人民群众的根本利益</w:t>
      </w:r>
      <w:r>
        <w:rPr>
          <w:rFonts w:hint="default" w:ascii="Times New Roman" w:hAnsi="Times New Roman" w:eastAsia="方正仿宋_GBK" w:cs="Times New Roman"/>
          <w:sz w:val="32"/>
          <w:szCs w:val="32"/>
          <w:shd w:val="clear" w:color="auto" w:fill="FFFFFF"/>
          <w:lang w:eastAsia="zh-CN"/>
        </w:rPr>
        <w:t>。</w:t>
      </w:r>
    </w:p>
    <w:p>
      <w:pPr>
        <w:pStyle w:val="16"/>
        <w:keepNext w:val="0"/>
        <w:keepLines w:val="0"/>
        <w:pageBreakBefore w:val="0"/>
        <w:widowControl/>
        <w:kinsoku/>
        <w:wordWrap/>
        <w:overflowPunct/>
        <w:topLinePunct w:val="0"/>
        <w:autoSpaceDE w:val="0"/>
        <w:autoSpaceDN/>
        <w:bidi w:val="0"/>
        <w:adjustRightInd/>
        <w:snapToGrid/>
        <w:spacing w:beforeAutospacing="0" w:after="0" w:afterAutospacing="0" w:line="570" w:lineRule="exact"/>
        <w:ind w:left="0" w:firstLine="643" w:firstLineChars="200"/>
        <w:jc w:val="both"/>
        <w:textAlignment w:val="auto"/>
        <w:rPr>
          <w:rFonts w:hint="default" w:ascii="Times New Roman" w:hAnsi="Times New Roman" w:eastAsia="方正仿宋_GBK" w:cs="Times New Roman"/>
          <w:b w:val="0"/>
          <w:bCs w:val="0"/>
          <w:kern w:val="0"/>
          <w:sz w:val="32"/>
          <w:szCs w:val="32"/>
          <w:shd w:val="clear" w:fill="FFFFFF"/>
        </w:rPr>
      </w:pPr>
      <w:r>
        <w:rPr>
          <w:rFonts w:hint="default" w:ascii="Times New Roman" w:hAnsi="Times New Roman" w:eastAsia="楷体" w:cs="Times New Roman"/>
          <w:b/>
          <w:bCs/>
          <w:kern w:val="0"/>
          <w:sz w:val="32"/>
          <w:szCs w:val="32"/>
          <w:shd w:val="clear" w:fill="FFFFFF"/>
          <w:lang w:val="en-US" w:eastAsia="zh-CN" w:bidi="ar"/>
        </w:rPr>
        <w:t>（三）财政绩效评价情况</w:t>
      </w:r>
    </w:p>
    <w:p>
      <w:pPr>
        <w:pStyle w:val="16"/>
        <w:keepNext w:val="0"/>
        <w:keepLines w:val="0"/>
        <w:pageBreakBefore w:val="0"/>
        <w:widowControl/>
        <w:kinsoku/>
        <w:wordWrap/>
        <w:overflowPunct/>
        <w:topLinePunct w:val="0"/>
        <w:autoSpaceDE w:val="0"/>
        <w:autoSpaceDN/>
        <w:bidi w:val="0"/>
        <w:adjustRightInd/>
        <w:snapToGrid/>
        <w:spacing w:beforeAutospacing="0" w:after="0" w:afterAutospacing="0" w:line="570" w:lineRule="exact"/>
        <w:ind w:left="0" w:firstLine="640" w:firstLineChars="200"/>
        <w:jc w:val="both"/>
        <w:textAlignment w:val="auto"/>
        <w:rPr>
          <w:rFonts w:hint="default" w:ascii="Times New Roman" w:hAnsi="Times New Roman" w:eastAsia="方正仿宋_GBK" w:cs="Times New Roman"/>
          <w:kern w:val="0"/>
          <w:sz w:val="32"/>
          <w:szCs w:val="32"/>
          <w:shd w:val="clear" w:fill="FFFFFF"/>
          <w:lang w:eastAsia="zh-CN"/>
        </w:rPr>
      </w:pPr>
      <w:r>
        <w:rPr>
          <w:rFonts w:hint="default" w:ascii="Times New Roman" w:hAnsi="Times New Roman" w:eastAsia="方正仿宋_GBK" w:cs="Times New Roman"/>
          <w:sz w:val="32"/>
          <w:szCs w:val="32"/>
          <w:shd w:val="clear" w:color="auto" w:fill="FFFFFF"/>
        </w:rPr>
        <w:t>县财政局对我部门绩效工作开展情况进行指导、监督，全面审核我部门绩效完成情况</w:t>
      </w:r>
      <w:r>
        <w:rPr>
          <w:rFonts w:hint="default" w:ascii="Times New Roman" w:hAnsi="Times New Roman" w:eastAsia="方正仿宋_GBK" w:cs="Times New Roman"/>
          <w:sz w:val="32"/>
          <w:szCs w:val="32"/>
          <w:shd w:val="clear" w:color="auto" w:fill="FFFFFF"/>
          <w:lang w:eastAsia="zh-CN"/>
        </w:rPr>
        <w:t>。</w:t>
      </w:r>
    </w:p>
    <w:p>
      <w:pPr>
        <w:pStyle w:val="12"/>
        <w:keepNext w:val="0"/>
        <w:keepLines w:val="0"/>
        <w:pageBreakBefore w:val="0"/>
        <w:widowControl/>
        <w:kinsoku/>
        <w:wordWrap/>
        <w:overflowPunct/>
        <w:topLinePunct w:val="0"/>
        <w:autoSpaceDE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方正仿宋_GBK" w:cs="Times New Roman"/>
          <w:b/>
          <w:bCs/>
          <w:sz w:val="32"/>
          <w:szCs w:val="32"/>
          <w:shd w:val="clear" w:fill="FFFFFF"/>
        </w:rPr>
        <w:t xml:space="preserve"> </w:t>
      </w:r>
      <w:r>
        <w:rPr>
          <w:rStyle w:val="13"/>
          <w:rFonts w:hint="default" w:ascii="Times New Roman" w:hAnsi="Times New Roman" w:eastAsia="方正仿宋_GBK" w:cs="Times New Roman"/>
          <w:b/>
          <w:bCs/>
          <w:sz w:val="32"/>
          <w:szCs w:val="32"/>
          <w:shd w:val="clear" w:fill="FFFFFF"/>
          <w:lang w:val="en-US" w:eastAsia="zh-CN"/>
        </w:rPr>
        <w:t xml:space="preserve">  </w:t>
      </w:r>
      <w:r>
        <w:rPr>
          <w:rStyle w:val="10"/>
          <w:rFonts w:hint="default" w:ascii="Times New Roman" w:hAnsi="Times New Roman" w:eastAsia="黑体" w:cs="Times New Roman"/>
          <w:sz w:val="32"/>
          <w:szCs w:val="32"/>
          <w:shd w:val="clear" w:color="auto" w:fill="FFFFFF"/>
          <w:lang w:val="en-US" w:eastAsia="zh-CN" w:bidi="ar-SA"/>
        </w:rPr>
        <w:t xml:space="preserve"> 六、专业名词解释</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（一）财政拨款收入：</w:t>
      </w:r>
      <w:r>
        <w:rPr>
          <w:rFonts w:hint="default" w:ascii="Times New Roman" w:hAnsi="Times New Roman" w:eastAsia="方正仿宋_GBK" w:cs="Times New Roman"/>
          <w:kern w:val="0"/>
          <w:sz w:val="32"/>
          <w:szCs w:val="32"/>
          <w:shd w:val="clear" w:fill="FFFFFF"/>
        </w:rPr>
        <w:t>指本年度从本级财政部门取得的财政拨款，包括一般公共预算财政拨款和政府性基金预算财政拨款。</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（二）事业收入：</w:t>
      </w:r>
      <w:r>
        <w:rPr>
          <w:rFonts w:hint="default" w:ascii="Times New Roman" w:hAnsi="Times New Roman" w:eastAsia="方正仿宋_GBK" w:cs="Times New Roman"/>
          <w:kern w:val="0"/>
          <w:sz w:val="32"/>
          <w:szCs w:val="32"/>
          <w:shd w:val="clear" w:fill="FFFFFF"/>
        </w:rPr>
        <w:t>指事业单位开展专业业务活动及其辅助活动取得的现金流入；事业单位收到的财政专户实际核拨的教育收费等资金在此反映。</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（三）经营收入：</w:t>
      </w:r>
      <w:r>
        <w:rPr>
          <w:rFonts w:hint="default" w:ascii="Times New Roman" w:hAnsi="Times New Roman" w:eastAsia="方正仿宋_GBK" w:cs="Times New Roman"/>
          <w:kern w:val="0"/>
          <w:sz w:val="32"/>
          <w:szCs w:val="32"/>
          <w:shd w:val="clear" w:fill="FFFFFF"/>
        </w:rPr>
        <w:t>指事业单位在专业业务活动及其辅助活动之外开展非独立核算经营活动取得的现金流入。</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（四）其他收入：</w:t>
      </w:r>
      <w:r>
        <w:rPr>
          <w:rFonts w:hint="default" w:ascii="Times New Roman" w:hAnsi="Times New Roman" w:eastAsia="方正仿宋_GBK" w:cs="Times New Roman"/>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（五）使用非财政拨款结余（含专用结余）：</w:t>
      </w:r>
      <w:r>
        <w:rPr>
          <w:rFonts w:hint="default" w:ascii="Times New Roman" w:hAnsi="Times New Roman" w:eastAsia="方正仿宋_GBK" w:cs="Times New Roman"/>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（六）年初结转和结余：</w:t>
      </w:r>
      <w:r>
        <w:rPr>
          <w:rFonts w:hint="default" w:ascii="Times New Roman" w:hAnsi="Times New Roman" w:eastAsia="方正仿宋_GBK" w:cs="Times New Roman"/>
          <w:kern w:val="0"/>
          <w:sz w:val="32"/>
          <w:szCs w:val="32"/>
          <w:shd w:val="clear" w:fill="FFFFFF"/>
        </w:rPr>
        <w:t>指单位上年结转本年使用的基本支出结转、项目支出结转和结余、经营结余。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（七）结余分配：</w:t>
      </w:r>
      <w:r>
        <w:rPr>
          <w:rFonts w:hint="default" w:ascii="Times New Roman" w:hAnsi="Times New Roman" w:eastAsia="方正仿宋_GBK" w:cs="Times New Roman"/>
          <w:kern w:val="0"/>
          <w:sz w:val="32"/>
          <w:szCs w:val="32"/>
          <w:shd w:val="clear" w:fill="FFFFFF"/>
        </w:rPr>
        <w:t>指单位按照国家有关规定，缴纳所得税、提取专用基金、转入非财政拨款结余等当年结余的分配情况。</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（八）年末结转和结余：</w:t>
      </w:r>
      <w:r>
        <w:rPr>
          <w:rFonts w:hint="default" w:ascii="Times New Roman" w:hAnsi="Times New Roman" w:eastAsia="方正仿宋_GBK" w:cs="Times New Roman"/>
          <w:kern w:val="0"/>
          <w:sz w:val="32"/>
          <w:szCs w:val="32"/>
          <w:shd w:val="clear" w:fill="FFFFFF"/>
        </w:rPr>
        <w:t>指单位结转下年的基本支出结转、项目支出结转和结余、经营结余。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（九）基本支出：</w:t>
      </w:r>
      <w:r>
        <w:rPr>
          <w:rFonts w:hint="default" w:ascii="Times New Roman" w:hAnsi="Times New Roman" w:eastAsia="方正仿宋_GBK" w:cs="Times New Roman"/>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（十）项目支出：</w:t>
      </w:r>
      <w:r>
        <w:rPr>
          <w:rFonts w:hint="default" w:ascii="Times New Roman" w:hAnsi="Times New Roman" w:eastAsia="方正仿宋_GBK" w:cs="Times New Roman"/>
          <w:kern w:val="0"/>
          <w:sz w:val="32"/>
          <w:szCs w:val="32"/>
          <w:shd w:val="clear" w:fill="FFFFFF"/>
        </w:rPr>
        <w:t>指在基本支出之外为完成特定行政任务和事业发展目标所发生的支出。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（十一）经营支出：</w:t>
      </w:r>
      <w:r>
        <w:rPr>
          <w:rFonts w:hint="default" w:ascii="Times New Roman" w:hAnsi="Times New Roman" w:eastAsia="方正仿宋_GBK" w:cs="Times New Roman"/>
          <w:kern w:val="0"/>
          <w:sz w:val="32"/>
          <w:szCs w:val="32"/>
          <w:shd w:val="clear" w:fill="FFFFFF"/>
        </w:rPr>
        <w:t>指事业单位在专业业务活动及其辅助活动之外开展非独立核算经营活动发生的支出。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（十二）“三公”经费：</w:t>
      </w:r>
      <w:r>
        <w:rPr>
          <w:rFonts w:hint="default" w:ascii="Times New Roman" w:hAnsi="Times New Roman" w:eastAsia="方正仿宋_GBK" w:cs="Times New Roman"/>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（十三）机关运行经费：</w:t>
      </w:r>
      <w:r>
        <w:rPr>
          <w:rFonts w:hint="default" w:ascii="Times New Roman" w:hAnsi="Times New Roman" w:eastAsia="方正仿宋_GBK" w:cs="Times New Roman"/>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（十四）工资福利支出（支出经济分类科目类级）：</w:t>
      </w:r>
      <w:r>
        <w:rPr>
          <w:rFonts w:hint="default" w:ascii="Times New Roman" w:hAnsi="Times New Roman" w:eastAsia="方正仿宋_GBK" w:cs="Times New Roman"/>
          <w:kern w:val="0"/>
          <w:sz w:val="32"/>
          <w:szCs w:val="32"/>
          <w:shd w:val="clear" w:fill="FFFFFF"/>
        </w:rPr>
        <w:t>反映单位开支的在职职工和编制外长期聘用人员的各类劳动报酬，以及为上述人员缴纳的各项社会保险费等。</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（十五）商品和服务支出（支出经济分类科目类级）：</w:t>
      </w:r>
      <w:r>
        <w:rPr>
          <w:rFonts w:hint="default" w:ascii="Times New Roman" w:hAnsi="Times New Roman" w:eastAsia="方正仿宋_GBK" w:cs="Times New Roman"/>
          <w:kern w:val="0"/>
          <w:sz w:val="32"/>
          <w:szCs w:val="32"/>
          <w:shd w:val="clear" w:fill="FFFFFF"/>
        </w:rPr>
        <w:t>反映单位购买商品和服务的支出（不包括用于购置固定资产的支出、战略性和应急储备支出）。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（十六）对个人和家庭的补助（支出经济分类科目类级）：</w:t>
      </w:r>
      <w:r>
        <w:rPr>
          <w:rFonts w:hint="default" w:ascii="Times New Roman" w:hAnsi="Times New Roman" w:eastAsia="方正仿宋_GBK" w:cs="Times New Roman"/>
          <w:kern w:val="0"/>
          <w:sz w:val="32"/>
          <w:szCs w:val="32"/>
          <w:shd w:val="clear" w:fill="FFFFFF"/>
        </w:rPr>
        <w:t>反映用于对个人和家庭的补助支出。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（十七）其他资本性支出（支出经济分类科目类级）：</w:t>
      </w:r>
      <w:r>
        <w:rPr>
          <w:rFonts w:hint="default" w:ascii="Times New Roman" w:hAnsi="Times New Roman" w:eastAsia="方正仿宋_GBK" w:cs="Times New Roman"/>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70" w:lineRule="exact"/>
        <w:ind w:firstLine="643" w:firstLineChars="200"/>
        <w:jc w:val="both"/>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黑体" w:cs="Times New Roman"/>
          <w:sz w:val="32"/>
          <w:szCs w:val="32"/>
          <w:shd w:val="clear" w:color="auto" w:fill="FFFFFF"/>
          <w:lang w:val="en-US" w:eastAsia="zh-CN" w:bidi="ar-SA"/>
        </w:rPr>
        <w:t>七、决算公开联系方式及信息反馈渠道</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70" w:lineRule="exact"/>
        <w:ind w:firstLine="640" w:firstLineChars="200"/>
        <w:jc w:val="both"/>
        <w:rPr>
          <w:rStyle w:val="10"/>
          <w:rFonts w:hint="default" w:ascii="Times New Roman" w:hAnsi="Times New Roman" w:eastAsia="方正仿宋_GBK" w:cs="Times New Roman"/>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default" w:ascii="Times New Roman" w:hAnsi="Times New Roman" w:eastAsia="方正仿宋_GBK" w:cs="Times New Roman"/>
          <w:sz w:val="32"/>
          <w:szCs w:val="32"/>
          <w:shd w:val="clear" w:color="auto" w:fill="FFFFFF"/>
          <w:lang w:eastAsia="zh-CN"/>
        </w:rPr>
        <w:t>部门决算公开联系人</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城口县葛城街道办事处，</w:t>
      </w:r>
      <w:r>
        <w:rPr>
          <w:rFonts w:hint="default" w:ascii="Times New Roman" w:hAnsi="Times New Roman" w:eastAsia="方正仿宋_GBK" w:cs="Times New Roman"/>
          <w:sz w:val="32"/>
          <w:szCs w:val="32"/>
          <w:shd w:val="clear" w:color="auto" w:fill="FFFFFF"/>
          <w:lang w:val="en-US" w:eastAsia="zh-CN"/>
        </w:rPr>
        <w:t>联系方式：023-59222208。</w:t>
      </w:r>
    </w:p>
    <w:p>
      <w:pPr>
        <w:pStyle w:val="6"/>
        <w:snapToGrid w:val="0"/>
        <w:spacing w:before="0" w:beforeAutospacing="0" w:after="0" w:afterAutospacing="0" w:line="600" w:lineRule="exact"/>
        <w:ind w:firstLine="360" w:firstLineChars="200"/>
        <w:jc w:val="both"/>
        <w:rPr>
          <w:rFonts w:hint="default" w:ascii="Times New Roman" w:hAnsi="Times New Roman" w:cs="Times New Roman"/>
          <w:sz w:val="18"/>
          <w:szCs w:val="18"/>
        </w:rPr>
      </w:pP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fldChar w:fldCharType="begin"/>
                          </w:r>
                          <w:r>
                            <w:instrText xml:space="preserve"> PAGE  \* MERGEFORMAT </w:instrText>
                          </w:r>
                          <w:r>
                            <w:fldChar w:fldCharType="separate"/>
                          </w:r>
                          <w:r>
                            <w:rPr>
                              <w:rFonts w:hint="default"/>
                            </w:rPr>
                            <w:t>- 4 -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5SCY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0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krlIJhoCAAAhBAAADgAA&#10;AAAAAAABACAAAAAfAQAAZHJzL2Uyb0RvYy54bWxQSwUGAAAAAAYABgBZAQAAqwUAAAAA&#10;">
              <v:fill on="f" focussize="0,0"/>
              <v:stroke on="f" weight="0.5pt"/>
              <v:imagedata o:title=""/>
              <o:lock v:ext="edit" aspectratio="f"/>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4MYkXAgAAGQQAAA4AAABkcnMvZTJvRG9jLnhtbK1TzY7TMBC+I/EO&#10;lu80aRFL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sPgxiRcCAAAZBAAADgAAAAAA&#10;AAABACAAAAAfAQAAZHJzL2Uyb0RvYy54bWxQSwUGAAAAAAYABgBZAQAAqA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A1UVNgAAAAKAQAA&#10;DwAAAAAAAAABACAAAAAiAAAAZHJzL2Rvd25yZXYueG1sUEsBAhQAFAAAAAgAh07iQG8zbR0ZAgAA&#10;GAQAAA4AAAAAAAAAAQAgAAAAJwEAAGRycy9lMm9Eb2MueG1sUEsFBgAAAAAGAAYAWQEAALIFAAAA&#10;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C01CC"/>
    <w:rsid w:val="000D7702"/>
    <w:rsid w:val="000F6721"/>
    <w:rsid w:val="001632EC"/>
    <w:rsid w:val="00261065"/>
    <w:rsid w:val="002D0E5A"/>
    <w:rsid w:val="002D71F4"/>
    <w:rsid w:val="002E5443"/>
    <w:rsid w:val="0032196C"/>
    <w:rsid w:val="004852DA"/>
    <w:rsid w:val="004C12FF"/>
    <w:rsid w:val="004D0390"/>
    <w:rsid w:val="00550ABE"/>
    <w:rsid w:val="005B023C"/>
    <w:rsid w:val="00600322"/>
    <w:rsid w:val="006137D7"/>
    <w:rsid w:val="00634FA8"/>
    <w:rsid w:val="0063613A"/>
    <w:rsid w:val="0068170B"/>
    <w:rsid w:val="006E2034"/>
    <w:rsid w:val="00732392"/>
    <w:rsid w:val="00792285"/>
    <w:rsid w:val="007A0D2E"/>
    <w:rsid w:val="007A3314"/>
    <w:rsid w:val="007B419D"/>
    <w:rsid w:val="007C5C5B"/>
    <w:rsid w:val="00810F13"/>
    <w:rsid w:val="00826B47"/>
    <w:rsid w:val="00893689"/>
    <w:rsid w:val="00940231"/>
    <w:rsid w:val="00944711"/>
    <w:rsid w:val="009574D5"/>
    <w:rsid w:val="009821E3"/>
    <w:rsid w:val="00984852"/>
    <w:rsid w:val="009B37A6"/>
    <w:rsid w:val="009B67B8"/>
    <w:rsid w:val="00A03B1E"/>
    <w:rsid w:val="00A67739"/>
    <w:rsid w:val="00A820B7"/>
    <w:rsid w:val="00A830E1"/>
    <w:rsid w:val="00AC5566"/>
    <w:rsid w:val="00B03CCD"/>
    <w:rsid w:val="00B104B0"/>
    <w:rsid w:val="00B40138"/>
    <w:rsid w:val="00BF5A85"/>
    <w:rsid w:val="00C307F6"/>
    <w:rsid w:val="00C968D2"/>
    <w:rsid w:val="00C96B11"/>
    <w:rsid w:val="00C97747"/>
    <w:rsid w:val="00CC6B99"/>
    <w:rsid w:val="00DF7706"/>
    <w:rsid w:val="00E05175"/>
    <w:rsid w:val="00E654E2"/>
    <w:rsid w:val="00E76362"/>
    <w:rsid w:val="00E86B80"/>
    <w:rsid w:val="00F137D3"/>
    <w:rsid w:val="00F13C36"/>
    <w:rsid w:val="00F23C68"/>
    <w:rsid w:val="00F32C53"/>
    <w:rsid w:val="00F73F90"/>
    <w:rsid w:val="00F7623D"/>
    <w:rsid w:val="00F8598B"/>
    <w:rsid w:val="00FA0819"/>
    <w:rsid w:val="00FB7EF0"/>
    <w:rsid w:val="01474EBF"/>
    <w:rsid w:val="01A911AB"/>
    <w:rsid w:val="01F3521E"/>
    <w:rsid w:val="03077B2E"/>
    <w:rsid w:val="03B87EA0"/>
    <w:rsid w:val="03E3214F"/>
    <w:rsid w:val="044C50BA"/>
    <w:rsid w:val="05BC6D49"/>
    <w:rsid w:val="06194FF1"/>
    <w:rsid w:val="06A2550B"/>
    <w:rsid w:val="06F80EE2"/>
    <w:rsid w:val="06FB1968"/>
    <w:rsid w:val="07001CCA"/>
    <w:rsid w:val="075678DB"/>
    <w:rsid w:val="0785452F"/>
    <w:rsid w:val="079D7CC7"/>
    <w:rsid w:val="08051BCA"/>
    <w:rsid w:val="086C12F4"/>
    <w:rsid w:val="08BA052C"/>
    <w:rsid w:val="08DB07BA"/>
    <w:rsid w:val="0969353F"/>
    <w:rsid w:val="098305D0"/>
    <w:rsid w:val="098A0877"/>
    <w:rsid w:val="099D2ED6"/>
    <w:rsid w:val="0A5C4B69"/>
    <w:rsid w:val="0A86124A"/>
    <w:rsid w:val="0A8B1C0D"/>
    <w:rsid w:val="0AB54CC0"/>
    <w:rsid w:val="0B9335CE"/>
    <w:rsid w:val="0C050582"/>
    <w:rsid w:val="0C7927C4"/>
    <w:rsid w:val="0C9B098C"/>
    <w:rsid w:val="0D673E11"/>
    <w:rsid w:val="0DDA54E4"/>
    <w:rsid w:val="0E084ABF"/>
    <w:rsid w:val="0E3A5F83"/>
    <w:rsid w:val="0E74421A"/>
    <w:rsid w:val="0EA46639"/>
    <w:rsid w:val="0EC6180C"/>
    <w:rsid w:val="0F497FB6"/>
    <w:rsid w:val="0F836721"/>
    <w:rsid w:val="0FA25D96"/>
    <w:rsid w:val="0FBE4795"/>
    <w:rsid w:val="107B59E5"/>
    <w:rsid w:val="10EC0126"/>
    <w:rsid w:val="10F70B9A"/>
    <w:rsid w:val="111445C7"/>
    <w:rsid w:val="114278C6"/>
    <w:rsid w:val="1158083A"/>
    <w:rsid w:val="11643A4B"/>
    <w:rsid w:val="11ED0F98"/>
    <w:rsid w:val="11F03528"/>
    <w:rsid w:val="12C921C4"/>
    <w:rsid w:val="12F52ECF"/>
    <w:rsid w:val="13871C70"/>
    <w:rsid w:val="13941C08"/>
    <w:rsid w:val="13A71CB4"/>
    <w:rsid w:val="13AF1D43"/>
    <w:rsid w:val="13CE1647"/>
    <w:rsid w:val="13DA0C25"/>
    <w:rsid w:val="13FD55AB"/>
    <w:rsid w:val="14200702"/>
    <w:rsid w:val="14907817"/>
    <w:rsid w:val="14E57ADD"/>
    <w:rsid w:val="14EA6CC7"/>
    <w:rsid w:val="15C87B16"/>
    <w:rsid w:val="163A6CEE"/>
    <w:rsid w:val="164C59EB"/>
    <w:rsid w:val="173708E3"/>
    <w:rsid w:val="174842E3"/>
    <w:rsid w:val="174C19C7"/>
    <w:rsid w:val="17C374FC"/>
    <w:rsid w:val="182B7883"/>
    <w:rsid w:val="189079DC"/>
    <w:rsid w:val="189B0D0B"/>
    <w:rsid w:val="18B43F7C"/>
    <w:rsid w:val="19160315"/>
    <w:rsid w:val="194A1770"/>
    <w:rsid w:val="19B906A4"/>
    <w:rsid w:val="19FB026E"/>
    <w:rsid w:val="1ABC446E"/>
    <w:rsid w:val="1B6F15B6"/>
    <w:rsid w:val="1BAA2EDC"/>
    <w:rsid w:val="1C562C08"/>
    <w:rsid w:val="1C5C0973"/>
    <w:rsid w:val="1CA55E64"/>
    <w:rsid w:val="1D014A01"/>
    <w:rsid w:val="1D022362"/>
    <w:rsid w:val="1D1B04B0"/>
    <w:rsid w:val="1D3D00C6"/>
    <w:rsid w:val="1D6534C4"/>
    <w:rsid w:val="1DBD6767"/>
    <w:rsid w:val="1DC52125"/>
    <w:rsid w:val="1DD26311"/>
    <w:rsid w:val="1DE03660"/>
    <w:rsid w:val="1E374ACB"/>
    <w:rsid w:val="1E404B24"/>
    <w:rsid w:val="1E5E27E3"/>
    <w:rsid w:val="1EA33588"/>
    <w:rsid w:val="1EB57761"/>
    <w:rsid w:val="1ECF0A66"/>
    <w:rsid w:val="1EF67CA4"/>
    <w:rsid w:val="1F020D3A"/>
    <w:rsid w:val="1F2C5189"/>
    <w:rsid w:val="1F317F76"/>
    <w:rsid w:val="1F4B0B02"/>
    <w:rsid w:val="1FBB35CD"/>
    <w:rsid w:val="1FCD26AF"/>
    <w:rsid w:val="20642787"/>
    <w:rsid w:val="20F4064E"/>
    <w:rsid w:val="21556F04"/>
    <w:rsid w:val="22403BD3"/>
    <w:rsid w:val="23DA37D9"/>
    <w:rsid w:val="24B92327"/>
    <w:rsid w:val="24C14514"/>
    <w:rsid w:val="2533755C"/>
    <w:rsid w:val="25791755"/>
    <w:rsid w:val="26000D5E"/>
    <w:rsid w:val="26396DF4"/>
    <w:rsid w:val="27167136"/>
    <w:rsid w:val="27B23302"/>
    <w:rsid w:val="29310A5F"/>
    <w:rsid w:val="29825747"/>
    <w:rsid w:val="29C37A35"/>
    <w:rsid w:val="29D62039"/>
    <w:rsid w:val="2A076083"/>
    <w:rsid w:val="2A091A20"/>
    <w:rsid w:val="2A73162E"/>
    <w:rsid w:val="2A751F0B"/>
    <w:rsid w:val="2B167953"/>
    <w:rsid w:val="2B200583"/>
    <w:rsid w:val="2B220436"/>
    <w:rsid w:val="2B8209DE"/>
    <w:rsid w:val="2BAB1D6B"/>
    <w:rsid w:val="2C6762A3"/>
    <w:rsid w:val="2CE01267"/>
    <w:rsid w:val="2CFF492E"/>
    <w:rsid w:val="2E7A7388"/>
    <w:rsid w:val="2EBF7B3E"/>
    <w:rsid w:val="2EDE1934"/>
    <w:rsid w:val="2FCA4B37"/>
    <w:rsid w:val="2FE029D7"/>
    <w:rsid w:val="2FF06E00"/>
    <w:rsid w:val="30562E26"/>
    <w:rsid w:val="30586FEC"/>
    <w:rsid w:val="30EC7046"/>
    <w:rsid w:val="315F0B22"/>
    <w:rsid w:val="319D022C"/>
    <w:rsid w:val="31C90022"/>
    <w:rsid w:val="31D84415"/>
    <w:rsid w:val="32285F6F"/>
    <w:rsid w:val="32770556"/>
    <w:rsid w:val="329C0913"/>
    <w:rsid w:val="32AA0460"/>
    <w:rsid w:val="3337290D"/>
    <w:rsid w:val="33E31118"/>
    <w:rsid w:val="33EF7674"/>
    <w:rsid w:val="342D7BC6"/>
    <w:rsid w:val="34475F39"/>
    <w:rsid w:val="34C60F6B"/>
    <w:rsid w:val="352930DB"/>
    <w:rsid w:val="35573069"/>
    <w:rsid w:val="355F6038"/>
    <w:rsid w:val="358C217E"/>
    <w:rsid w:val="35902C09"/>
    <w:rsid w:val="35937598"/>
    <w:rsid w:val="35B26184"/>
    <w:rsid w:val="36C90F88"/>
    <w:rsid w:val="36C9128A"/>
    <w:rsid w:val="36C94585"/>
    <w:rsid w:val="372E3953"/>
    <w:rsid w:val="37841E99"/>
    <w:rsid w:val="37BF1123"/>
    <w:rsid w:val="383C3F15"/>
    <w:rsid w:val="38BE4696"/>
    <w:rsid w:val="3939115E"/>
    <w:rsid w:val="39B82A39"/>
    <w:rsid w:val="39C42CA8"/>
    <w:rsid w:val="39DC4FD6"/>
    <w:rsid w:val="39F03D7A"/>
    <w:rsid w:val="39F33306"/>
    <w:rsid w:val="3A2C1C67"/>
    <w:rsid w:val="3ADE3461"/>
    <w:rsid w:val="3B1705E5"/>
    <w:rsid w:val="3B18334B"/>
    <w:rsid w:val="3B36794F"/>
    <w:rsid w:val="3C566AD6"/>
    <w:rsid w:val="3C6A5B02"/>
    <w:rsid w:val="3CAF5D71"/>
    <w:rsid w:val="3D2757A1"/>
    <w:rsid w:val="3D3D4FC4"/>
    <w:rsid w:val="3DDF3AB1"/>
    <w:rsid w:val="3E1D0952"/>
    <w:rsid w:val="3E414365"/>
    <w:rsid w:val="3E42660A"/>
    <w:rsid w:val="3E7555B1"/>
    <w:rsid w:val="3E787ED9"/>
    <w:rsid w:val="3EEC37F3"/>
    <w:rsid w:val="3F032E93"/>
    <w:rsid w:val="3F0527E5"/>
    <w:rsid w:val="3F4814B0"/>
    <w:rsid w:val="3F5E5D98"/>
    <w:rsid w:val="3F694D83"/>
    <w:rsid w:val="3F885DCC"/>
    <w:rsid w:val="3FCD675E"/>
    <w:rsid w:val="3FD86860"/>
    <w:rsid w:val="4004000C"/>
    <w:rsid w:val="40410D5D"/>
    <w:rsid w:val="40D54604"/>
    <w:rsid w:val="411B6CE5"/>
    <w:rsid w:val="412070D7"/>
    <w:rsid w:val="41314E40"/>
    <w:rsid w:val="41825B8D"/>
    <w:rsid w:val="41E0734B"/>
    <w:rsid w:val="420F65F1"/>
    <w:rsid w:val="425721C0"/>
    <w:rsid w:val="426554D0"/>
    <w:rsid w:val="426C1EA8"/>
    <w:rsid w:val="42736402"/>
    <w:rsid w:val="42E86A87"/>
    <w:rsid w:val="43307B09"/>
    <w:rsid w:val="43470647"/>
    <w:rsid w:val="438D0E97"/>
    <w:rsid w:val="43BB152F"/>
    <w:rsid w:val="44494994"/>
    <w:rsid w:val="44C37687"/>
    <w:rsid w:val="45CB699A"/>
    <w:rsid w:val="460B7313"/>
    <w:rsid w:val="464431EF"/>
    <w:rsid w:val="465B470D"/>
    <w:rsid w:val="469D6AD4"/>
    <w:rsid w:val="471E6C84"/>
    <w:rsid w:val="4748792B"/>
    <w:rsid w:val="475D719D"/>
    <w:rsid w:val="47674801"/>
    <w:rsid w:val="47FC2D9D"/>
    <w:rsid w:val="48225EF7"/>
    <w:rsid w:val="488F422B"/>
    <w:rsid w:val="48E36915"/>
    <w:rsid w:val="4938387C"/>
    <w:rsid w:val="495C4A24"/>
    <w:rsid w:val="497135DF"/>
    <w:rsid w:val="4A1605D9"/>
    <w:rsid w:val="4A263DF2"/>
    <w:rsid w:val="4A490EFC"/>
    <w:rsid w:val="4A6F6675"/>
    <w:rsid w:val="4ABF0746"/>
    <w:rsid w:val="4B0502DF"/>
    <w:rsid w:val="4B135857"/>
    <w:rsid w:val="4B7951CB"/>
    <w:rsid w:val="4B7C315C"/>
    <w:rsid w:val="4CCF773C"/>
    <w:rsid w:val="4DAC4ACA"/>
    <w:rsid w:val="4DBE01D2"/>
    <w:rsid w:val="4EC92552"/>
    <w:rsid w:val="4EFC6D10"/>
    <w:rsid w:val="4F0C6BA3"/>
    <w:rsid w:val="4F10477D"/>
    <w:rsid w:val="4F186D58"/>
    <w:rsid w:val="4FCC4675"/>
    <w:rsid w:val="4FEA65B7"/>
    <w:rsid w:val="5042146E"/>
    <w:rsid w:val="50F06B6E"/>
    <w:rsid w:val="515B64EC"/>
    <w:rsid w:val="52234D33"/>
    <w:rsid w:val="52261ABA"/>
    <w:rsid w:val="522F6E0C"/>
    <w:rsid w:val="52463BA1"/>
    <w:rsid w:val="5298794F"/>
    <w:rsid w:val="52F163D4"/>
    <w:rsid w:val="531A2DB4"/>
    <w:rsid w:val="53BA5E58"/>
    <w:rsid w:val="53C0244D"/>
    <w:rsid w:val="53DD4D4E"/>
    <w:rsid w:val="53E578CE"/>
    <w:rsid w:val="54054228"/>
    <w:rsid w:val="541330F0"/>
    <w:rsid w:val="54272666"/>
    <w:rsid w:val="543B029D"/>
    <w:rsid w:val="544C3364"/>
    <w:rsid w:val="54861779"/>
    <w:rsid w:val="552256E1"/>
    <w:rsid w:val="554E5773"/>
    <w:rsid w:val="555A3CBC"/>
    <w:rsid w:val="5582012B"/>
    <w:rsid w:val="558E4E05"/>
    <w:rsid w:val="55B9467A"/>
    <w:rsid w:val="55BE2E85"/>
    <w:rsid w:val="55D82B6C"/>
    <w:rsid w:val="561D52C4"/>
    <w:rsid w:val="5651697D"/>
    <w:rsid w:val="56530F5D"/>
    <w:rsid w:val="56692AE5"/>
    <w:rsid w:val="567700D3"/>
    <w:rsid w:val="56FF7E9E"/>
    <w:rsid w:val="578867FC"/>
    <w:rsid w:val="5842572D"/>
    <w:rsid w:val="58EB2424"/>
    <w:rsid w:val="5A3B59D6"/>
    <w:rsid w:val="5AB32A87"/>
    <w:rsid w:val="5AD134D8"/>
    <w:rsid w:val="5B103F05"/>
    <w:rsid w:val="5B6503B1"/>
    <w:rsid w:val="5C0F7EC4"/>
    <w:rsid w:val="5C150D75"/>
    <w:rsid w:val="5C263CE4"/>
    <w:rsid w:val="5C3B703D"/>
    <w:rsid w:val="5C5D2777"/>
    <w:rsid w:val="5CF66BF3"/>
    <w:rsid w:val="5D290C69"/>
    <w:rsid w:val="5DC66713"/>
    <w:rsid w:val="5F2D4A41"/>
    <w:rsid w:val="602F393E"/>
    <w:rsid w:val="604341B9"/>
    <w:rsid w:val="60C74F6C"/>
    <w:rsid w:val="61025A59"/>
    <w:rsid w:val="613D5BBC"/>
    <w:rsid w:val="61536C39"/>
    <w:rsid w:val="61E64F4A"/>
    <w:rsid w:val="623E0993"/>
    <w:rsid w:val="62944DD7"/>
    <w:rsid w:val="6319381F"/>
    <w:rsid w:val="63236436"/>
    <w:rsid w:val="63C25DC5"/>
    <w:rsid w:val="63C62057"/>
    <w:rsid w:val="63EA76FE"/>
    <w:rsid w:val="64571EF5"/>
    <w:rsid w:val="64A14180"/>
    <w:rsid w:val="64CB0157"/>
    <w:rsid w:val="64FB113D"/>
    <w:rsid w:val="65036946"/>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EB1B71"/>
    <w:rsid w:val="69475C96"/>
    <w:rsid w:val="6AAD2300"/>
    <w:rsid w:val="6B474EF5"/>
    <w:rsid w:val="6B780419"/>
    <w:rsid w:val="6BBF53FD"/>
    <w:rsid w:val="6C560CAE"/>
    <w:rsid w:val="6C576495"/>
    <w:rsid w:val="6D903FF5"/>
    <w:rsid w:val="6D961A46"/>
    <w:rsid w:val="6DA955B8"/>
    <w:rsid w:val="6DE346AB"/>
    <w:rsid w:val="6DE5391A"/>
    <w:rsid w:val="6ED737AB"/>
    <w:rsid w:val="6EDD3CEA"/>
    <w:rsid w:val="6EFD1324"/>
    <w:rsid w:val="6F5A53AC"/>
    <w:rsid w:val="6FAC003D"/>
    <w:rsid w:val="6FB65C26"/>
    <w:rsid w:val="6FE55E12"/>
    <w:rsid w:val="6FFB2E76"/>
    <w:rsid w:val="70367197"/>
    <w:rsid w:val="708F6F7F"/>
    <w:rsid w:val="70D94BD3"/>
    <w:rsid w:val="71C34D91"/>
    <w:rsid w:val="72DB435C"/>
    <w:rsid w:val="72E2613A"/>
    <w:rsid w:val="72F771F4"/>
    <w:rsid w:val="734150D5"/>
    <w:rsid w:val="736650B0"/>
    <w:rsid w:val="73934AD2"/>
    <w:rsid w:val="73E76511"/>
    <w:rsid w:val="740B4220"/>
    <w:rsid w:val="750837F0"/>
    <w:rsid w:val="754758CF"/>
    <w:rsid w:val="761275E6"/>
    <w:rsid w:val="762F0DE5"/>
    <w:rsid w:val="764F62AB"/>
    <w:rsid w:val="765948F2"/>
    <w:rsid w:val="765C45EC"/>
    <w:rsid w:val="76622B5C"/>
    <w:rsid w:val="768A7619"/>
    <w:rsid w:val="76AA36E6"/>
    <w:rsid w:val="76E879C6"/>
    <w:rsid w:val="772E1EBA"/>
    <w:rsid w:val="77303AE2"/>
    <w:rsid w:val="77EB79F7"/>
    <w:rsid w:val="784D1329"/>
    <w:rsid w:val="796D60A4"/>
    <w:rsid w:val="79A031D5"/>
    <w:rsid w:val="7A1525F7"/>
    <w:rsid w:val="7B24540B"/>
    <w:rsid w:val="7B420052"/>
    <w:rsid w:val="7B861484"/>
    <w:rsid w:val="7BD06A28"/>
    <w:rsid w:val="7C3A7C0B"/>
    <w:rsid w:val="7C5248E4"/>
    <w:rsid w:val="7C566698"/>
    <w:rsid w:val="7C5866A3"/>
    <w:rsid w:val="7CBE2F89"/>
    <w:rsid w:val="7CFD11E0"/>
    <w:rsid w:val="7D7406BB"/>
    <w:rsid w:val="7DE94331"/>
    <w:rsid w:val="7F446A19"/>
    <w:rsid w:val="7F7452B9"/>
    <w:rsid w:val="7F8401D1"/>
    <w:rsid w:val="7FAC3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 w:type="character" w:customStyle="1" w:styleId="17">
    <w:name w:val="font71"/>
    <w:basedOn w:val="9"/>
    <w:qFormat/>
    <w:uiPriority w:val="0"/>
    <w:rPr>
      <w:rFonts w:hint="eastAsia" w:ascii="宋体" w:hAnsi="宋体" w:eastAsia="宋体" w:cs="宋体"/>
      <w:color w:val="000000"/>
      <w:sz w:val="18"/>
      <w:szCs w:val="18"/>
      <w:u w:val="none"/>
    </w:rPr>
  </w:style>
  <w:style w:type="character" w:customStyle="1" w:styleId="18">
    <w:name w:val="font61"/>
    <w:basedOn w:val="9"/>
    <w:qFormat/>
    <w:uiPriority w:val="0"/>
    <w:rPr>
      <w:rFonts w:hint="eastAsia" w:ascii="方正仿宋_GBK" w:hAnsi="方正仿宋_GBK" w:eastAsia="方正仿宋_GBK" w:cs="方正仿宋_GBK"/>
      <w:color w:val="000000"/>
      <w:sz w:val="16"/>
      <w:szCs w:val="1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3933</Words>
  <Characters>22421</Characters>
  <Lines>186</Lines>
  <Paragraphs>52</Paragraphs>
  <TotalTime>17</TotalTime>
  <ScaleCrop>false</ScaleCrop>
  <LinksUpToDate>false</LinksUpToDate>
  <CharactersWithSpaces>26302</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2025-06-26T07:40:00Z</dcterms:created>
  <dc:creator>Administrator</dc:creator>
  <cp:lastModifiedBy>Administrator</cp:lastModifiedBy>
  <dcterms:modified xsi:type="dcterms:W3CDTF">2025-11-12T07:18:26Z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y fmtid="{D5CDD505-2E9C-101B-9397-08002B2CF9AE}" pid="3" name="ICV">
    <vt:lpwstr>BB46EABDBB2749749395447164B066B3_12</vt:lpwstr>
  </property>
</Properties>
</file>