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N/>
        <w:bidi w:val="0"/>
        <w:adjustRightInd/>
        <w:spacing w:before="0" w:beforeAutospacing="0" w:after="0" w:afterAutospacing="0" w:line="579"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重庆市城口县巴山镇文化服务中心</w:t>
      </w:r>
    </w:p>
    <w:p>
      <w:pPr>
        <w:pStyle w:val="9"/>
        <w:keepNext w:val="0"/>
        <w:keepLines w:val="0"/>
        <w:pageBreakBefore w:val="0"/>
        <w:widowControl/>
        <w:kinsoku/>
        <w:wordWrap/>
        <w:overflowPunct/>
        <w:topLinePunct w:val="0"/>
        <w:autoSpaceDN/>
        <w:bidi w:val="0"/>
        <w:adjustRightInd/>
        <w:spacing w:before="0" w:beforeAutospacing="0" w:after="0" w:afterAutospacing="0" w:line="579" w:lineRule="exact"/>
        <w:jc w:val="center"/>
        <w:textAlignment w:val="auto"/>
        <w:rPr>
          <w:rFonts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9"/>
        <w:keepNext w:val="0"/>
        <w:keepLines w:val="0"/>
        <w:pageBreakBefore w:val="0"/>
        <w:widowControl/>
        <w:kinsoku/>
        <w:wordWrap/>
        <w:overflowPunct/>
        <w:topLinePunct w:val="0"/>
        <w:autoSpaceDN/>
        <w:bidi w:val="0"/>
        <w:adjustRightInd/>
        <w:spacing w:before="0" w:beforeAutospacing="0" w:after="0" w:afterAutospacing="0" w:line="579" w:lineRule="exact"/>
        <w:jc w:val="center"/>
        <w:textAlignment w:val="auto"/>
        <w:rPr>
          <w:rFonts w:hint="default" w:ascii="方正小标宋_GBK" w:hAnsi="方正小标宋_GBK" w:eastAsia="方正小标宋_GBK" w:cs="方正小标宋_GBK"/>
          <w:sz w:val="44"/>
          <w:szCs w:val="44"/>
          <w:shd w:val="clear" w:color="auto" w:fill="FFFFFF"/>
        </w:rPr>
      </w:pP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一、</w:t>
      </w:r>
      <w:r>
        <w:rPr>
          <w:rStyle w:val="13"/>
          <w:rFonts w:hint="eastAsia" w:ascii="方正黑体_GBK" w:hAnsi="方正黑体_GBK" w:eastAsia="方正黑体_GBK" w:cs="方正黑体_GBK"/>
          <w:b w:val="0"/>
          <w:bCs/>
          <w:sz w:val="32"/>
          <w:szCs w:val="32"/>
          <w:shd w:val="clear" w:color="auto" w:fill="FFFFFF"/>
          <w:lang w:eastAsia="zh-CN"/>
        </w:rPr>
        <w:t>单位</w:t>
      </w:r>
      <w:r>
        <w:rPr>
          <w:rStyle w:val="13"/>
          <w:rFonts w:hint="eastAsia" w:ascii="方正黑体_GBK" w:hAnsi="方正黑体_GBK" w:eastAsia="方正黑体_GBK" w:cs="方正黑体_GBK"/>
          <w:b w:val="0"/>
          <w:bCs/>
          <w:sz w:val="32"/>
          <w:szCs w:val="32"/>
          <w:shd w:val="clear" w:color="auto" w:fill="FFFFFF"/>
        </w:rPr>
        <w:t>基本情况</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outlineLvl w:val="9"/>
        <w:rPr>
          <w:rFonts w:hint="default" w:ascii="方正仿宋_GBK" w:hAnsi="方正仿宋_GBK" w:eastAsia="方正仿宋_GBK" w:cs="方正仿宋_GBK"/>
          <w:sz w:val="32"/>
          <w:szCs w:val="32"/>
        </w:rPr>
      </w:pPr>
      <w:r>
        <w:rPr>
          <w:rStyle w:val="13"/>
          <w:rFonts w:hint="eastAsia" w:ascii="Times New Roman" w:hAnsi="Times New Roman" w:eastAsia="方正楷体_GBK" w:cs="Times New Roman"/>
          <w:b w:val="0"/>
          <w:bCs w:val="0"/>
          <w:sz w:val="32"/>
          <w:szCs w:val="32"/>
          <w:shd w:val="clear" w:color="auto" w:fill="FFFFFF"/>
        </w:rPr>
        <w:t>（一）职能职责</w:t>
      </w:r>
      <w:r>
        <w:rPr>
          <w:rStyle w:val="13"/>
          <w:rFonts w:hint="eastAsia" w:ascii="Times New Roman" w:hAnsi="Times New Roman" w:eastAsia="方正楷体_GBK" w:cs="Times New Roman"/>
          <w:b w:val="0"/>
          <w:bCs w:val="0"/>
          <w:sz w:val="32"/>
          <w:szCs w:val="32"/>
          <w:shd w:val="clear" w:color="auto" w:fill="FFFFFF"/>
          <w:lang w:eastAsia="zh-CN"/>
        </w:rPr>
        <w:t>。</w:t>
      </w:r>
      <w:r>
        <w:rPr>
          <w:rStyle w:val="13"/>
          <w:rFonts w:hint="eastAsia" w:ascii="Times New Roman" w:hAnsi="Times New Roman" w:eastAsia="方正仿宋_GBK" w:cs="Times New Roman"/>
          <w:b w:val="0"/>
          <w:bCs w:val="0"/>
          <w:sz w:val="32"/>
          <w:szCs w:val="32"/>
          <w:shd w:val="clear" w:color="auto" w:fill="FFFFFF"/>
        </w:rPr>
        <w:t>巴山镇</w:t>
      </w:r>
      <w:r>
        <w:rPr>
          <w:rStyle w:val="13"/>
          <w:rFonts w:hint="eastAsia" w:ascii="Times New Roman" w:hAnsi="Times New Roman" w:eastAsia="方正仿宋_GBK" w:cs="Times New Roman"/>
          <w:b w:val="0"/>
          <w:bCs w:val="0"/>
          <w:sz w:val="32"/>
          <w:szCs w:val="32"/>
          <w:shd w:val="clear" w:color="auto" w:fill="FFFFFF"/>
          <w:lang w:val="en-US" w:eastAsia="zh-CN"/>
        </w:rPr>
        <w:t>文化</w:t>
      </w:r>
      <w:r>
        <w:rPr>
          <w:rStyle w:val="13"/>
          <w:rFonts w:hint="eastAsia" w:ascii="Times New Roman" w:hAnsi="Times New Roman" w:eastAsia="方正仿宋_GBK" w:cs="Times New Roman"/>
          <w:b w:val="0"/>
          <w:bCs w:val="0"/>
          <w:sz w:val="32"/>
          <w:szCs w:val="32"/>
          <w:shd w:val="clear" w:color="auto" w:fill="FFFFFF"/>
        </w:rPr>
        <w:t>服务中心是巴山镇人民政府所属公益一类事业单位。其主要职能职责有：文化服务中心主要承担文化、旅游、宣传、广播电视、体育等工作。</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二、</w:t>
      </w:r>
      <w:r>
        <w:rPr>
          <w:rStyle w:val="13"/>
          <w:rFonts w:hint="eastAsia" w:ascii="方正黑体_GBK" w:hAnsi="方正黑体_GBK" w:eastAsia="方正黑体_GBK" w:cs="方正黑体_GBK"/>
          <w:b w:val="0"/>
          <w:bCs/>
          <w:sz w:val="32"/>
          <w:szCs w:val="32"/>
          <w:shd w:val="clear" w:color="auto" w:fill="FFFFFF"/>
          <w:lang w:eastAsia="zh-CN"/>
        </w:rPr>
        <w:t>单位</w:t>
      </w:r>
      <w:r>
        <w:rPr>
          <w:rStyle w:val="13"/>
          <w:rFonts w:hint="eastAsia" w:ascii="方正黑体_GBK" w:hAnsi="方正黑体_GBK" w:eastAsia="方正黑体_GBK" w:cs="方正黑体_GBK"/>
          <w:b w:val="0"/>
          <w:bCs/>
          <w:sz w:val="32"/>
          <w:szCs w:val="32"/>
          <w:shd w:val="clear" w:color="auto" w:fill="FFFFFF"/>
        </w:rPr>
        <w:t>决算</w:t>
      </w:r>
      <w:r>
        <w:rPr>
          <w:rStyle w:val="13"/>
          <w:rFonts w:hint="eastAsia" w:ascii="方正黑体_GBK" w:hAnsi="方正黑体_GBK" w:eastAsia="方正黑体_GBK" w:cs="方正黑体_GBK"/>
          <w:b w:val="0"/>
          <w:bCs/>
          <w:sz w:val="32"/>
          <w:szCs w:val="32"/>
          <w:shd w:val="clear" w:color="auto" w:fill="FFFFFF"/>
          <w:lang w:eastAsia="zh-CN"/>
        </w:rPr>
        <w:t>收支</w:t>
      </w:r>
      <w:r>
        <w:rPr>
          <w:rStyle w:val="13"/>
          <w:rFonts w:hint="eastAsia" w:ascii="方正黑体_GBK" w:hAnsi="方正黑体_GBK" w:eastAsia="方正黑体_GBK" w:cs="方正黑体_GBK"/>
          <w:b w:val="0"/>
          <w:bCs/>
          <w:sz w:val="32"/>
          <w:szCs w:val="32"/>
          <w:shd w:val="clear" w:color="auto" w:fill="FFFFFF"/>
        </w:rPr>
        <w:t>情况说明</w:t>
      </w:r>
    </w:p>
    <w:p>
      <w:pPr>
        <w:pStyle w:val="14"/>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（一）收入支出决算总体情况说明。</w:t>
      </w:r>
    </w:p>
    <w:p>
      <w:pPr>
        <w:pStyle w:val="14"/>
        <w:keepNext w:val="0"/>
        <w:keepLines w:val="0"/>
        <w:pageBreakBefore w:val="0"/>
        <w:widowControl/>
        <w:kinsoku/>
        <w:wordWrap/>
        <w:overflowPunct/>
        <w:topLinePunct w:val="0"/>
        <w:autoSpaceDE w:val="0"/>
        <w:autoSpaceDN/>
        <w:bidi w:val="0"/>
        <w:adjustRightInd/>
        <w:spacing w:line="579" w:lineRule="exact"/>
        <w:ind w:firstLine="643" w:firstLineChars="200"/>
        <w:jc w:val="both"/>
        <w:textAlignment w:val="auto"/>
        <w:rPr>
          <w:rFonts w:hint="default" w:ascii="方正仿宋_GBK" w:hAnsi="方正仿宋_GBK" w:eastAsia="方正仿宋_GBK" w:cs="方正仿宋_GBK"/>
          <w:sz w:val="32"/>
          <w:szCs w:val="32"/>
        </w:rPr>
      </w:pPr>
      <w:r>
        <w:rPr>
          <w:rStyle w:val="13"/>
          <w:rFonts w:ascii="方正仿宋_GBK" w:hAnsi="方正仿宋_GBK" w:eastAsia="方正仿宋_GBK" w:cs="方正仿宋_GBK"/>
          <w:b/>
          <w:bCs w:val="0"/>
          <w:sz w:val="32"/>
          <w:szCs w:val="32"/>
          <w:shd w:val="clear" w:color="auto" w:fill="FFFFFF"/>
        </w:rPr>
        <w:t>1.总体情况。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年度收入总计</w:t>
      </w:r>
      <w:r>
        <w:rPr>
          <w:rFonts w:hint="eastAsia" w:ascii="Times New Roman" w:hAnsi="Times New Roman" w:eastAsia="方正仿宋_GBK" w:cs="Times New Roman"/>
          <w:sz w:val="32"/>
          <w:szCs w:val="32"/>
          <w:shd w:val="clear" w:color="auto" w:fill="FFFFFF"/>
          <w:lang w:val="en-US" w:eastAsia="zh-CN"/>
        </w:rPr>
        <w:t>18.50</w:t>
      </w:r>
      <w:r>
        <w:rPr>
          <w:rFonts w:ascii="方正仿宋_GBK" w:hAnsi="方正仿宋_GBK" w:eastAsia="方正仿宋_GBK" w:cs="方正仿宋_GBK"/>
          <w:sz w:val="32"/>
          <w:szCs w:val="32"/>
          <w:shd w:val="clear" w:color="auto" w:fill="FFFFFF"/>
        </w:rPr>
        <w:t>万元，支出总计</w:t>
      </w:r>
      <w:r>
        <w:rPr>
          <w:rFonts w:hint="eastAsia" w:ascii="Times New Roman" w:hAnsi="Times New Roman" w:eastAsia="方正仿宋_GBK" w:cs="Times New Roman"/>
          <w:sz w:val="32"/>
          <w:szCs w:val="32"/>
          <w:shd w:val="clear" w:color="auto" w:fill="FFFFFF"/>
          <w:lang w:val="en-US" w:eastAsia="zh-CN"/>
        </w:rPr>
        <w:t>18.50</w:t>
      </w:r>
      <w:r>
        <w:rPr>
          <w:rFonts w:ascii="方正仿宋_GBK" w:hAnsi="方正仿宋_GBK" w:eastAsia="方正仿宋_GBK" w:cs="方正仿宋_GBK"/>
          <w:sz w:val="32"/>
          <w:szCs w:val="32"/>
          <w:shd w:val="clear" w:color="auto" w:fill="FFFFFF"/>
        </w:rPr>
        <w:t>万元。收支较上年决算数增加</w:t>
      </w:r>
      <w:r>
        <w:rPr>
          <w:rFonts w:hint="eastAsia" w:ascii="Times New Roman" w:hAnsi="Times New Roman" w:eastAsia="方正仿宋_GBK" w:cs="Times New Roman"/>
          <w:sz w:val="32"/>
          <w:szCs w:val="32"/>
          <w:shd w:val="clear" w:color="auto" w:fill="FFFFFF"/>
          <w:lang w:val="en-US" w:eastAsia="zh-CN"/>
        </w:rPr>
        <w:t>18.50</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文化</w:t>
      </w:r>
      <w:r>
        <w:rPr>
          <w:rFonts w:ascii="方正仿宋_GBK" w:hAnsi="方正仿宋_GBK" w:eastAsia="方正仿宋_GBK" w:cs="方正仿宋_GBK"/>
          <w:sz w:val="32"/>
          <w:szCs w:val="32"/>
          <w:shd w:val="clear" w:color="auto" w:fill="FFFFFF"/>
        </w:rPr>
        <w:t>服务中心未单独进行财务核算及决算处理，纳入政府核算及决算。</w:t>
      </w:r>
    </w:p>
    <w:p>
      <w:pPr>
        <w:pStyle w:val="9"/>
        <w:keepNext w:val="0"/>
        <w:keepLines w:val="0"/>
        <w:pageBreakBefore w:val="0"/>
        <w:widowControl w:val="0"/>
        <w:kinsoku/>
        <w:wordWrap/>
        <w:overflowPunct/>
        <w:topLinePunct w:val="0"/>
        <w:autoSpaceDE/>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Style w:val="13"/>
          <w:rFonts w:ascii="方正仿宋_GBK" w:hAnsi="方正仿宋_GBK" w:eastAsia="方正仿宋_GBK" w:cs="方正仿宋_GBK"/>
          <w:sz w:val="32"/>
          <w:szCs w:val="32"/>
          <w:shd w:val="clear" w:color="auto" w:fill="FFFFFF"/>
        </w:rPr>
        <w:t>2.收入情况。</w:t>
      </w:r>
      <w:r>
        <w:rPr>
          <w:rFonts w:hint="default" w:ascii="Times New Roman" w:hAnsi="Times New Roman" w:eastAsia="方正仿宋_GBK" w:cs="Times New Roman"/>
          <w:sz w:val="32"/>
          <w:szCs w:val="32"/>
          <w:shd w:val="clear" w:color="auto" w:fill="FFFFFF"/>
          <w:lang w:val="en-US" w:eastAsia="zh-CN" w:bidi="ar-SA"/>
        </w:rPr>
        <w:t>202</w:t>
      </w:r>
      <w:r>
        <w:rPr>
          <w:rFonts w:hint="eastAsia" w:ascii="Times New Roman" w:hAnsi="Times New Roman" w:eastAsia="方正仿宋_GBK" w:cs="Times New Roman"/>
          <w:sz w:val="32"/>
          <w:szCs w:val="32"/>
          <w:shd w:val="clear" w:color="auto" w:fill="FFFFFF"/>
          <w:lang w:val="en-US" w:eastAsia="zh-CN" w:bidi="ar-SA"/>
        </w:rPr>
        <w:t>4</w:t>
      </w:r>
      <w:r>
        <w:rPr>
          <w:rFonts w:ascii="方正仿宋_GBK" w:hAnsi="方正仿宋_GBK" w:eastAsia="方正仿宋_GBK" w:cs="方正仿宋_GBK"/>
          <w:sz w:val="32"/>
          <w:szCs w:val="32"/>
          <w:shd w:val="clear" w:color="auto" w:fill="FFFFFF"/>
        </w:rPr>
        <w:t>年度收入合计</w:t>
      </w:r>
      <w:r>
        <w:rPr>
          <w:rFonts w:hint="eastAsia" w:ascii="Times New Roman" w:hAnsi="Times New Roman" w:eastAsia="方正仿宋_GBK" w:cs="Times New Roman"/>
          <w:sz w:val="32"/>
          <w:szCs w:val="32"/>
          <w:shd w:val="clear" w:color="auto" w:fill="FFFFFF"/>
          <w:lang w:val="en-US" w:eastAsia="zh-CN" w:bidi="ar-SA"/>
        </w:rPr>
        <w:t>18.50</w:t>
      </w:r>
      <w:r>
        <w:rPr>
          <w:rFonts w:ascii="方正仿宋_GBK" w:hAnsi="方正仿宋_GBK" w:eastAsia="方正仿宋_GBK" w:cs="方正仿宋_GBK"/>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bidi="ar-SA"/>
        </w:rPr>
        <w:t>18.50</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bidi="ar-SA"/>
        </w:rPr>
        <w:t>100.00</w:t>
      </w:r>
      <w:r>
        <w:rPr>
          <w:rFonts w:hint="default" w:ascii="Times New Roman" w:hAnsi="Times New Roman" w:eastAsia="方正仿宋_GBK" w:cs="Times New Roman"/>
          <w:sz w:val="32"/>
          <w:szCs w:val="32"/>
          <w:shd w:val="clear" w:color="auto" w:fill="FFFFFF"/>
          <w:lang w:val="en-US" w:eastAsia="zh-CN" w:bidi="ar-SA"/>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lang w:val="en-US" w:eastAsia="zh-CN" w:bidi="ar-SA"/>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文化</w:t>
      </w:r>
      <w:r>
        <w:rPr>
          <w:rFonts w:ascii="方正仿宋_GBK" w:hAnsi="方正仿宋_GBK" w:eastAsia="方正仿宋_GBK" w:cs="方正仿宋_GBK"/>
          <w:sz w:val="32"/>
          <w:szCs w:val="32"/>
          <w:shd w:val="clear" w:color="auto" w:fill="FFFFFF"/>
        </w:rPr>
        <w:t>服务中心未单独进行财务核算及决算处理，纳入政府核算及决算。其中：财政拨款收入</w:t>
      </w:r>
      <w:r>
        <w:rPr>
          <w:rFonts w:hint="eastAsia" w:ascii="Times New Roman" w:hAnsi="Times New Roman" w:eastAsia="方正仿宋_GBK" w:cs="Times New Roman"/>
          <w:sz w:val="32"/>
          <w:szCs w:val="32"/>
          <w:shd w:val="clear" w:color="auto" w:fill="FFFFFF"/>
          <w:lang w:val="en-US" w:eastAsia="zh-CN" w:bidi="ar-SA"/>
        </w:rPr>
        <w:t>18.50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lang w:val="en-US" w:eastAsia="zh-CN" w:bidi="ar-SA"/>
        </w:rPr>
        <w:t>100.00%</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此外，使用非财政拨款结余和专用结余</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万元，年初结转和结余</w:t>
      </w:r>
      <w:r>
        <w:rPr>
          <w:rFonts w:hint="eastAsia"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w:t>
      </w:r>
    </w:p>
    <w:p>
      <w:pPr>
        <w:pStyle w:val="9"/>
        <w:keepNext w:val="0"/>
        <w:keepLines w:val="0"/>
        <w:pageBreakBefore w:val="0"/>
        <w:widowControl w:val="0"/>
        <w:kinsoku/>
        <w:wordWrap/>
        <w:overflowPunct/>
        <w:topLinePunct w:val="0"/>
        <w:autoSpaceDE/>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Style w:val="13"/>
          <w:rFonts w:ascii="方正仿宋_GBK" w:hAnsi="方正仿宋_GBK" w:eastAsia="方正仿宋_GBK" w:cs="方正仿宋_GBK"/>
          <w:sz w:val="32"/>
          <w:szCs w:val="32"/>
          <w:shd w:val="clear" w:color="auto" w:fill="FFFFFF"/>
        </w:rPr>
        <w:t>3.支出情况</w:t>
      </w:r>
      <w:r>
        <w:rPr>
          <w:rFonts w:hint="default" w:ascii="Times New Roman" w:hAnsi="Times New Roman" w:eastAsia="方正仿宋_GBK" w:cs="Times New Roman"/>
          <w:sz w:val="32"/>
          <w:szCs w:val="32"/>
          <w:shd w:val="clear" w:color="auto" w:fill="FFFFFF"/>
          <w:lang w:val="en-US" w:eastAsia="zh-CN" w:bidi="ar-SA"/>
        </w:rPr>
        <w:t>。202</w:t>
      </w:r>
      <w:r>
        <w:rPr>
          <w:rFonts w:hint="eastAsia" w:ascii="Times New Roman" w:hAnsi="Times New Roman" w:eastAsia="方正仿宋_GBK" w:cs="Times New Roman"/>
          <w:sz w:val="32"/>
          <w:szCs w:val="32"/>
          <w:shd w:val="clear" w:color="auto" w:fill="FFFFFF"/>
          <w:lang w:val="en-US" w:eastAsia="zh-CN" w:bidi="ar-SA"/>
        </w:rPr>
        <w:t>4</w:t>
      </w:r>
      <w:r>
        <w:rPr>
          <w:rFonts w:ascii="方正仿宋_GBK" w:hAnsi="方正仿宋_GBK" w:eastAsia="方正仿宋_GBK" w:cs="方正仿宋_GBK"/>
          <w:sz w:val="32"/>
          <w:szCs w:val="32"/>
          <w:shd w:val="clear" w:color="auto" w:fill="FFFFFF"/>
        </w:rPr>
        <w:t>年度支出合计</w:t>
      </w:r>
      <w:r>
        <w:rPr>
          <w:rFonts w:hint="eastAsia" w:ascii="Times New Roman" w:hAnsi="Times New Roman" w:eastAsia="方正仿宋_GBK" w:cs="Times New Roman"/>
          <w:sz w:val="32"/>
          <w:szCs w:val="32"/>
          <w:shd w:val="clear" w:color="auto" w:fill="FFFFFF"/>
          <w:lang w:val="en-US" w:eastAsia="zh-CN" w:bidi="ar-SA"/>
        </w:rPr>
        <w:t>18.50</w:t>
      </w:r>
      <w:r>
        <w:rPr>
          <w:rFonts w:ascii="方正仿宋_GBK" w:hAnsi="方正仿宋_GBK" w:eastAsia="方正仿宋_GBK" w:cs="方正仿宋_GBK"/>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bidi="ar-SA"/>
        </w:rPr>
        <w:t>18.50</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bidi="ar-SA"/>
        </w:rPr>
        <w:t>100.00</w:t>
      </w:r>
      <w:r>
        <w:rPr>
          <w:rFonts w:hint="default" w:ascii="Times New Roman" w:hAnsi="Times New Roman" w:eastAsia="方正仿宋_GBK" w:cs="Times New Roman"/>
          <w:sz w:val="32"/>
          <w:szCs w:val="32"/>
          <w:shd w:val="clear" w:color="auto" w:fill="FFFFFF"/>
          <w:lang w:val="en-US" w:eastAsia="zh-CN" w:bidi="ar-SA"/>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lang w:val="en-US" w:eastAsia="zh-CN" w:bidi="ar-SA"/>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文化</w:t>
      </w:r>
      <w:r>
        <w:rPr>
          <w:rFonts w:ascii="方正仿宋_GBK" w:hAnsi="方正仿宋_GBK" w:eastAsia="方正仿宋_GBK" w:cs="方正仿宋_GBK"/>
          <w:sz w:val="32"/>
          <w:szCs w:val="32"/>
          <w:shd w:val="clear" w:color="auto" w:fill="FFFFFF"/>
        </w:rPr>
        <w:t>服务中心未单独进行财务核算及决算处理，纳入政府核算及决算。其中：基本支出</w:t>
      </w:r>
      <w:r>
        <w:rPr>
          <w:rFonts w:hint="eastAsia" w:ascii="Times New Roman" w:hAnsi="Times New Roman" w:eastAsia="方正仿宋_GBK" w:cs="Times New Roman"/>
          <w:sz w:val="32"/>
          <w:szCs w:val="32"/>
          <w:shd w:val="clear" w:color="auto" w:fill="FFFFFF"/>
          <w:lang w:val="en-US" w:eastAsia="zh-CN" w:bidi="ar-SA"/>
        </w:rPr>
        <w:t>18.50</w:t>
      </w:r>
      <w:r>
        <w:rPr>
          <w:rFonts w:hint="default" w:ascii="Times New Roman" w:hAnsi="Times New Roman" w:eastAsia="方正仿宋_GBK" w:cs="Times New Roman"/>
          <w:sz w:val="32"/>
          <w:szCs w:val="32"/>
          <w:shd w:val="clear" w:color="auto" w:fill="FFFFFF"/>
          <w:lang w:val="en-US" w:eastAsia="zh-CN" w:bidi="ar-SA"/>
        </w:rPr>
        <w:t>万</w:t>
      </w:r>
      <w:r>
        <w:rPr>
          <w:rFonts w:ascii="方正仿宋_GBK" w:hAnsi="方正仿宋_GBK" w:eastAsia="方正仿宋_GBK" w:cs="方正仿宋_GBK"/>
          <w:sz w:val="32"/>
          <w:szCs w:val="32"/>
          <w:shd w:val="clear" w:color="auto" w:fill="FFFFFF"/>
        </w:rPr>
        <w:t>元，占</w:t>
      </w:r>
      <w:r>
        <w:rPr>
          <w:rFonts w:hint="eastAsia" w:ascii="Times New Roman" w:hAnsi="Times New Roman" w:eastAsia="方正仿宋_GBK" w:cs="Times New Roman"/>
          <w:sz w:val="32"/>
          <w:szCs w:val="32"/>
          <w:shd w:val="clear" w:color="auto" w:fill="FFFFFF"/>
          <w:lang w:val="en-US" w:eastAsia="zh-CN" w:bidi="ar-SA"/>
        </w:rPr>
        <w:t>100.00</w:t>
      </w:r>
      <w:r>
        <w:rPr>
          <w:rFonts w:hint="default" w:ascii="Times New Roman" w:hAnsi="Times New Roman" w:eastAsia="方正仿宋_GBK" w:cs="Times New Roman"/>
          <w:sz w:val="32"/>
          <w:szCs w:val="32"/>
          <w:shd w:val="clear" w:color="auto" w:fill="FFFFFF"/>
          <w:lang w:val="en-US" w:eastAsia="zh-CN" w:bidi="ar-SA"/>
        </w:rPr>
        <w:t>%</w:t>
      </w:r>
      <w:r>
        <w:rPr>
          <w:rFonts w:ascii="方正仿宋_GBK" w:hAnsi="方正仿宋_GBK" w:eastAsia="方正仿宋_GBK" w:cs="方正仿宋_GBK"/>
          <w:sz w:val="32"/>
          <w:szCs w:val="32"/>
          <w:shd w:val="clear" w:color="auto" w:fill="FFFFFF"/>
        </w:rPr>
        <w:t>；项目支出</w:t>
      </w:r>
      <w:r>
        <w:rPr>
          <w:rFonts w:hint="eastAsia"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rPr>
      </w:pPr>
      <w:r>
        <w:rPr>
          <w:rStyle w:val="13"/>
          <w:rFonts w:ascii="方正仿宋_GBK" w:hAnsi="方正仿宋_GBK" w:eastAsia="方正仿宋_GBK" w:cs="方正仿宋_GBK"/>
          <w:sz w:val="32"/>
          <w:szCs w:val="32"/>
          <w:shd w:val="clear" w:color="auto" w:fill="FFFFFF"/>
        </w:rPr>
        <w:t>4.结转结余情况。</w:t>
      </w:r>
      <w:r>
        <w:rPr>
          <w:rFonts w:hint="default" w:ascii="Times New Roman" w:hAnsi="Times New Roman" w:eastAsia="方正仿宋_GBK" w:cs="Times New Roman"/>
          <w:sz w:val="32"/>
          <w:szCs w:val="32"/>
          <w:shd w:val="clear" w:color="auto" w:fill="FFFFFF"/>
          <w:lang w:val="en-US" w:eastAsia="zh-CN" w:bidi="ar-SA"/>
        </w:rPr>
        <w:t>202</w:t>
      </w:r>
      <w:r>
        <w:rPr>
          <w:rFonts w:hint="eastAsia" w:ascii="Times New Roman" w:hAnsi="Times New Roman" w:eastAsia="方正仿宋_GBK" w:cs="Times New Roman"/>
          <w:sz w:val="32"/>
          <w:szCs w:val="32"/>
          <w:shd w:val="clear" w:color="auto" w:fill="FFFFFF"/>
          <w:lang w:val="en-US" w:eastAsia="zh-CN" w:bidi="ar-SA"/>
        </w:rPr>
        <w:t>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cs="Times New Roman"/>
          <w:b w:val="0"/>
          <w:bCs w:val="0"/>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万元，较上年决算数无增减。</w:t>
      </w:r>
    </w:p>
    <w:p>
      <w:pPr>
        <w:pStyle w:val="14"/>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（二）财政拨款收入支出决算总体情况说明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年度财政拨款收、支总计</w:t>
      </w:r>
      <w:r>
        <w:rPr>
          <w:rFonts w:hint="default" w:ascii="Times New Roman" w:hAnsi="Times New Roman" w:eastAsia="方正仿宋_GBK" w:cs="Times New Roman"/>
          <w:sz w:val="32"/>
          <w:szCs w:val="32"/>
          <w:shd w:val="clear" w:color="auto" w:fill="FFFFFF"/>
          <w:lang w:val="en-US" w:eastAsia="zh-CN"/>
        </w:rPr>
        <w:t>1</w:t>
      </w:r>
      <w:r>
        <w:rPr>
          <w:rFonts w:hint="default" w:ascii="Times New Roman" w:hAnsi="Times New Roman" w:eastAsia="方正仿宋_GBK" w:cs="Times New Roman"/>
          <w:sz w:val="32"/>
          <w:szCs w:val="32"/>
          <w:shd w:val="clear" w:color="auto" w:fill="FFFFFF"/>
          <w:lang w:val="en-US" w:eastAsia="zh-CN" w:bidi="ar-SA"/>
        </w:rPr>
        <w:t>8.50</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年相比，财政拨款收、支总计各</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18.50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文化</w:t>
      </w:r>
      <w:r>
        <w:rPr>
          <w:rFonts w:ascii="方正仿宋_GBK" w:hAnsi="方正仿宋_GBK" w:eastAsia="方正仿宋_GBK" w:cs="方正仿宋_GBK"/>
          <w:sz w:val="32"/>
          <w:szCs w:val="32"/>
          <w:shd w:val="clear" w:color="auto" w:fill="FFFFFF"/>
        </w:rPr>
        <w:t>服务中心未单独进行财务核算及决算处理，纳入政府核算及决算。</w:t>
      </w:r>
    </w:p>
    <w:p>
      <w:pPr>
        <w:pStyle w:val="14"/>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（三）一般公共预算财政拨款收入支出决算情况说明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Style w:val="13"/>
          <w:rFonts w:ascii="方正仿宋_GBK" w:hAnsi="方正仿宋_GBK" w:eastAsia="方正仿宋_GBK" w:cs="方正仿宋_GBK"/>
          <w:sz w:val="32"/>
          <w:szCs w:val="32"/>
          <w:shd w:val="clear" w:color="auto" w:fill="FFFFFF"/>
        </w:rPr>
        <w:t>1.收入情况。</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年度一般公共预算财政拨款收入</w:t>
      </w:r>
      <w:r>
        <w:rPr>
          <w:rFonts w:hint="eastAsia" w:ascii="Times New Roman" w:hAnsi="Times New Roman" w:eastAsia="方正仿宋_GBK" w:cs="Times New Roman"/>
          <w:sz w:val="32"/>
          <w:szCs w:val="32"/>
          <w:shd w:val="clear" w:color="auto" w:fill="FFFFFF"/>
          <w:lang w:val="en-US" w:eastAsia="zh-CN"/>
        </w:rPr>
        <w:t>18.50</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18.50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文化</w:t>
      </w:r>
      <w:r>
        <w:rPr>
          <w:rFonts w:ascii="方正仿宋_GBK" w:hAnsi="方正仿宋_GBK" w:eastAsia="方正仿宋_GBK" w:cs="方正仿宋_GBK"/>
          <w:sz w:val="32"/>
          <w:szCs w:val="32"/>
          <w:shd w:val="clear" w:color="auto" w:fill="FFFFFF"/>
        </w:rPr>
        <w:t>服务中心未单独进行财务核算及决算处理，纳入政府核算及决算。较年初预算数</w:t>
      </w:r>
      <w:r>
        <w:rPr>
          <w:rFonts w:hint="default" w:ascii="Times New Roman" w:hAnsi="Times New Roman" w:eastAsia="方正仿宋_GBK" w:cs="Times New Roman"/>
          <w:sz w:val="32"/>
          <w:szCs w:val="32"/>
          <w:shd w:val="clear" w:color="auto" w:fill="FFFFFF"/>
          <w:lang w:val="en-US" w:eastAsia="zh-CN"/>
        </w:rPr>
        <w:t>增</w:t>
      </w:r>
      <w:r>
        <w:rPr>
          <w:rFonts w:hint="eastAsia" w:ascii="方正仿宋_GBK" w:hAnsi="方正仿宋_GBK" w:eastAsia="方正仿宋_GBK" w:cs="方正仿宋_GBK"/>
          <w:sz w:val="32"/>
          <w:szCs w:val="32"/>
          <w:shd w:val="clear" w:color="auto" w:fill="FFFFFF"/>
          <w:lang w:val="en-US" w:eastAsia="zh-CN"/>
        </w:rPr>
        <w:t>加</w:t>
      </w:r>
      <w:r>
        <w:rPr>
          <w:rFonts w:hint="eastAsia" w:ascii="Times New Roman" w:hAnsi="Times New Roman" w:eastAsia="方正仿宋_GBK" w:cs="Times New Roman"/>
          <w:sz w:val="32"/>
          <w:szCs w:val="32"/>
          <w:shd w:val="clear" w:color="auto" w:fill="FFFFFF"/>
          <w:lang w:val="en-US" w:eastAsia="zh-CN"/>
        </w:rPr>
        <w:t>18.50</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ascii="方正仿宋_GBK" w:hAnsi="方正仿宋_GBK" w:eastAsia="方正仿宋_GBK" w:cs="方正仿宋_GBK"/>
          <w:sz w:val="32"/>
          <w:szCs w:val="32"/>
          <w:shd w:val="clear" w:color="auto" w:fill="FFFFFF"/>
        </w:rPr>
        <w:t>农业服务中心</w:t>
      </w:r>
      <w:r>
        <w:rPr>
          <w:rFonts w:hint="eastAsia" w:ascii="方正仿宋_GBK" w:hAnsi="方正仿宋_GBK" w:eastAsia="方正仿宋_GBK" w:cs="方正仿宋_GBK"/>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此外，年初财政拨款结转和结余</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w:t>
      </w:r>
    </w:p>
    <w:p>
      <w:pPr>
        <w:pStyle w:val="9"/>
        <w:keepNext w:val="0"/>
        <w:keepLines w:val="0"/>
        <w:pageBreakBefore w:val="0"/>
        <w:widowControl w:val="0"/>
        <w:kinsoku/>
        <w:wordWrap/>
        <w:overflowPunct/>
        <w:topLinePunct w:val="0"/>
        <w:autoSpaceDE/>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rPr>
      </w:pPr>
      <w:r>
        <w:rPr>
          <w:rStyle w:val="13"/>
          <w:rFonts w:ascii="方正仿宋_GBK" w:hAnsi="方正仿宋_GBK" w:eastAsia="方正仿宋_GBK" w:cs="方正仿宋_GBK"/>
          <w:sz w:val="32"/>
          <w:szCs w:val="32"/>
          <w:shd w:val="clear" w:color="auto" w:fill="FFFFFF"/>
        </w:rPr>
        <w:t>2.支出情况。</w:t>
      </w: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年度一般公共预算财政拨款支</w:t>
      </w:r>
      <w:r>
        <w:rPr>
          <w:rFonts w:hint="eastAsia" w:ascii="Times New Roman" w:hAnsi="Times New Roman" w:eastAsia="方正仿宋_GBK" w:cs="Times New Roman"/>
          <w:sz w:val="32"/>
          <w:szCs w:val="32"/>
          <w:shd w:val="clear" w:color="auto" w:fill="FFFFFF"/>
          <w:lang w:val="en-US" w:eastAsia="zh-CN"/>
        </w:rPr>
        <w:t>出18.50</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18.50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文化</w:t>
      </w:r>
      <w:r>
        <w:rPr>
          <w:rFonts w:ascii="方正仿宋_GBK" w:hAnsi="方正仿宋_GBK" w:eastAsia="方正仿宋_GBK" w:cs="方正仿宋_GBK"/>
          <w:sz w:val="32"/>
          <w:szCs w:val="32"/>
          <w:shd w:val="clear" w:color="auto" w:fill="FFFFFF"/>
        </w:rPr>
        <w:t>服务中心未单独进行财务核算及决算处理，纳入政府核算及决算。较年初预算数增加</w:t>
      </w:r>
      <w:r>
        <w:rPr>
          <w:rFonts w:hint="eastAsia" w:ascii="Times New Roman" w:hAnsi="Times New Roman" w:eastAsia="方正仿宋_GBK" w:cs="Times New Roman"/>
          <w:sz w:val="32"/>
          <w:szCs w:val="32"/>
          <w:shd w:val="clear" w:color="auto" w:fill="FFFFFF"/>
          <w:lang w:val="en-US" w:eastAsia="zh-CN"/>
        </w:rPr>
        <w:t>18.50</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年中从政府（本级）调整预算到文化</w:t>
      </w:r>
      <w:r>
        <w:rPr>
          <w:rFonts w:ascii="方正仿宋_GBK" w:hAnsi="方正仿宋_GBK" w:eastAsia="方正仿宋_GBK" w:cs="方正仿宋_GBK"/>
          <w:sz w:val="32"/>
          <w:szCs w:val="32"/>
          <w:shd w:val="clear" w:color="auto" w:fill="FFFFFF"/>
        </w:rPr>
        <w:t>服务中心</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val="0"/>
        <w:kinsoku/>
        <w:wordWrap/>
        <w:overflowPunct/>
        <w:topLinePunct w:val="0"/>
        <w:autoSpaceDE/>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rPr>
      </w:pPr>
      <w:r>
        <w:rPr>
          <w:rStyle w:val="13"/>
          <w:rFonts w:ascii="方正仿宋_GBK" w:hAnsi="方正仿宋_GBK" w:eastAsia="方正仿宋_GBK" w:cs="方正仿宋_GBK"/>
          <w:sz w:val="32"/>
          <w:szCs w:val="32"/>
          <w:shd w:val="clear" w:color="auto" w:fill="FFFFFF"/>
        </w:rPr>
        <w:t>3.结转结余情况。</w:t>
      </w: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年度年末一般公共预算财政拨款结转和结余</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万元，较上年决算数无增减</w:t>
      </w:r>
      <w:r>
        <w:rPr>
          <w:rFonts w:hint="eastAsia" w:ascii="方正仿宋_GBK" w:hAnsi="方正仿宋_GBK" w:eastAsia="方正仿宋_GBK" w:cs="方正仿宋_GBK"/>
          <w:sz w:val="32"/>
          <w:szCs w:val="32"/>
          <w:shd w:val="clear" w:color="auto" w:fill="FFFFFF"/>
          <w:lang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color w:val="FF0000"/>
          <w:sz w:val="32"/>
          <w:szCs w:val="32"/>
          <w:highlight w:val="cyan"/>
          <w:shd w:val="clear" w:color="auto" w:fill="FFFFFF"/>
        </w:rPr>
      </w:pPr>
      <w:r>
        <w:rPr>
          <w:rStyle w:val="13"/>
          <w:rFonts w:ascii="方正仿宋_GBK" w:hAnsi="方正仿宋_GBK" w:eastAsia="方正仿宋_GBK" w:cs="方正仿宋_GBK"/>
          <w:sz w:val="32"/>
          <w:szCs w:val="32"/>
          <w:shd w:val="clear" w:color="auto" w:fill="FFFFFF"/>
        </w:rPr>
        <w:t>4.比较情况。</w:t>
      </w:r>
      <w:r>
        <w:rPr>
          <w:rFonts w:ascii="方正仿宋_GBK" w:hAnsi="方正仿宋_GBK" w:eastAsia="方正仿宋_GBK" w:cs="方正仿宋_GBK"/>
          <w:sz w:val="32"/>
          <w:szCs w:val="32"/>
          <w:shd w:val="clear" w:color="auto" w:fill="FFFFFF"/>
        </w:rPr>
        <w:t>本单位</w:t>
      </w: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年度一般公共预算财政拨款支出主要用于以下几个方面：</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1</w:t>
      </w:r>
      <w:r>
        <w:rPr>
          <w:rFonts w:hint="default" w:ascii="Times New Roman" w:hAnsi="Times New Roman" w:eastAsia="方正仿宋_GBK" w:cs="Times New Roman"/>
          <w:sz w:val="32"/>
          <w:szCs w:val="32"/>
          <w:shd w:val="clear" w:color="auto" w:fill="FFFFFF"/>
        </w:rPr>
        <w:t>）</w:t>
      </w:r>
      <w:r>
        <w:rPr>
          <w:rFonts w:hint="eastAsia" w:ascii="方正仿宋_GBK" w:hAnsi="方正仿宋_GBK" w:eastAsia="方正仿宋_GBK" w:cs="方正仿宋_GBK"/>
          <w:sz w:val="32"/>
          <w:szCs w:val="32"/>
          <w:shd w:val="clear" w:color="auto" w:fill="FFFFFF"/>
        </w:rPr>
        <w:t>文化旅游体育与传媒支出</w:t>
      </w:r>
      <w:r>
        <w:rPr>
          <w:rFonts w:hint="eastAsia" w:ascii="Times New Roman" w:hAnsi="Times New Roman" w:eastAsia="方正仿宋_GBK" w:cs="Times New Roman"/>
          <w:sz w:val="32"/>
          <w:szCs w:val="32"/>
          <w:shd w:val="clear" w:color="auto" w:fill="FFFFFF"/>
          <w:lang w:val="en-US" w:eastAsia="zh-CN"/>
        </w:rPr>
        <w:t>11.87万</w:t>
      </w:r>
      <w:r>
        <w:rPr>
          <w:rFonts w:ascii="方正仿宋_GBK" w:hAnsi="方正仿宋_GBK" w:eastAsia="方正仿宋_GBK" w:cs="方正仿宋_GBK"/>
          <w:sz w:val="32"/>
          <w:szCs w:val="32"/>
          <w:shd w:val="clear" w:color="auto" w:fill="FFFFFF"/>
        </w:rPr>
        <w:t>元，占</w:t>
      </w:r>
      <w:r>
        <w:rPr>
          <w:rFonts w:hint="eastAsia" w:ascii="Times New Roman" w:hAnsi="Times New Roman" w:eastAsia="方正仿宋_GBK" w:cs="Times New Roman"/>
          <w:sz w:val="32"/>
          <w:szCs w:val="32"/>
          <w:shd w:val="clear" w:color="auto" w:fill="FFFFFF"/>
          <w:lang w:val="en-US" w:eastAsia="zh-CN"/>
        </w:rPr>
        <w:t>64.15%</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rPr>
        <w:t>11.87</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年中从政府（本级）调整预算到文化</w:t>
      </w:r>
      <w:r>
        <w:rPr>
          <w:rFonts w:ascii="方正仿宋_GBK" w:hAnsi="方正仿宋_GBK" w:eastAsia="方正仿宋_GBK" w:cs="方正仿宋_GBK"/>
          <w:sz w:val="32"/>
          <w:szCs w:val="32"/>
          <w:shd w:val="clear" w:color="auto" w:fill="FFFFFF"/>
        </w:rPr>
        <w:t>服务中心</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社会保障与就业支出</w:t>
      </w:r>
      <w:r>
        <w:rPr>
          <w:rFonts w:hint="eastAsia" w:ascii="Times New Roman" w:hAnsi="Times New Roman" w:eastAsia="方正仿宋_GBK" w:cs="Times New Roman"/>
          <w:sz w:val="32"/>
          <w:szCs w:val="32"/>
          <w:shd w:val="clear" w:color="auto" w:fill="FFFFFF"/>
          <w:lang w:val="en-US" w:eastAsia="zh-CN"/>
        </w:rPr>
        <w:t>3.44</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18.58%，</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rPr>
        <w:t>3.44</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年中从政府（本级）调整预算到文化</w:t>
      </w:r>
      <w:r>
        <w:rPr>
          <w:rFonts w:ascii="方正仿宋_GBK" w:hAnsi="方正仿宋_GBK" w:eastAsia="方正仿宋_GBK" w:cs="方正仿宋_GBK"/>
          <w:sz w:val="32"/>
          <w:szCs w:val="32"/>
          <w:shd w:val="clear" w:color="auto" w:fill="FFFFFF"/>
        </w:rPr>
        <w:t>服务中心</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卫生健康支出</w:t>
      </w:r>
      <w:r>
        <w:rPr>
          <w:rFonts w:hint="eastAsia" w:ascii="Times New Roman" w:hAnsi="Times New Roman" w:eastAsia="方正仿宋_GBK" w:cs="Times New Roman"/>
          <w:sz w:val="32"/>
          <w:szCs w:val="32"/>
          <w:shd w:val="clear" w:color="auto" w:fill="FFFFFF"/>
          <w:lang w:val="en-US" w:eastAsia="zh-CN"/>
        </w:rPr>
        <w:t>1.48</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7.98%</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rPr>
        <w:t>1.48</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年中从政府（本级）调整预算到文化</w:t>
      </w:r>
      <w:r>
        <w:rPr>
          <w:rFonts w:ascii="方正仿宋_GBK" w:hAnsi="方正仿宋_GBK" w:eastAsia="方正仿宋_GBK" w:cs="方正仿宋_GBK"/>
          <w:sz w:val="32"/>
          <w:szCs w:val="32"/>
          <w:shd w:val="clear" w:color="auto" w:fill="FFFFFF"/>
        </w:rPr>
        <w:t>服务中心</w:t>
      </w:r>
      <w:r>
        <w:rPr>
          <w:rFonts w:hint="eastAsia" w:ascii="方正仿宋_GBK" w:hAnsi="方正仿宋_GBK" w:eastAsia="方正仿宋_GBK" w:cs="方正仿宋_GBK"/>
          <w:sz w:val="32"/>
          <w:szCs w:val="32"/>
          <w:shd w:val="clear" w:color="auto" w:fill="FFFFFF"/>
          <w:lang w:val="en-US" w:eastAsia="zh-CN"/>
        </w:rPr>
        <w:t>。</w:t>
      </w:r>
    </w:p>
    <w:p>
      <w:pPr>
        <w:keepNext w:val="0"/>
        <w:keepLines w:val="0"/>
        <w:pageBreakBefore w:val="0"/>
        <w:widowControl/>
        <w:kinsoku/>
        <w:wordWrap/>
        <w:overflowPunct/>
        <w:topLinePunct w:val="0"/>
        <w:autoSpaceDN/>
        <w:bidi w:val="0"/>
        <w:adjustRightInd/>
        <w:spacing w:line="579"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rPr>
        <w:t>住房保障支出</w:t>
      </w:r>
      <w:r>
        <w:rPr>
          <w:rFonts w:hint="eastAsia" w:ascii="Times New Roman" w:hAnsi="Times New Roman" w:eastAsia="方正仿宋_GBK" w:cs="Times New Roman"/>
          <w:sz w:val="32"/>
          <w:szCs w:val="32"/>
          <w:shd w:val="clear" w:color="auto" w:fill="FFFFFF"/>
          <w:lang w:val="en-US" w:eastAsia="zh-CN" w:bidi="ar-SA"/>
        </w:rPr>
        <w:t>1.72</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bidi="ar-SA"/>
        </w:rPr>
        <w:t>9.29%</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bidi="ar-SA"/>
        </w:rPr>
        <w:t>1.72</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bidi="ar-SA"/>
        </w:rPr>
        <w:t>100.00%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年中从政府（本级）调整预算到文化</w:t>
      </w:r>
      <w:r>
        <w:rPr>
          <w:rFonts w:ascii="方正仿宋_GBK" w:hAnsi="方正仿宋_GBK" w:eastAsia="方正仿宋_GBK" w:cs="方正仿宋_GBK"/>
          <w:sz w:val="32"/>
          <w:szCs w:val="32"/>
          <w:shd w:val="clear" w:color="auto" w:fill="FFFFFF"/>
        </w:rPr>
        <w:t>服务中心</w:t>
      </w:r>
      <w:r>
        <w:rPr>
          <w:rFonts w:hint="eastAsia" w:ascii="方正仿宋_GBK" w:hAnsi="方正仿宋_GBK" w:eastAsia="方正仿宋_GBK" w:cs="方正仿宋_GBK"/>
          <w:sz w:val="32"/>
          <w:szCs w:val="32"/>
          <w:shd w:val="clear" w:color="auto" w:fill="FFFFFF"/>
          <w:lang w:val="en-US" w:eastAsia="zh-CN"/>
        </w:rPr>
        <w:t>。</w:t>
      </w:r>
    </w:p>
    <w:p>
      <w:pPr>
        <w:pStyle w:val="14"/>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（四）一般公共预算财政拨款基本支出决算情况说明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年度一般公共财政拨款基本支出</w:t>
      </w:r>
      <w:r>
        <w:rPr>
          <w:rFonts w:hint="eastAsia" w:ascii="Times New Roman" w:hAnsi="Times New Roman" w:eastAsia="方正仿宋_GBK" w:cs="Times New Roman"/>
          <w:sz w:val="32"/>
          <w:szCs w:val="32"/>
          <w:shd w:val="clear" w:color="auto" w:fill="FFFFFF"/>
          <w:lang w:val="en-US" w:eastAsia="zh-CN"/>
        </w:rPr>
        <w:t>18.50万</w:t>
      </w:r>
      <w:r>
        <w:rPr>
          <w:rFonts w:ascii="方正仿宋_GBK" w:hAnsi="方正仿宋_GBK" w:eastAsia="方正仿宋_GBK" w:cs="方正仿宋_GBK"/>
          <w:sz w:val="32"/>
          <w:szCs w:val="32"/>
          <w:shd w:val="clear" w:color="auto" w:fill="FFFFFF"/>
        </w:rPr>
        <w:t>元。其中：人</w:t>
      </w:r>
      <w:r>
        <w:rPr>
          <w:rFonts w:hint="eastAsia" w:ascii="方正仿宋_GBK" w:hAnsi="方正仿宋_GBK" w:eastAsia="方正仿宋_GBK" w:cs="方正仿宋_GBK"/>
          <w:sz w:val="32"/>
          <w:szCs w:val="32"/>
          <w:shd w:val="clear" w:color="auto" w:fill="FFFFFF"/>
          <w:lang w:val="en-US" w:eastAsia="zh-CN"/>
        </w:rPr>
        <w:t>员经费</w:t>
      </w:r>
      <w:r>
        <w:rPr>
          <w:rFonts w:hint="eastAsia" w:ascii="Times New Roman" w:hAnsi="Times New Roman" w:eastAsia="方正仿宋_GBK" w:cs="Times New Roman"/>
          <w:sz w:val="32"/>
          <w:szCs w:val="32"/>
          <w:shd w:val="clear" w:color="auto" w:fill="FFFFFF"/>
          <w:lang w:val="en-US" w:eastAsia="zh-CN"/>
        </w:rPr>
        <w:t>16.44</w:t>
      </w:r>
      <w:r>
        <w:rPr>
          <w:rFonts w:hint="eastAsia" w:ascii="方正仿宋_GBK" w:hAnsi="方正仿宋_GBK" w:eastAsia="方正仿宋_GBK" w:cs="方正仿宋_GBK"/>
          <w:sz w:val="32"/>
          <w:szCs w:val="32"/>
          <w:shd w:val="clear" w:color="auto" w:fill="FFFFFF"/>
          <w:lang w:val="en-US" w:eastAsia="zh-CN"/>
        </w:rPr>
        <w:t>万元</w:t>
      </w:r>
      <w:r>
        <w:rPr>
          <w:rFonts w:ascii="方正仿宋_GBK" w:hAnsi="方正仿宋_GBK" w:eastAsia="方正仿宋_GBK" w:cs="方正仿宋_GBK"/>
          <w:sz w:val="32"/>
          <w:szCs w:val="32"/>
          <w:shd w:val="clear" w:color="auto" w:fill="FFFFFF"/>
        </w:rPr>
        <w:t>，较上年决算数增加</w:t>
      </w:r>
      <w:r>
        <w:rPr>
          <w:rFonts w:hint="default" w:ascii="Times New Roman" w:hAnsi="Times New Roman" w:eastAsia="方正仿宋_GBK" w:cs="Times New Roman"/>
          <w:sz w:val="32"/>
          <w:szCs w:val="32"/>
          <w:shd w:val="clear" w:color="auto" w:fill="FFFFFF"/>
          <w:lang w:val="en-US" w:eastAsia="zh-CN"/>
        </w:rPr>
        <w:t>16.44</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文化</w:t>
      </w:r>
      <w:r>
        <w:rPr>
          <w:rFonts w:ascii="方正仿宋_GBK" w:hAnsi="方正仿宋_GBK" w:eastAsia="方正仿宋_GBK" w:cs="方正仿宋_GBK"/>
          <w:sz w:val="32"/>
          <w:szCs w:val="32"/>
          <w:shd w:val="clear" w:color="auto" w:fill="FFFFFF"/>
        </w:rPr>
        <w:t>服务中心未单独进行财务核算及决算处理，纳入政府核算及决算。人员经费用途主要包括</w:t>
      </w:r>
      <w:r>
        <w:rPr>
          <w:rFonts w:hint="default" w:ascii="方正仿宋_GBK" w:hAnsi="方正仿宋_GBK" w:eastAsia="方正仿宋_GBK" w:cs="方正仿宋_GBK"/>
          <w:sz w:val="32"/>
          <w:szCs w:val="32"/>
          <w:shd w:val="clear" w:color="auto" w:fill="FFFFFF"/>
        </w:rPr>
        <w:t>基本工资、津贴补贴、奖金、伙食补助费、绩效工资、社会保障缴费及住房公积金等。</w:t>
      </w:r>
      <w:r>
        <w:rPr>
          <w:rFonts w:ascii="方正仿宋_GBK" w:hAnsi="方正仿宋_GBK" w:eastAsia="方正仿宋_GBK" w:cs="方正仿宋_GBK"/>
          <w:sz w:val="32"/>
          <w:szCs w:val="32"/>
          <w:shd w:val="clear" w:color="auto" w:fill="FFFFFF"/>
        </w:rPr>
        <w:t>公用经费</w:t>
      </w:r>
      <w:r>
        <w:rPr>
          <w:rFonts w:hint="eastAsia" w:ascii="Times New Roman" w:hAnsi="Times New Roman" w:eastAsia="方正仿宋_GBK" w:cs="Times New Roman"/>
          <w:sz w:val="32"/>
          <w:szCs w:val="32"/>
          <w:shd w:val="clear" w:color="auto" w:fill="FFFFFF"/>
          <w:lang w:val="en-US" w:eastAsia="zh-CN"/>
        </w:rPr>
        <w:t>2.07</w:t>
      </w:r>
      <w:r>
        <w:rPr>
          <w:rFonts w:ascii="方正仿宋_GBK" w:hAnsi="方正仿宋_GBK" w:eastAsia="方正仿宋_GBK" w:cs="方正仿宋_GBK"/>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rPr>
        <w:t>2.07</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文化</w:t>
      </w:r>
      <w:r>
        <w:rPr>
          <w:rFonts w:ascii="方正仿宋_GBK" w:hAnsi="方正仿宋_GBK" w:eastAsia="方正仿宋_GBK" w:cs="方正仿宋_GBK"/>
          <w:sz w:val="32"/>
          <w:szCs w:val="32"/>
          <w:shd w:val="clear" w:color="auto" w:fill="FFFFFF"/>
        </w:rPr>
        <w:t>服务中心未单独进行财务核算及决算处理，纳入政府核算及决算。公用经费用途主要包括</w:t>
      </w:r>
      <w:r>
        <w:rPr>
          <w:rFonts w:hint="default" w:ascii="方正仿宋_GBK" w:hAnsi="方正仿宋_GBK" w:eastAsia="方正仿宋_GBK" w:cs="方正仿宋_GBK"/>
          <w:sz w:val="32"/>
          <w:szCs w:val="32"/>
          <w:shd w:val="clear" w:color="auto" w:fill="FFFFFF"/>
        </w:rPr>
        <w:t>办公费、差旅费、劳务费、公务接待费及公务用车运行维护费等。</w:t>
      </w:r>
    </w:p>
    <w:p>
      <w:pPr>
        <w:pStyle w:val="14"/>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（五）政府性基金预算收支决算情况说明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年度无政府性基金预算财政拨款收支。</w:t>
      </w:r>
    </w:p>
    <w:p>
      <w:pPr>
        <w:pStyle w:val="14"/>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（六）国有资本经营预算财政拨款支出决算情况说明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年度无国有资本经营预算财政拨款支出。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三、</w:t>
      </w:r>
      <w:r>
        <w:rPr>
          <w:rStyle w:val="13"/>
          <w:rFonts w:hint="eastAsia" w:ascii="方正黑体_GBK" w:hAnsi="方正黑体_GBK" w:eastAsia="方正黑体_GBK" w:cs="方正黑体_GBK"/>
          <w:b w:val="0"/>
          <w:bCs/>
          <w:sz w:val="32"/>
          <w:szCs w:val="32"/>
          <w:shd w:val="clear" w:color="auto" w:fill="FFFFFF"/>
          <w:lang w:eastAsia="zh-CN"/>
        </w:rPr>
        <w:t>财政拨款</w:t>
      </w:r>
      <w:r>
        <w:rPr>
          <w:rStyle w:val="13"/>
          <w:rFonts w:hint="eastAsia" w:ascii="方正黑体_GBK" w:hAnsi="方正黑体_GBK" w:eastAsia="方正黑体_GBK" w:cs="方正黑体_GBK"/>
          <w:b w:val="0"/>
          <w:bCs/>
          <w:sz w:val="32"/>
          <w:szCs w:val="32"/>
          <w:shd w:val="clear" w:color="auto" w:fill="FFFFFF"/>
        </w:rPr>
        <w:t>“三公”经费情况说明</w:t>
      </w:r>
    </w:p>
    <w:p>
      <w:pPr>
        <w:pStyle w:val="14"/>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（一）“三公”经费支出总体情况说明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年度“三公”经费支出共计</w:t>
      </w:r>
      <w:r>
        <w:rPr>
          <w:rFonts w:hint="eastAsia" w:ascii="Times New Roman" w:hAnsi="Times New Roman" w:eastAsia="方正仿宋_GBK" w:cs="Times New Roman"/>
          <w:sz w:val="32"/>
          <w:szCs w:val="32"/>
          <w:shd w:val="clear" w:color="auto" w:fill="FFFFFF"/>
          <w:lang w:val="en-US" w:eastAsia="zh-CN"/>
        </w:rPr>
        <w:t>0.31</w:t>
      </w:r>
      <w:r>
        <w:rPr>
          <w:rFonts w:ascii="方正仿宋_GBK" w:hAnsi="方正仿宋_GBK" w:eastAsia="方正仿宋_GBK" w:cs="方正仿宋_GBK"/>
          <w:sz w:val="32"/>
          <w:szCs w:val="32"/>
          <w:shd w:val="clear" w:color="auto" w:fill="FFFFFF"/>
        </w:rPr>
        <w:t>万元，较年初预算数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0.31</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年中从政府（本级）调整预算到文化</w:t>
      </w:r>
      <w:r>
        <w:rPr>
          <w:rFonts w:ascii="方正仿宋_GBK" w:hAnsi="方正仿宋_GBK" w:eastAsia="方正仿宋_GBK" w:cs="方正仿宋_GBK"/>
          <w:sz w:val="32"/>
          <w:szCs w:val="32"/>
          <w:shd w:val="clear" w:color="auto" w:fill="FFFFFF"/>
        </w:rPr>
        <w:t>服务中心</w:t>
      </w:r>
      <w:r>
        <w:rPr>
          <w:rFonts w:hint="eastAsia" w:ascii="方正仿宋_GBK" w:hAnsi="方正仿宋_GBK" w:eastAsia="方正仿宋_GBK" w:cs="方正仿宋_GBK"/>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0.31</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文化</w:t>
      </w:r>
      <w:r>
        <w:rPr>
          <w:rFonts w:ascii="方正仿宋_GBK" w:hAnsi="方正仿宋_GBK" w:eastAsia="方正仿宋_GBK" w:cs="方正仿宋_GBK"/>
          <w:sz w:val="32"/>
          <w:szCs w:val="32"/>
          <w:shd w:val="clear" w:color="auto" w:fill="FFFFFF"/>
        </w:rPr>
        <w:t>服务中心未单独进行财务核算及决算处理，纳入政府核算及决算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（二）“三公”经费分项支出情况</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年度本单位因公出国（境）费用</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rPr>
        <w:t>主要是用于没有因公出国（境）职工</w:t>
      </w:r>
      <w:r>
        <w:rPr>
          <w:rFonts w:ascii="方正仿宋_GBK" w:hAnsi="方正仿宋_GBK" w:eastAsia="方正仿宋_GBK" w:cs="方正仿宋_GBK"/>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度未发生因公出国（境）支出</w:t>
      </w:r>
      <w:r>
        <w:rPr>
          <w:rFonts w:ascii="方正仿宋_GBK" w:hAnsi="方正仿宋_GBK" w:eastAsia="方正仿宋_GBK" w:cs="方正仿宋_GBK"/>
          <w:sz w:val="32"/>
          <w:szCs w:val="32"/>
          <w:shd w:val="clear" w:color="auto" w:fill="FFFFFF"/>
        </w:rPr>
        <w:t>。较上年支出数无增减，主要原因是</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度未发生因公出国（境）支出</w:t>
      </w:r>
      <w:r>
        <w:rPr>
          <w:rFonts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公务车购置费</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rPr>
        <w:t>主要用于车辆采购</w:t>
      </w:r>
      <w:r>
        <w:rPr>
          <w:rFonts w:ascii="方正仿宋_GBK" w:hAnsi="方正仿宋_GBK" w:eastAsia="方正仿宋_GBK" w:cs="方正仿宋_GBK"/>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度未发生公务车购置支出</w:t>
      </w:r>
      <w:r>
        <w:rPr>
          <w:rFonts w:ascii="方正仿宋_GBK" w:hAnsi="方正仿宋_GBK" w:eastAsia="方正仿宋_GBK" w:cs="方正仿宋_GBK"/>
          <w:sz w:val="32"/>
          <w:szCs w:val="32"/>
          <w:shd w:val="clear" w:color="auto" w:fill="FFFFFF"/>
        </w:rPr>
        <w:t>。较上年支出数无增减，主要原因是</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度未发生公务车购置支出</w:t>
      </w:r>
      <w:r>
        <w:rPr>
          <w:rFonts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公务车运行维护费</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万元，主要用于</w:t>
      </w:r>
      <w:r>
        <w:rPr>
          <w:rFonts w:hint="default" w:ascii="方正仿宋_GBK" w:hAnsi="方正仿宋_GBK" w:eastAsia="方正仿宋_GBK" w:cs="方正仿宋_GBK"/>
          <w:sz w:val="32"/>
          <w:szCs w:val="32"/>
          <w:shd w:val="clear" w:color="auto" w:fill="FFFFFF"/>
        </w:rPr>
        <w:t>县内因公出行、</w:t>
      </w:r>
      <w:r>
        <w:rPr>
          <w:rFonts w:hint="eastAsia" w:ascii="方正仿宋_GBK" w:hAnsi="方正仿宋_GBK" w:eastAsia="方正仿宋_GBK" w:cs="方正仿宋_GBK"/>
          <w:sz w:val="32"/>
          <w:szCs w:val="32"/>
          <w:shd w:val="clear" w:color="auto" w:fill="FFFFFF"/>
          <w:lang w:eastAsia="zh-CN"/>
        </w:rPr>
        <w:t>安全生产监管、乡村振兴、巩固脱贫攻坚成果</w:t>
      </w:r>
      <w:r>
        <w:rPr>
          <w:rFonts w:hint="default" w:ascii="方正仿宋_GBK" w:hAnsi="方正仿宋_GBK" w:eastAsia="方正仿宋_GBK" w:cs="方正仿宋_GBK"/>
          <w:sz w:val="32"/>
          <w:szCs w:val="32"/>
          <w:shd w:val="clear" w:color="auto" w:fill="FFFFFF"/>
        </w:rPr>
        <w:t>等工作所需车辆的燃料费、维修费、保险费等。</w:t>
      </w:r>
      <w:r>
        <w:rPr>
          <w:rFonts w:ascii="方正仿宋_GBK" w:hAnsi="方正仿宋_GBK" w:eastAsia="方正仿宋_GBK" w:cs="方正仿宋_GBK"/>
          <w:sz w:val="32"/>
          <w:szCs w:val="32"/>
          <w:shd w:val="clear" w:color="auto" w:fill="FFFFFF"/>
        </w:rPr>
        <w:t>费用支出较年初预算数</w:t>
      </w:r>
      <w:r>
        <w:rPr>
          <w:rFonts w:hint="eastAsia" w:ascii="方正仿宋_GBK" w:hAnsi="方正仿宋_GBK" w:eastAsia="方正仿宋_GBK" w:cs="方正仿宋_GBK"/>
          <w:sz w:val="32"/>
          <w:szCs w:val="32"/>
          <w:shd w:val="clear" w:color="auto" w:fill="FFFFFF"/>
          <w:lang w:val="en-US" w:eastAsia="zh-CN"/>
        </w:rPr>
        <w:t>无增减</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无增减</w:t>
      </w:r>
      <w:r>
        <w:rPr>
          <w:rFonts w:hint="eastAsia" w:ascii="方正仿宋_GBK" w:hAnsi="方正仿宋_GBK" w:eastAsia="方正仿宋_GBK" w:cs="方正仿宋_GBK"/>
          <w:sz w:val="32"/>
          <w:szCs w:val="32"/>
          <w:shd w:val="clear" w:color="auto" w:fill="FFFFFF"/>
          <w:lang w:eastAsia="zh-CN"/>
        </w:rPr>
        <w:t>，</w:t>
      </w:r>
      <w:r>
        <w:rPr>
          <w:rFonts w:hint="default" w:ascii="方正仿宋_GBK" w:hAnsi="方正仿宋_GBK" w:eastAsia="方正仿宋_GBK" w:cs="方正仿宋_GBK"/>
          <w:sz w:val="32"/>
          <w:szCs w:val="32"/>
          <w:shd w:val="clear" w:color="auto" w:fill="FFFFFF"/>
        </w:rPr>
        <w:t>主要原因是</w:t>
      </w:r>
      <w:r>
        <w:rPr>
          <w:rFonts w:ascii="方正仿宋_GBK" w:hAnsi="方正仿宋_GBK" w:eastAsia="方正仿宋_GBK" w:cs="方正仿宋_GBK"/>
          <w:sz w:val="32"/>
          <w:szCs w:val="32"/>
          <w:shd w:val="clear" w:color="auto" w:fill="FFFFFF"/>
        </w:rPr>
        <w:t>公务车运行维护费</w:t>
      </w:r>
      <w:r>
        <w:rPr>
          <w:rFonts w:hint="eastAsia" w:ascii="方正仿宋_GBK" w:hAnsi="方正仿宋_GBK" w:eastAsia="方正仿宋_GBK" w:cs="方正仿宋_GBK"/>
          <w:sz w:val="32"/>
          <w:szCs w:val="32"/>
          <w:shd w:val="clear" w:color="auto" w:fill="FFFFFF"/>
          <w:lang w:val="en-US" w:eastAsia="zh-CN"/>
        </w:rPr>
        <w:t>统一在政府（本级）列支，下属事业单位未单独列支</w:t>
      </w:r>
      <w:r>
        <w:rPr>
          <w:rFonts w:hint="default"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outlineLvl w:val="9"/>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公务接待费</w:t>
      </w:r>
      <w:r>
        <w:rPr>
          <w:rFonts w:hint="eastAsia" w:ascii="Times New Roman" w:hAnsi="Times New Roman" w:eastAsia="方正仿宋_GBK" w:cs="Times New Roman"/>
          <w:sz w:val="32"/>
          <w:szCs w:val="32"/>
          <w:shd w:val="clear" w:color="auto" w:fill="FFFFFF"/>
          <w:lang w:val="en-US" w:eastAsia="zh-CN"/>
        </w:rPr>
        <w:t>0.31</w:t>
      </w:r>
      <w:r>
        <w:rPr>
          <w:rFonts w:ascii="方正仿宋_GBK" w:hAnsi="方正仿宋_GBK" w:eastAsia="方正仿宋_GBK" w:cs="方正仿宋_GBK"/>
          <w:sz w:val="32"/>
          <w:szCs w:val="32"/>
          <w:shd w:val="clear" w:color="auto" w:fill="FFFFFF"/>
        </w:rPr>
        <w:t>万元，主要用于接待</w:t>
      </w:r>
      <w:r>
        <w:rPr>
          <w:rFonts w:hint="default" w:ascii="方正仿宋_GBK" w:hAnsi="方正仿宋_GBK" w:eastAsia="方正仿宋_GBK" w:cs="方正仿宋_GBK"/>
          <w:sz w:val="32"/>
          <w:szCs w:val="32"/>
          <w:shd w:val="clear" w:color="auto" w:fill="FFFFFF"/>
        </w:rPr>
        <w:t>相关部门检查指导工作发生的支出</w:t>
      </w:r>
      <w:r>
        <w:rPr>
          <w:rFonts w:ascii="方正仿宋_GBK" w:hAnsi="方正仿宋_GBK" w:eastAsia="方正仿宋_GBK" w:cs="方正仿宋_GBK"/>
          <w:sz w:val="32"/>
          <w:szCs w:val="32"/>
          <w:shd w:val="clear" w:color="auto" w:fill="FFFFFF"/>
        </w:rPr>
        <w:t>。费用支出较年初预算数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0.31</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文化</w:t>
      </w:r>
      <w:r>
        <w:rPr>
          <w:rFonts w:ascii="方正仿宋_GBK" w:hAnsi="方正仿宋_GBK" w:eastAsia="方正仿宋_GBK" w:cs="方正仿宋_GBK"/>
          <w:sz w:val="32"/>
          <w:szCs w:val="32"/>
          <w:shd w:val="clear" w:color="auto" w:fill="FFFFFF"/>
        </w:rPr>
        <w:t>服务中心未单独进行财务核算及决算处理，纳入政府核算及决算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0.31万</w:t>
      </w:r>
      <w:r>
        <w:rPr>
          <w:rFonts w:ascii="方正仿宋_GBK" w:hAnsi="方正仿宋_GBK" w:eastAsia="方正仿宋_GBK" w:cs="方正仿宋_GBK"/>
          <w:sz w:val="32"/>
          <w:szCs w:val="32"/>
          <w:shd w:val="clear" w:color="auto" w:fill="FFFFFF"/>
        </w:rPr>
        <w:t>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文化</w:t>
      </w:r>
      <w:r>
        <w:rPr>
          <w:rFonts w:ascii="方正仿宋_GBK" w:hAnsi="方正仿宋_GBK" w:eastAsia="方正仿宋_GBK" w:cs="方正仿宋_GBK"/>
          <w:sz w:val="32"/>
          <w:szCs w:val="32"/>
          <w:shd w:val="clear" w:color="auto" w:fill="FFFFFF"/>
        </w:rPr>
        <w:t>服务中心未单独进行财务核算及决算处理，纳入政府核算及决算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（三）“三公”经费实物量情况</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rPr>
      </w:pP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sz w:val="32"/>
          <w:szCs w:val="32"/>
          <w:shd w:val="clear" w:color="auto" w:fill="FFFFFF"/>
          <w:lang w:val="en-US" w:eastAsia="zh-CN"/>
        </w:rPr>
        <w:t>年度本单位因公出国（境）共计</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个团组，</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人；公务用车购置</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辆，公务车保有量为</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辆；国内公务接待</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批次</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人，其中：国内外事接待</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批次，</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人；国（境）外公务接待</w:t>
      </w:r>
      <w:r>
        <w:rPr>
          <w:rFonts w:hint="eastAsia" w:ascii="Times New Roman" w:hAnsi="Times New Roman" w:eastAsia="方正仿宋_GBK" w:cs="Times New Roman"/>
          <w:sz w:val="32"/>
          <w:szCs w:val="32"/>
          <w:shd w:val="clear" w:color="auto" w:fill="FFFFFF"/>
          <w:lang w:val="en-US" w:eastAsia="zh-CN"/>
        </w:rPr>
        <w:t>9</w:t>
      </w:r>
      <w:r>
        <w:rPr>
          <w:rFonts w:hint="eastAsia" w:ascii="方正仿宋_GBK" w:hAnsi="方正仿宋_GBK" w:eastAsia="方正仿宋_GBK" w:cs="方正仿宋_GBK"/>
          <w:sz w:val="32"/>
          <w:szCs w:val="32"/>
          <w:shd w:val="clear" w:color="auto" w:fill="FFFFFF"/>
          <w:lang w:val="en-US" w:eastAsia="zh-CN"/>
        </w:rPr>
        <w:t>批次，</w:t>
      </w:r>
      <w:r>
        <w:rPr>
          <w:rFonts w:hint="eastAsia" w:ascii="Times New Roman" w:hAnsi="Times New Roman" w:eastAsia="方正仿宋_GBK" w:cs="Times New Roman"/>
          <w:sz w:val="32"/>
          <w:szCs w:val="32"/>
          <w:shd w:val="clear" w:color="auto" w:fill="FFFFFF"/>
          <w:lang w:val="en-US" w:eastAsia="zh-CN"/>
        </w:rPr>
        <w:t>150</w:t>
      </w:r>
      <w:r>
        <w:rPr>
          <w:rFonts w:hint="eastAsia" w:ascii="方正仿宋_GBK" w:hAnsi="方正仿宋_GBK" w:eastAsia="方正仿宋_GBK" w:cs="方正仿宋_GBK"/>
          <w:sz w:val="32"/>
          <w:szCs w:val="32"/>
          <w:shd w:val="clear" w:color="auto" w:fill="FFFFFF"/>
          <w:lang w:val="en-US" w:eastAsia="zh-CN"/>
        </w:rPr>
        <w:t>人。</w:t>
      </w: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sz w:val="32"/>
          <w:szCs w:val="32"/>
          <w:shd w:val="clear" w:color="auto" w:fill="FFFFFF"/>
          <w:lang w:val="en-US" w:eastAsia="zh-CN"/>
        </w:rPr>
        <w:t>年本单位人均接待费</w:t>
      </w:r>
      <w:r>
        <w:rPr>
          <w:rFonts w:hint="eastAsia" w:ascii="Times New Roman" w:hAnsi="Times New Roman" w:eastAsia="方正仿宋_GBK" w:cs="Times New Roman"/>
          <w:sz w:val="32"/>
          <w:szCs w:val="32"/>
          <w:shd w:val="clear" w:color="auto" w:fill="FFFFFF"/>
          <w:lang w:val="en-US" w:eastAsia="zh-CN"/>
        </w:rPr>
        <w:t>20.74</w:t>
      </w:r>
      <w:r>
        <w:rPr>
          <w:rFonts w:hint="eastAsia" w:ascii="方正仿宋_GBK" w:hAnsi="方正仿宋_GBK" w:eastAsia="方正仿宋_GBK" w:cs="方正仿宋_GBK"/>
          <w:sz w:val="32"/>
          <w:szCs w:val="32"/>
          <w:shd w:val="clear" w:color="auto" w:fill="FFFFFF"/>
          <w:lang w:val="en-US" w:eastAsia="zh-CN"/>
        </w:rPr>
        <w:t>元，车均购置费</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万元，车均维护费</w:t>
      </w:r>
      <w:r>
        <w:rPr>
          <w:rFonts w:hint="eastAsia" w:ascii="Times New Roman" w:hAnsi="Times New Roman" w:eastAsia="方正仿宋_GBK" w:cs="Times New Roman"/>
          <w:sz w:val="32"/>
          <w:szCs w:val="32"/>
          <w:shd w:val="clear" w:color="auto" w:fill="FFFFFF"/>
          <w:lang w:val="en-US" w:eastAsia="zh-CN"/>
        </w:rPr>
        <w:t>0.00</w:t>
      </w:r>
      <w:r>
        <w:rPr>
          <w:rFonts w:hint="eastAsia" w:ascii="方正仿宋_GBK" w:hAnsi="方正仿宋_GBK" w:eastAsia="方正仿宋_GBK" w:cs="方正仿宋_GBK"/>
          <w:sz w:val="32"/>
          <w:szCs w:val="32"/>
          <w:shd w:val="clear" w:color="auto" w:fill="FFFFFF"/>
          <w:lang w:val="en-US" w:eastAsia="zh-CN"/>
        </w:rPr>
        <w:t>万元。</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四、其他需要说明的事项</w:t>
      </w:r>
    </w:p>
    <w:p>
      <w:pPr>
        <w:pStyle w:val="14"/>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（一）财政拨款会议费和培训费情况说明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本年度会议费支出</w:t>
      </w:r>
      <w:r>
        <w:rPr>
          <w:rFonts w:hint="eastAsia" w:ascii="Times New Roman" w:hAnsi="Times New Roman" w:eastAsia="方正仿宋_GBK" w:cs="Times New Roman"/>
          <w:sz w:val="32"/>
          <w:szCs w:val="32"/>
          <w:shd w:val="clear" w:color="auto" w:fill="FFFFFF"/>
          <w:lang w:val="en-US" w:eastAsia="zh-CN"/>
        </w:rPr>
        <w:t>0.00</w:t>
      </w:r>
      <w:r>
        <w:rPr>
          <w:rFonts w:hint="eastAsia" w:ascii="方正仿宋_GBK" w:hAnsi="方正仿宋_GBK" w:eastAsia="方正仿宋_GBK" w:cs="方正仿宋_GBK"/>
          <w:color w:val="auto"/>
          <w:sz w:val="32"/>
          <w:szCs w:val="32"/>
          <w:shd w:val="clear" w:color="auto" w:fill="FFFFFF"/>
        </w:rPr>
        <w:t>万元，较上年决算数无增减，主要原因是</w:t>
      </w: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color w:val="auto"/>
          <w:sz w:val="32"/>
          <w:szCs w:val="32"/>
          <w:shd w:val="clear" w:color="auto" w:fill="FFFFFF"/>
        </w:rPr>
        <w:t>年度未单独安排会议费。本年度培训费支出</w:t>
      </w:r>
      <w:r>
        <w:rPr>
          <w:rFonts w:hint="eastAsia" w:ascii="Times New Roman" w:hAnsi="Times New Roman" w:eastAsia="方正仿宋_GBK" w:cs="Times New Roman"/>
          <w:sz w:val="32"/>
          <w:szCs w:val="32"/>
          <w:shd w:val="clear" w:color="auto" w:fill="FFFFFF"/>
          <w:lang w:val="en-US" w:eastAsia="zh-CN"/>
        </w:rPr>
        <w:t>0.00</w:t>
      </w:r>
      <w:r>
        <w:rPr>
          <w:rFonts w:hint="eastAsia" w:ascii="方正仿宋_GBK" w:hAnsi="方正仿宋_GBK" w:eastAsia="方正仿宋_GBK" w:cs="方正仿宋_GBK"/>
          <w:color w:val="auto"/>
          <w:sz w:val="32"/>
          <w:szCs w:val="32"/>
          <w:shd w:val="clear" w:color="auto" w:fill="FFFFFF"/>
        </w:rPr>
        <w:t>万元，较上年决算数无变化，主要原因是</w:t>
      </w: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color w:val="auto"/>
          <w:sz w:val="32"/>
          <w:szCs w:val="32"/>
          <w:shd w:val="clear" w:color="auto" w:fill="FFFFFF"/>
        </w:rPr>
        <w:t>年度未单独安排会议费。</w:t>
      </w:r>
    </w:p>
    <w:p>
      <w:pPr>
        <w:pStyle w:val="14"/>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（二）机关运行经费情况说明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Fonts w:hint="default" w:ascii="方正仿宋_GBK" w:hAnsi="方正仿宋_GBK" w:eastAsia="方正仿宋_GBK" w:cs="方正仿宋_GBK"/>
          <w:color w:val="auto"/>
          <w:sz w:val="32"/>
          <w:szCs w:val="32"/>
          <w:shd w:val="clear" w:color="auto" w:fill="FFFFFF"/>
        </w:rPr>
        <w:t>按照部门决算列报口径，我单位不在机关运行经费统计范围之内。</w:t>
      </w:r>
    </w:p>
    <w:p>
      <w:pPr>
        <w:pStyle w:val="14"/>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（三）国有资产占用情况说明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sz w:val="32"/>
          <w:szCs w:val="32"/>
          <w:shd w:val="clear" w:color="auto" w:fill="FFFFFF"/>
        </w:rPr>
        <w:t>截至</w:t>
      </w: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w:t>
      </w:r>
      <w:r>
        <w:rPr>
          <w:rFonts w:hint="eastAsia" w:ascii="Times New Roman" w:hAnsi="Times New Roman" w:eastAsia="方正仿宋_GBK" w:cs="Times New Roman"/>
          <w:sz w:val="32"/>
          <w:szCs w:val="32"/>
          <w:shd w:val="clear" w:color="auto" w:fill="FFFFFF"/>
          <w:lang w:val="en-US" w:eastAsia="zh-CN"/>
        </w:rPr>
        <w:t>12</w:t>
      </w:r>
      <w:r>
        <w:rPr>
          <w:rFonts w:ascii="方正仿宋_GBK" w:hAnsi="方正仿宋_GBK" w:eastAsia="方正仿宋_GBK" w:cs="方正仿宋_GBK"/>
          <w:sz w:val="32"/>
          <w:szCs w:val="32"/>
          <w:shd w:val="clear" w:color="auto" w:fill="FFFFFF"/>
        </w:rPr>
        <w:t>月</w:t>
      </w:r>
      <w:r>
        <w:rPr>
          <w:rFonts w:hint="eastAsia" w:ascii="Times New Roman" w:hAnsi="Times New Roman" w:eastAsia="方正仿宋_GBK" w:cs="Times New Roman"/>
          <w:sz w:val="32"/>
          <w:szCs w:val="32"/>
          <w:shd w:val="clear" w:color="auto" w:fill="FFFFFF"/>
          <w:lang w:val="en-US" w:eastAsia="zh-CN"/>
        </w:rPr>
        <w:t>31</w:t>
      </w:r>
      <w:r>
        <w:rPr>
          <w:rFonts w:ascii="方正仿宋_GBK" w:hAnsi="方正仿宋_GBK" w:eastAsia="方正仿宋_GBK" w:cs="方正仿宋_GBK"/>
          <w:sz w:val="32"/>
          <w:szCs w:val="32"/>
          <w:shd w:val="clear" w:color="auto" w:fill="FFFFFF"/>
        </w:rPr>
        <w:t>日，本单位共有车辆</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辆，其中，副部（省）级及以上领导用车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辆、主要负责人用车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辆、机要通信用车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辆、应急保障用车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辆、执法执勤用车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辆，特种专业技术用车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辆，离退休干部用车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辆。单价</w:t>
      </w:r>
      <w:r>
        <w:rPr>
          <w:rFonts w:hint="eastAsia" w:ascii="Times New Roman" w:hAnsi="Times New Roman" w:eastAsia="方正仿宋_GBK" w:cs="Times New Roman"/>
          <w:sz w:val="32"/>
          <w:szCs w:val="32"/>
          <w:shd w:val="clear" w:color="auto" w:fill="FFFFFF"/>
          <w:lang w:val="en-US" w:eastAsia="zh-CN"/>
        </w:rPr>
        <w:t>100</w:t>
      </w:r>
      <w:r>
        <w:rPr>
          <w:rFonts w:ascii="方正仿宋_GBK" w:hAnsi="方正仿宋_GBK" w:eastAsia="方正仿宋_GBK" w:cs="方正仿宋_GBK"/>
          <w:sz w:val="32"/>
          <w:szCs w:val="32"/>
          <w:shd w:val="clear" w:color="auto" w:fill="FFFFFF"/>
        </w:rPr>
        <w:t>万元（含）以上专用设备</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台（套）。</w:t>
      </w:r>
    </w:p>
    <w:p>
      <w:pPr>
        <w:pStyle w:val="14"/>
        <w:keepNext w:val="0"/>
        <w:keepLines w:val="0"/>
        <w:pageBreakBefore w:val="0"/>
        <w:widowControl/>
        <w:kinsoku/>
        <w:wordWrap/>
        <w:overflowPunct/>
        <w:topLinePunct w:val="0"/>
        <w:autoSpaceDE w:val="0"/>
        <w:autoSpaceDN/>
        <w:bidi w:val="0"/>
        <w:adjustRightInd/>
        <w:spacing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（四）政府采购支出情况说明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color w:val="auto"/>
          <w:sz w:val="32"/>
          <w:szCs w:val="32"/>
          <w:shd w:val="clear" w:color="auto" w:fill="FFFFFF"/>
        </w:rPr>
        <w:t>年度我单位未发生政府采购事项，无相关经费支出。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lang w:val="en-US" w:eastAsia="zh-CN"/>
        </w:rPr>
      </w:pPr>
      <w:r>
        <w:rPr>
          <w:rStyle w:val="13"/>
          <w:rFonts w:hint="eastAsia" w:ascii="方正黑体_GBK" w:hAnsi="方正黑体_GBK" w:eastAsia="方正黑体_GBK" w:cs="方正黑体_GBK"/>
          <w:b w:val="0"/>
          <w:bCs/>
          <w:sz w:val="32"/>
          <w:szCs w:val="32"/>
          <w:shd w:val="clear" w:color="auto" w:fill="FFFFFF"/>
          <w:lang w:val="en-US" w:eastAsia="zh-CN"/>
        </w:rPr>
        <w:t>五、</w:t>
      </w:r>
      <w:r>
        <w:rPr>
          <w:rFonts w:hint="eastAsia" w:ascii="Times New Roman" w:hAnsi="Times New Roman" w:eastAsia="方正仿宋_GBK" w:cs="Times New Roman"/>
          <w:sz w:val="32"/>
          <w:szCs w:val="32"/>
          <w:shd w:val="clear" w:color="auto" w:fill="FFFFFF"/>
          <w:lang w:val="en-US" w:eastAsia="zh-CN"/>
        </w:rPr>
        <w:t>2024</w:t>
      </w:r>
      <w:r>
        <w:rPr>
          <w:rStyle w:val="13"/>
          <w:rFonts w:hint="eastAsia" w:ascii="方正黑体_GBK" w:hAnsi="方正黑体_GBK" w:eastAsia="方正黑体_GBK" w:cs="方正黑体_GBK"/>
          <w:b w:val="0"/>
          <w:bCs/>
          <w:sz w:val="32"/>
          <w:szCs w:val="32"/>
          <w:shd w:val="clear" w:color="auto" w:fill="FFFFFF"/>
          <w:lang w:val="en-US" w:eastAsia="zh-CN"/>
        </w:rPr>
        <w:t>年度预算绩效管理情况说明</w:t>
      </w:r>
    </w:p>
    <w:p>
      <w:pPr>
        <w:pStyle w:val="15"/>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sz w:val="32"/>
          <w:szCs w:val="32"/>
          <w:shd w:val="clear" w:color="auto" w:fill="FFFFFF"/>
          <w:lang w:val="en-US" w:eastAsia="zh-CN" w:bidi="ar-SA"/>
        </w:rPr>
        <w:t>根据预算绩效管理要求，政府（本级）对部门整体和</w:t>
      </w:r>
      <w:r>
        <w:rPr>
          <w:rFonts w:hint="eastAsia" w:ascii="Times New Roman" w:hAnsi="Times New Roman" w:eastAsia="方正仿宋_GBK" w:cs="Times New Roman"/>
          <w:sz w:val="32"/>
          <w:szCs w:val="32"/>
          <w:shd w:val="clear" w:color="auto" w:fill="FFFFFF"/>
          <w:lang w:val="en-US" w:eastAsia="zh-CN" w:bidi="ar-SA"/>
        </w:rPr>
        <w:t>58</w:t>
      </w:r>
      <w:r>
        <w:rPr>
          <w:rFonts w:hint="eastAsia" w:ascii="方正仿宋_GBK" w:hAnsi="方正仿宋_GBK" w:eastAsia="方正仿宋_GBK" w:cs="方正仿宋_GBK"/>
          <w:sz w:val="32"/>
          <w:szCs w:val="32"/>
          <w:shd w:val="clear" w:color="auto" w:fill="FFFFFF"/>
          <w:lang w:val="en-US" w:eastAsia="zh-CN" w:bidi="ar-SA"/>
        </w:rPr>
        <w:t>个项目开展了绩效自评，故本站所</w:t>
      </w:r>
      <w:r>
        <w:rPr>
          <w:rFonts w:hint="eastAsia" w:ascii="Times New Roman" w:hAnsi="Times New Roman" w:eastAsia="方正仿宋_GBK" w:cs="Times New Roman"/>
          <w:sz w:val="32"/>
          <w:szCs w:val="32"/>
          <w:shd w:val="clear" w:color="auto" w:fill="FFFFFF"/>
          <w:lang w:val="en-US" w:eastAsia="zh-CN" w:bidi="ar-SA"/>
        </w:rPr>
        <w:t>2024</w:t>
      </w:r>
      <w:r>
        <w:rPr>
          <w:rFonts w:hint="eastAsia" w:ascii="方正仿宋_GBK" w:hAnsi="方正仿宋_GBK" w:eastAsia="方正仿宋_GBK" w:cs="方正仿宋_GBK"/>
          <w:sz w:val="32"/>
          <w:szCs w:val="32"/>
          <w:shd w:val="clear" w:color="auto" w:fill="FFFFFF"/>
          <w:lang w:val="en-US" w:eastAsia="zh-CN" w:bidi="ar-SA"/>
        </w:rPr>
        <w:t>年度无需再次开展绩效评价。</w:t>
      </w:r>
    </w:p>
    <w:p>
      <w:pPr>
        <w:pStyle w:val="15"/>
        <w:keepNext w:val="0"/>
        <w:keepLines w:val="0"/>
        <w:pageBreakBefore w:val="0"/>
        <w:widowControl w:val="0"/>
        <w:kinsoku/>
        <w:wordWrap/>
        <w:overflowPunct/>
        <w:topLinePunct w:val="0"/>
        <w:autoSpaceDE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黑体_GBK" w:hAnsi="方正黑体_GBK" w:eastAsia="方正黑体_GBK" w:cs="方正黑体_GBK"/>
          <w:b w:val="0"/>
          <w:bCs/>
          <w:sz w:val="32"/>
          <w:szCs w:val="32"/>
          <w:shd w:val="clear" w:color="auto" w:fill="FFFFFF"/>
          <w:lang w:val="en-US" w:eastAsia="zh-CN" w:bidi="ar-SA"/>
        </w:rPr>
        <w:t>六、专业名词解释</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lang w:val="en-US" w:eastAsia="zh-CN"/>
        </w:rPr>
      </w:pPr>
      <w:r>
        <w:rPr>
          <w:rStyle w:val="13"/>
          <w:rFonts w:hint="eastAsia" w:ascii="方正楷体_GBK" w:hAnsi="方正楷体_GBK" w:eastAsia="方正楷体_GBK" w:cs="方正楷体_GBK"/>
          <w:b w:val="0"/>
          <w:bCs/>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bookmarkStart w:id="0" w:name="_GoBack"/>
      <w:bookmarkEnd w:id="0"/>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lang w:val="en-US" w:eastAsia="zh-CN"/>
        </w:rPr>
        <w:t>七、决算公开联系方式及信息反馈渠道</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default" w:ascii="Times New Roman" w:hAnsi="Times New Roman" w:eastAsia="方正仿宋_GBK" w:cs="Times New Roman"/>
          <w:b w:val="0"/>
          <w:bCs w:val="0"/>
          <w:sz w:val="32"/>
          <w:szCs w:val="32"/>
          <w:shd w:val="clear" w:color="auto" w:fill="FFFFFF"/>
        </w:rPr>
        <w:t>巴山镇人民政府</w:t>
      </w:r>
      <w:r>
        <w:rPr>
          <w:rFonts w:hint="eastAsia" w:ascii="方正仿宋_GBK" w:hAnsi="方正仿宋_GBK" w:eastAsia="方正仿宋_GBK" w:cs="方正仿宋_GBK"/>
          <w:color w:val="FF0000"/>
          <w:kern w:val="0"/>
          <w:sz w:val="32"/>
          <w:szCs w:val="32"/>
          <w:shd w:val="clear" w:fill="FFFFFF"/>
        </w:rPr>
        <w:t xml:space="preserve">   </w:t>
      </w:r>
      <w:r>
        <w:rPr>
          <w:rFonts w:hint="default" w:ascii="Times New Roman" w:hAnsi="Times New Roman" w:eastAsia="方正仿宋_GBK" w:cs="Times New Roman"/>
          <w:b w:val="0"/>
          <w:bCs w:val="0"/>
          <w:sz w:val="32"/>
          <w:szCs w:val="32"/>
          <w:shd w:val="clear" w:color="auto" w:fill="FFFFFF"/>
        </w:rPr>
        <w:t>023-59280550</w:t>
      </w:r>
    </w:p>
    <w:p>
      <w:pPr>
        <w:pStyle w:val="14"/>
        <w:keepNext w:val="0"/>
        <w:keepLines w:val="0"/>
        <w:pageBreakBefore w:val="0"/>
        <w:widowControl/>
        <w:kinsoku/>
        <w:wordWrap/>
        <w:overflowPunct/>
        <w:topLinePunct w:val="0"/>
        <w:autoSpaceDE w:val="0"/>
        <w:autoSpaceDN/>
        <w:bidi w:val="0"/>
        <w:adjustRightInd/>
        <w:snapToGrid/>
        <w:spacing w:beforeAutospacing="0" w:afterAutospacing="0" w:line="579" w:lineRule="exact"/>
        <w:jc w:val="both"/>
        <w:textAlignment w:val="auto"/>
        <w:rPr>
          <w:rStyle w:val="13"/>
          <w:rFonts w:ascii="方正仿宋_GBK" w:hAnsi="方正仿宋_GBK" w:eastAsia="方正仿宋_GBK" w:cs="方正仿宋_GBK"/>
          <w:sz w:val="32"/>
          <w:szCs w:val="32"/>
          <w:shd w:val="clear" w:color="auto" w:fill="FFFF00"/>
        </w:rPr>
        <w:sectPr>
          <w:headerReference r:id="rId5" w:type="first"/>
          <w:footerReference r:id="rId8" w:type="first"/>
          <w:headerReference r:id="rId3" w:type="default"/>
          <w:footerReference r:id="rId6" w:type="default"/>
          <w:headerReference r:id="rId4" w:type="even"/>
          <w:footerReference r:id="rId7" w:type="even"/>
          <w:pgSz w:w="11915" w:h="16840"/>
          <w:pgMar w:top="2098" w:right="1474" w:bottom="1984" w:left="1587" w:header="851" w:footer="1361" w:gutter="0"/>
          <w:pgNumType w:fmt="decimal"/>
          <w:cols w:space="720" w:num="1"/>
          <w:titlePg/>
          <w:docGrid w:type="lines" w:linePitch="312" w:charSpace="0"/>
        </w:sect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巴山镇文化服务中心</w:t>
            </w: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18.50</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11.87</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3.44</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1.48</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1.72</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18.50</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18.50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18.50</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18.50</w:t>
            </w:r>
            <w:r>
              <w:rPr>
                <w:rFonts w:ascii="Times New Roman" w:hAnsi="Times New Roman"/>
                <w:color w:val="000000"/>
                <w:sz w:val="20"/>
                <w:u w:color="auto"/>
              </w:rPr>
              <w:t xml:space="preserve"> </w:t>
            </w:r>
          </w:p>
        </w:tc>
      </w:tr>
    </w:tbl>
    <w:p>
      <w:pPr>
        <w:rPr>
          <w:rFonts w:hint="default" w:cs="宋体"/>
          <w:sz w:val="21"/>
          <w:szCs w:val="21"/>
        </w:rPr>
      </w:pPr>
    </w:p>
    <w:p>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巴山镇文化服务中心</w:t>
            </w: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18.50</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18.50</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文化旅游体育与传媒支出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11.87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11.87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文化和旅游</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11.87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11.87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2070109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群众文化</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11.87</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11.87</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2.29</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2.29</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0.26</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巴山镇文化服务中心 </w:t>
            </w: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18.50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18.50</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文化旅游体育与传媒支出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11.87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11.87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文化和旅游</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11.87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11.87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2070109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群众文化</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11.87</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11.87</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2.29</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2.29</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p>
      <w:pPr>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巴山镇文化服务中心</w:t>
            </w: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18.50</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11.87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11.87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3.44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3.44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18.50</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18.50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18.50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18.50</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18.50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18.50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05"/>
        <w:gridCol w:w="4073"/>
        <w:gridCol w:w="3306"/>
        <w:gridCol w:w="3297"/>
        <w:gridCol w:w="3341"/>
      </w:tblGrid>
      <w:tr>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巴山镇文化服务中心</w:t>
            </w: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18.50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18.50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文化旅游体育与传媒支出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11.87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11.87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20701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文化和旅游</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11.87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11.87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2070109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群众文化</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11.87</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11.87</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2.29</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2.29</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1.22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1.22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0.26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0.26</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1.72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1.72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ind w:firstLine="630" w:firstLineChars="300"/>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巴山镇文化服务中心</w:t>
            </w: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16.44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4.51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0.77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3.89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0.17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0.11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0.16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16.44</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2.07</w:t>
            </w:r>
            <w:r>
              <w:rPr>
                <w:rFonts w:ascii="Times New Roman" w:hAnsi="Times New Roman"/>
                <w:color w:val="000000"/>
                <w:sz w:val="18"/>
                <w:u w:color="auto"/>
              </w:rPr>
              <w:t xml:space="preserve"> </w:t>
            </w:r>
          </w:p>
        </w:tc>
      </w:tr>
    </w:tbl>
    <w:p>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巴山镇文化服务中心</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巴山镇文化服务中心</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巴山镇文化服务中心</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0.31</w:t>
            </w: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0.31</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0.31</w:t>
            </w: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0.31</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0.31</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9</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150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9" w:type="default"/>
      <w:footerReference r:id="rId10" w:type="default"/>
      <w:pgSz w:w="16783" w:h="11850" w:orient="landscape"/>
      <w:pgMar w:top="567" w:right="454" w:bottom="567" w:left="1037" w:header="0" w:footer="283" w:gutter="0"/>
      <w:pgNumType w:fmt="decimal"/>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default"/>
      </w:rPr>
    </w:pPr>
    <w:r>
      <w:rPr>
        <w:sz w:val="18"/>
      </w:rPr>
      <w:pict>
        <v:shape id="_x0000_s1033" o:spid="_x0000_s1033"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1034" o:spid="_x0000_s1034"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1035" o:spid="_x0000_s1035"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sz w:val="18"/>
      </w:rPr>
      <w:pict>
        <v:shape id="_x0000_s1036" o:spid="_x0000_s1036" o:spt="202" type="#_x0000_t202" style="position:absolute;left:0pt;margin-top:0pt;height:144pt;width:144pt;mso-position-horizontal:outside;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WE2YTEzMmZiZjY0ZTA1MTVhZDBhOTA4ODhmNzE5Nzc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2C60B85"/>
    <w:rsid w:val="02D2752A"/>
    <w:rsid w:val="02DF39F5"/>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BF1E54"/>
    <w:rsid w:val="0DDA54E4"/>
    <w:rsid w:val="0E3A5F83"/>
    <w:rsid w:val="0F5C47D0"/>
    <w:rsid w:val="0F836721"/>
    <w:rsid w:val="0FA25D96"/>
    <w:rsid w:val="107B59E5"/>
    <w:rsid w:val="10EC0126"/>
    <w:rsid w:val="10F70B9A"/>
    <w:rsid w:val="111445C7"/>
    <w:rsid w:val="114278C6"/>
    <w:rsid w:val="1158083A"/>
    <w:rsid w:val="11643A4B"/>
    <w:rsid w:val="11ED0F98"/>
    <w:rsid w:val="11F03528"/>
    <w:rsid w:val="12C921C4"/>
    <w:rsid w:val="132868C7"/>
    <w:rsid w:val="13653B07"/>
    <w:rsid w:val="13871C70"/>
    <w:rsid w:val="13A71CB4"/>
    <w:rsid w:val="13AF1D43"/>
    <w:rsid w:val="13CE1647"/>
    <w:rsid w:val="13FD55AB"/>
    <w:rsid w:val="14200702"/>
    <w:rsid w:val="14370EA1"/>
    <w:rsid w:val="14482ACA"/>
    <w:rsid w:val="163A6CEE"/>
    <w:rsid w:val="173708E3"/>
    <w:rsid w:val="17C374FC"/>
    <w:rsid w:val="182E4AB6"/>
    <w:rsid w:val="189079DC"/>
    <w:rsid w:val="189B0D0B"/>
    <w:rsid w:val="18B43F7C"/>
    <w:rsid w:val="191C433B"/>
    <w:rsid w:val="194A1770"/>
    <w:rsid w:val="19B906A4"/>
    <w:rsid w:val="1A857966"/>
    <w:rsid w:val="1B6F15B6"/>
    <w:rsid w:val="1BAA2EDC"/>
    <w:rsid w:val="1CA55E64"/>
    <w:rsid w:val="1D014A01"/>
    <w:rsid w:val="1D022362"/>
    <w:rsid w:val="1D1B04B0"/>
    <w:rsid w:val="1D526BEB"/>
    <w:rsid w:val="1DA52501"/>
    <w:rsid w:val="1DBD6767"/>
    <w:rsid w:val="1DC52125"/>
    <w:rsid w:val="1DD26311"/>
    <w:rsid w:val="1E374ACB"/>
    <w:rsid w:val="1ECF0A66"/>
    <w:rsid w:val="1EF67CA4"/>
    <w:rsid w:val="1F020D3A"/>
    <w:rsid w:val="1F2C5189"/>
    <w:rsid w:val="1F4B0B02"/>
    <w:rsid w:val="1FBB35CD"/>
    <w:rsid w:val="1FCD26AF"/>
    <w:rsid w:val="1FE51C17"/>
    <w:rsid w:val="20642787"/>
    <w:rsid w:val="21416940"/>
    <w:rsid w:val="21556F04"/>
    <w:rsid w:val="22403BD3"/>
    <w:rsid w:val="22AD3177"/>
    <w:rsid w:val="235417B6"/>
    <w:rsid w:val="24B92327"/>
    <w:rsid w:val="24C14514"/>
    <w:rsid w:val="2533755C"/>
    <w:rsid w:val="25791755"/>
    <w:rsid w:val="25915452"/>
    <w:rsid w:val="26396DF4"/>
    <w:rsid w:val="27167136"/>
    <w:rsid w:val="271B442C"/>
    <w:rsid w:val="27B23302"/>
    <w:rsid w:val="29310A5F"/>
    <w:rsid w:val="29C37A35"/>
    <w:rsid w:val="2A076083"/>
    <w:rsid w:val="2A73162E"/>
    <w:rsid w:val="2B167953"/>
    <w:rsid w:val="2B200583"/>
    <w:rsid w:val="2B2729C0"/>
    <w:rsid w:val="2B8209DE"/>
    <w:rsid w:val="2B821C91"/>
    <w:rsid w:val="2B832868"/>
    <w:rsid w:val="2BF81A22"/>
    <w:rsid w:val="2C0954BB"/>
    <w:rsid w:val="2C636760"/>
    <w:rsid w:val="2C6762A3"/>
    <w:rsid w:val="2E917E5D"/>
    <w:rsid w:val="2FCA4B37"/>
    <w:rsid w:val="2FE029D7"/>
    <w:rsid w:val="2FF06E00"/>
    <w:rsid w:val="30586FEC"/>
    <w:rsid w:val="306C426A"/>
    <w:rsid w:val="31013F5E"/>
    <w:rsid w:val="315F0B22"/>
    <w:rsid w:val="31991B31"/>
    <w:rsid w:val="31A15828"/>
    <w:rsid w:val="31D84415"/>
    <w:rsid w:val="32285F6F"/>
    <w:rsid w:val="32770556"/>
    <w:rsid w:val="329C0913"/>
    <w:rsid w:val="32AA0460"/>
    <w:rsid w:val="3337290D"/>
    <w:rsid w:val="33E31118"/>
    <w:rsid w:val="33EF7674"/>
    <w:rsid w:val="342D7BC6"/>
    <w:rsid w:val="352930DB"/>
    <w:rsid w:val="35573069"/>
    <w:rsid w:val="355F6038"/>
    <w:rsid w:val="358C217E"/>
    <w:rsid w:val="35E93C67"/>
    <w:rsid w:val="36AF250E"/>
    <w:rsid w:val="36C9128A"/>
    <w:rsid w:val="37841E99"/>
    <w:rsid w:val="37BF1123"/>
    <w:rsid w:val="383C3F15"/>
    <w:rsid w:val="38BE4696"/>
    <w:rsid w:val="391D38C8"/>
    <w:rsid w:val="3939115E"/>
    <w:rsid w:val="39B82A39"/>
    <w:rsid w:val="39C42CA8"/>
    <w:rsid w:val="39DC4FD6"/>
    <w:rsid w:val="39F03D7A"/>
    <w:rsid w:val="39F33306"/>
    <w:rsid w:val="3A2C1C67"/>
    <w:rsid w:val="3A6A77C9"/>
    <w:rsid w:val="3ADD7F09"/>
    <w:rsid w:val="3B1705E5"/>
    <w:rsid w:val="3B18334B"/>
    <w:rsid w:val="3B36794F"/>
    <w:rsid w:val="3B6F6EE0"/>
    <w:rsid w:val="3C271048"/>
    <w:rsid w:val="3C566AD6"/>
    <w:rsid w:val="3C594871"/>
    <w:rsid w:val="3C6A5B02"/>
    <w:rsid w:val="3D083B3A"/>
    <w:rsid w:val="3D2757A1"/>
    <w:rsid w:val="3D3D4FC4"/>
    <w:rsid w:val="3DDF3AB1"/>
    <w:rsid w:val="3E1D0952"/>
    <w:rsid w:val="3E42660A"/>
    <w:rsid w:val="3E7555B1"/>
    <w:rsid w:val="3E787ED9"/>
    <w:rsid w:val="3F032E93"/>
    <w:rsid w:val="3F0527E5"/>
    <w:rsid w:val="3F4A1C1A"/>
    <w:rsid w:val="3F4C52C6"/>
    <w:rsid w:val="3F694D83"/>
    <w:rsid w:val="3F865A06"/>
    <w:rsid w:val="3F885DCC"/>
    <w:rsid w:val="3FCD675E"/>
    <w:rsid w:val="4004000C"/>
    <w:rsid w:val="40760DD1"/>
    <w:rsid w:val="40BD5482"/>
    <w:rsid w:val="411B6CE5"/>
    <w:rsid w:val="412070D7"/>
    <w:rsid w:val="41314E40"/>
    <w:rsid w:val="41E0734B"/>
    <w:rsid w:val="41F37D1F"/>
    <w:rsid w:val="426C1EA8"/>
    <w:rsid w:val="42736402"/>
    <w:rsid w:val="4274278A"/>
    <w:rsid w:val="42E86A87"/>
    <w:rsid w:val="43307B09"/>
    <w:rsid w:val="439A3EB9"/>
    <w:rsid w:val="439A4CEA"/>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75726F"/>
    <w:rsid w:val="4EB42C0C"/>
    <w:rsid w:val="4EFD467F"/>
    <w:rsid w:val="4F0C6BA3"/>
    <w:rsid w:val="4F186D58"/>
    <w:rsid w:val="4FE52909"/>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4DB76A5"/>
    <w:rsid w:val="55084A4C"/>
    <w:rsid w:val="552256E1"/>
    <w:rsid w:val="554E5773"/>
    <w:rsid w:val="555829E0"/>
    <w:rsid w:val="555A3CBC"/>
    <w:rsid w:val="5582012B"/>
    <w:rsid w:val="558E4E05"/>
    <w:rsid w:val="559E3318"/>
    <w:rsid w:val="55BE2E85"/>
    <w:rsid w:val="56530F5D"/>
    <w:rsid w:val="567700D3"/>
    <w:rsid w:val="56FF7E9E"/>
    <w:rsid w:val="575455F7"/>
    <w:rsid w:val="578867FC"/>
    <w:rsid w:val="5842572D"/>
    <w:rsid w:val="58D9016D"/>
    <w:rsid w:val="59421D67"/>
    <w:rsid w:val="5A3B59D6"/>
    <w:rsid w:val="5AD134D8"/>
    <w:rsid w:val="5BF41F67"/>
    <w:rsid w:val="5C263CE4"/>
    <w:rsid w:val="5C2F72F9"/>
    <w:rsid w:val="5C5D2777"/>
    <w:rsid w:val="5CF66BF3"/>
    <w:rsid w:val="5D290C69"/>
    <w:rsid w:val="5D8F5802"/>
    <w:rsid w:val="5DA80C2C"/>
    <w:rsid w:val="5DB949BF"/>
    <w:rsid w:val="5E2F776A"/>
    <w:rsid w:val="5E7D301B"/>
    <w:rsid w:val="5F2D4A41"/>
    <w:rsid w:val="60C74F6C"/>
    <w:rsid w:val="61015958"/>
    <w:rsid w:val="61025A59"/>
    <w:rsid w:val="611D2893"/>
    <w:rsid w:val="613D5BBC"/>
    <w:rsid w:val="61536C39"/>
    <w:rsid w:val="62944DD7"/>
    <w:rsid w:val="6319381F"/>
    <w:rsid w:val="63C25DC5"/>
    <w:rsid w:val="63C62057"/>
    <w:rsid w:val="64571EF5"/>
    <w:rsid w:val="64FB113D"/>
    <w:rsid w:val="656152C6"/>
    <w:rsid w:val="65756527"/>
    <w:rsid w:val="6587477F"/>
    <w:rsid w:val="658C3A08"/>
    <w:rsid w:val="65C031CA"/>
    <w:rsid w:val="65CE6852"/>
    <w:rsid w:val="66267C04"/>
    <w:rsid w:val="663F505A"/>
    <w:rsid w:val="666C2D2F"/>
    <w:rsid w:val="66AF5D7C"/>
    <w:rsid w:val="66EE5541"/>
    <w:rsid w:val="67924660"/>
    <w:rsid w:val="67A35E82"/>
    <w:rsid w:val="68407834"/>
    <w:rsid w:val="6883293E"/>
    <w:rsid w:val="688412AD"/>
    <w:rsid w:val="68EB1B71"/>
    <w:rsid w:val="690600B1"/>
    <w:rsid w:val="695142CC"/>
    <w:rsid w:val="696C0310"/>
    <w:rsid w:val="6A160172"/>
    <w:rsid w:val="6A6C7940"/>
    <w:rsid w:val="6A9F1565"/>
    <w:rsid w:val="6AAD2300"/>
    <w:rsid w:val="6B474EF5"/>
    <w:rsid w:val="6BC938E5"/>
    <w:rsid w:val="6C0A5AC5"/>
    <w:rsid w:val="6C560CAE"/>
    <w:rsid w:val="6C576495"/>
    <w:rsid w:val="6D903FF5"/>
    <w:rsid w:val="6DA955B8"/>
    <w:rsid w:val="6DE346AB"/>
    <w:rsid w:val="6DE5391A"/>
    <w:rsid w:val="6E4678CD"/>
    <w:rsid w:val="6E6E2980"/>
    <w:rsid w:val="6EFD1324"/>
    <w:rsid w:val="6F5A53AC"/>
    <w:rsid w:val="6F7D7EAF"/>
    <w:rsid w:val="6FAC003D"/>
    <w:rsid w:val="6FD926BF"/>
    <w:rsid w:val="6FE55E12"/>
    <w:rsid w:val="6FFB2E76"/>
    <w:rsid w:val="70275C90"/>
    <w:rsid w:val="708F6F7F"/>
    <w:rsid w:val="70C20D61"/>
    <w:rsid w:val="70D94BD3"/>
    <w:rsid w:val="71361251"/>
    <w:rsid w:val="71574775"/>
    <w:rsid w:val="715A0D4F"/>
    <w:rsid w:val="71C34D91"/>
    <w:rsid w:val="725F53B2"/>
    <w:rsid w:val="72DB435C"/>
    <w:rsid w:val="72E2613A"/>
    <w:rsid w:val="72F771F4"/>
    <w:rsid w:val="73441F01"/>
    <w:rsid w:val="73934AD2"/>
    <w:rsid w:val="73B52DFF"/>
    <w:rsid w:val="73CC5A72"/>
    <w:rsid w:val="750837F0"/>
    <w:rsid w:val="754758CF"/>
    <w:rsid w:val="75595ECD"/>
    <w:rsid w:val="75CC7A5B"/>
    <w:rsid w:val="75CE1F56"/>
    <w:rsid w:val="764F62AB"/>
    <w:rsid w:val="765C45EC"/>
    <w:rsid w:val="768A7619"/>
    <w:rsid w:val="76BD23AB"/>
    <w:rsid w:val="772E1EBA"/>
    <w:rsid w:val="781926BC"/>
    <w:rsid w:val="796D60A4"/>
    <w:rsid w:val="79A031D5"/>
    <w:rsid w:val="79B47FDF"/>
    <w:rsid w:val="79E569A9"/>
    <w:rsid w:val="7A1525F7"/>
    <w:rsid w:val="7ADA13E5"/>
    <w:rsid w:val="7B420052"/>
    <w:rsid w:val="7BD06A28"/>
    <w:rsid w:val="7C3A7C0B"/>
    <w:rsid w:val="7C5248E4"/>
    <w:rsid w:val="7C566698"/>
    <w:rsid w:val="7C5866A3"/>
    <w:rsid w:val="7D7406BB"/>
    <w:rsid w:val="7DE94331"/>
    <w:rsid w:val="7E254984"/>
    <w:rsid w:val="7F446A19"/>
    <w:rsid w:val="7F58120E"/>
    <w:rsid w:val="7F7452B9"/>
    <w:rsid w:val="7F9822CF"/>
    <w:rsid w:val="FEB69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3" textRotate="1"/>
    <customShpInfo spid="_x0000_s1034" textRotate="1"/>
    <customShpInfo spid="_x0000_s1035" textRotate="1"/>
    <customShpInfo spid="_x0000_s1036" textRotate="1"/>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3935</Words>
  <Characters>22430</Characters>
  <Lines>186</Lines>
  <Paragraphs>52</Paragraphs>
  <TotalTime>23</TotalTime>
  <ScaleCrop>false</ScaleCrop>
  <LinksUpToDate>false</LinksUpToDate>
  <CharactersWithSpaces>26313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Administrator</cp:lastModifiedBy>
  <dcterms:modified xsi:type="dcterms:W3CDTF">2025-09-16T03:44:00Z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BB46EABDBB2749749395447164B066B3_12</vt:lpwstr>
  </property>
</Properties>
</file>