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rPr>
        <w:t>城口县</w:t>
      </w:r>
      <w:r>
        <w:rPr>
          <w:rFonts w:hint="default" w:ascii="Times New Roman" w:hAnsi="Times New Roman" w:eastAsia="方正小标宋_GBK" w:cs="Times New Roman"/>
          <w:sz w:val="44"/>
          <w:szCs w:val="44"/>
          <w:lang w:eastAsia="zh-CN"/>
        </w:rPr>
        <w:t>北屏镇</w:t>
      </w:r>
      <w:r>
        <w:rPr>
          <w:rFonts w:hint="default" w:ascii="Times New Roman" w:hAnsi="Times New Roman" w:eastAsia="方正小标宋_GBK" w:cs="Times New Roman"/>
          <w:sz w:val="44"/>
          <w:szCs w:val="44"/>
          <w:lang w:val="en-US" w:eastAsia="zh-CN"/>
        </w:rPr>
        <w:t>人民政府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202</w:t>
      </w:r>
      <w:r>
        <w:rPr>
          <w:rFonts w:hint="default" w:ascii="Times New Roman" w:hAnsi="Times New Roman" w:eastAsia="方正小标宋_GBK" w:cs="Times New Roman"/>
          <w:sz w:val="44"/>
          <w:szCs w:val="44"/>
          <w:lang w:val="en-US" w:eastAsia="zh-CN"/>
        </w:rPr>
        <w:t>5</w:t>
      </w:r>
      <w:r>
        <w:rPr>
          <w:rFonts w:hint="default" w:ascii="Times New Roman" w:hAnsi="Times New Roman" w:eastAsia="方正小标宋_GBK" w:cs="Times New Roman"/>
          <w:sz w:val="44"/>
          <w:szCs w:val="44"/>
        </w:rPr>
        <w:t>年财政预算执行情况与202</w:t>
      </w:r>
      <w:r>
        <w:rPr>
          <w:rFonts w:hint="default" w:ascii="Times New Roman" w:hAnsi="Times New Roman" w:eastAsia="方正小标宋_GBK" w:cs="Times New Roman"/>
          <w:sz w:val="44"/>
          <w:szCs w:val="44"/>
          <w:lang w:val="en-US" w:eastAsia="zh-CN"/>
        </w:rPr>
        <w:t>6</w:t>
      </w:r>
      <w:r>
        <w:rPr>
          <w:rFonts w:hint="default" w:ascii="Times New Roman" w:hAnsi="Times New Roman" w:eastAsia="方正小标宋_GBK" w:cs="Times New Roman"/>
          <w:sz w:val="44"/>
          <w:szCs w:val="44"/>
        </w:rPr>
        <w:t>年财政预算草案的报告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7"/>
          <w:rFonts w:hint="default" w:ascii="Times New Roman" w:hAnsi="Times New Roman" w:eastAsia="方正楷体_GBK" w:cs="Times New Roman"/>
          <w:color w:val="000000"/>
          <w:kern w:val="0"/>
          <w:sz w:val="32"/>
          <w:szCs w:val="32"/>
        </w:rPr>
      </w:pPr>
      <w:r>
        <w:rPr>
          <w:rFonts w:hint="default" w:ascii="Times New Roman" w:hAnsi="Times New Roman" w:eastAsia="方正楷体_GBK" w:cs="Times New Roman"/>
          <w:spacing w:val="-20"/>
          <w:sz w:val="32"/>
          <w:szCs w:val="32"/>
          <w:lang w:val="en-US" w:eastAsia="zh-CN"/>
        </w:rPr>
        <w:t>----在北屏镇第十九届人民代表大会第十一次会议</w:t>
      </w:r>
      <w:r>
        <w:rPr>
          <w:rFonts w:hint="default" w:ascii="Times New Roman" w:hAnsi="Times New Roman" w:eastAsia="方正楷体_GBK" w:cs="Times New Roman"/>
          <w:spacing w:val="-20"/>
          <w:sz w:val="32"/>
          <w:szCs w:val="32"/>
          <w:lang w:eastAsia="zh-CN"/>
        </w:rPr>
        <w:t>第一次全体会议上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7"/>
          <w:rFonts w:hint="default" w:ascii="Times New Roman" w:hAnsi="Times New Roman" w:eastAsia="方正楷体_GBK" w:cs="Times New Roman"/>
          <w:color w:val="000000"/>
          <w:kern w:val="0"/>
          <w:sz w:val="32"/>
          <w:szCs w:val="32"/>
        </w:rPr>
      </w:pPr>
      <w:r>
        <w:rPr>
          <w:rStyle w:val="7"/>
          <w:rFonts w:hint="default" w:ascii="Times New Roman" w:hAnsi="Times New Roman" w:eastAsia="方正楷体_GBK" w:cs="Times New Roman"/>
          <w:color w:val="000000"/>
          <w:kern w:val="0"/>
          <w:sz w:val="32"/>
          <w:szCs w:val="32"/>
        </w:rPr>
        <w:t>（202</w:t>
      </w:r>
      <w:r>
        <w:rPr>
          <w:rStyle w:val="7"/>
          <w:rFonts w:hint="eastAsia" w:eastAsia="方正楷体_GBK" w:cs="Times New Roman"/>
          <w:color w:val="000000"/>
          <w:kern w:val="0"/>
          <w:sz w:val="32"/>
          <w:szCs w:val="32"/>
          <w:lang w:val="en-US" w:eastAsia="zh-CN"/>
        </w:rPr>
        <w:t>6</w:t>
      </w:r>
      <w:r>
        <w:rPr>
          <w:rStyle w:val="7"/>
          <w:rFonts w:hint="default" w:ascii="Times New Roman" w:hAnsi="Times New Roman" w:eastAsia="方正楷体_GBK" w:cs="Times New Roman"/>
          <w:color w:val="000000"/>
          <w:kern w:val="0"/>
          <w:sz w:val="32"/>
          <w:szCs w:val="32"/>
        </w:rPr>
        <w:t>年</w:t>
      </w:r>
      <w:r>
        <w:rPr>
          <w:rStyle w:val="7"/>
          <w:rFonts w:hint="default" w:ascii="Times New Roman" w:hAnsi="Times New Roman" w:eastAsia="方正楷体_GBK" w:cs="Times New Roman"/>
          <w:color w:val="000000"/>
          <w:kern w:val="0"/>
          <w:sz w:val="32"/>
          <w:szCs w:val="32"/>
          <w:lang w:val="en-US" w:eastAsia="zh-CN"/>
        </w:rPr>
        <w:t>3月27日</w:t>
      </w:r>
      <w:r>
        <w:rPr>
          <w:rStyle w:val="7"/>
          <w:rFonts w:hint="default" w:ascii="Times New Roman" w:hAnsi="Times New Roman" w:eastAsia="方正楷体_GBK" w:cs="Times New Roman"/>
          <w:color w:val="000000"/>
          <w:kern w:val="0"/>
          <w:sz w:val="32"/>
          <w:szCs w:val="32"/>
        </w:rPr>
        <w:t>）</w:t>
      </w:r>
    </w:p>
    <w:p>
      <w:pPr>
        <w:keepNext w:val="0"/>
        <w:keepLines w:val="0"/>
        <w:pageBreakBefore w:val="0"/>
        <w:widowControl/>
        <w:kinsoku/>
        <w:wordWrap/>
        <w:overflowPunct/>
        <w:topLinePunct w:val="0"/>
        <w:autoSpaceDE/>
        <w:autoSpaceDN/>
        <w:bidi w:val="0"/>
        <w:adjustRightInd/>
        <w:snapToGrid/>
        <w:spacing w:line="540" w:lineRule="exact"/>
        <w:textAlignment w:val="baseline"/>
        <w:rPr>
          <w:rFonts w:hint="default" w:ascii="Times New Roman" w:hAnsi="Times New Roman" w:eastAsia="方正仿宋_GBK" w:cs="Times New Roman"/>
          <w:color w:val="000000"/>
          <w:sz w:val="32"/>
          <w:szCs w:val="32"/>
          <w:highlight w:val="none"/>
        </w:rPr>
      </w:pPr>
    </w:p>
    <w:p>
      <w:pPr>
        <w:keepNext w:val="0"/>
        <w:keepLines w:val="0"/>
        <w:pageBreakBefore w:val="0"/>
        <w:widowControl/>
        <w:kinsoku/>
        <w:wordWrap/>
        <w:overflowPunct/>
        <w:topLinePunct w:val="0"/>
        <w:autoSpaceDE/>
        <w:autoSpaceDN/>
        <w:bidi w:val="0"/>
        <w:adjustRightInd/>
        <w:snapToGrid/>
        <w:spacing w:line="540" w:lineRule="exact"/>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各位代表：</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我受北屏</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人民政府委托，现向大会作《北屏</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年财政预算执行情况和202</w:t>
      </w:r>
      <w:r>
        <w:rPr>
          <w:rFonts w:hint="default"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rPr>
        <w:t>年财政预算草案的报告》，请予以审议，并请各位代表及列席人员提出意见或建议。</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黑体_GBK" w:cs="Times New Roman"/>
          <w:color w:val="000000"/>
          <w:sz w:val="32"/>
          <w:szCs w:val="32"/>
          <w:highlight w:val="none"/>
        </w:rPr>
      </w:pPr>
      <w:r>
        <w:rPr>
          <w:rFonts w:hint="default" w:ascii="Times New Roman" w:hAnsi="Times New Roman" w:eastAsia="方正黑体_GBK" w:cs="Times New Roman"/>
          <w:color w:val="000000"/>
          <w:sz w:val="32"/>
          <w:szCs w:val="32"/>
          <w:highlight w:val="none"/>
        </w:rPr>
        <w:t>一、202</w:t>
      </w:r>
      <w:r>
        <w:rPr>
          <w:rFonts w:hint="default" w:ascii="Times New Roman" w:hAnsi="Times New Roman" w:eastAsia="方正黑体_GBK" w:cs="Times New Roman"/>
          <w:color w:val="000000"/>
          <w:sz w:val="32"/>
          <w:szCs w:val="32"/>
          <w:highlight w:val="none"/>
          <w:lang w:val="en-US" w:eastAsia="zh-CN"/>
        </w:rPr>
        <w:t>5</w:t>
      </w:r>
      <w:r>
        <w:rPr>
          <w:rFonts w:hint="default" w:ascii="Times New Roman" w:hAnsi="Times New Roman" w:eastAsia="方正黑体_GBK" w:cs="Times New Roman"/>
          <w:color w:val="000000"/>
          <w:sz w:val="32"/>
          <w:szCs w:val="32"/>
          <w:highlight w:val="none"/>
        </w:rPr>
        <w:t>年财政预算执行情况</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年，我们以习近平新时代中国特色社会主义思想为指导，深入学习贯彻党的二十大</w:t>
      </w:r>
      <w:r>
        <w:rPr>
          <w:rFonts w:hint="default" w:ascii="Times New Roman" w:hAnsi="Times New Roman" w:eastAsia="方正仿宋_GBK" w:cs="Times New Roman"/>
          <w:color w:val="000000"/>
          <w:sz w:val="32"/>
          <w:szCs w:val="32"/>
          <w:highlight w:val="none"/>
          <w:lang w:eastAsia="zh-CN"/>
        </w:rPr>
        <w:t>和二十届历次全会</w:t>
      </w:r>
      <w:r>
        <w:rPr>
          <w:rFonts w:hint="default" w:ascii="Times New Roman" w:hAnsi="Times New Roman" w:eastAsia="方正仿宋_GBK" w:cs="Times New Roman"/>
          <w:color w:val="000000"/>
          <w:sz w:val="32"/>
          <w:szCs w:val="32"/>
          <w:highlight w:val="none"/>
        </w:rPr>
        <w:t>精神，认真贯彻落实党中央决策部署和市委、县委工作要求，认真落实党政机关过紧日子的要求，在</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党委政府的正确领导和</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人大的监督下，在上级财政、税务部门的大力支持下，积极应对复杂严峻的经济形势，主动适应发展新常态，充分发挥财政职能，优化财政支出结构，切实保障和改善民生，深化预算绩效管理，着力强化政府债务风险管控，各项财政工作有力推进，保障了全</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经济社会各项事业健康有序发展。</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楷体_GBK" w:cs="Times New Roman"/>
          <w:color w:val="000000"/>
          <w:sz w:val="32"/>
          <w:szCs w:val="32"/>
          <w:highlight w:val="none"/>
        </w:rPr>
      </w:pPr>
      <w:r>
        <w:rPr>
          <w:rFonts w:hint="default" w:ascii="Times New Roman" w:hAnsi="Times New Roman" w:eastAsia="方正楷体_GBK" w:cs="Times New Roman"/>
          <w:color w:val="000000"/>
          <w:sz w:val="32"/>
          <w:szCs w:val="32"/>
          <w:highlight w:val="none"/>
        </w:rPr>
        <w:t>（一）202</w:t>
      </w:r>
      <w:r>
        <w:rPr>
          <w:rFonts w:hint="default" w:ascii="Times New Roman" w:hAnsi="Times New Roman" w:eastAsia="方正楷体_GBK" w:cs="Times New Roman"/>
          <w:color w:val="000000"/>
          <w:sz w:val="32"/>
          <w:szCs w:val="32"/>
          <w:highlight w:val="none"/>
          <w:lang w:val="en-US" w:eastAsia="zh-CN"/>
        </w:rPr>
        <w:t>5</w:t>
      </w:r>
      <w:r>
        <w:rPr>
          <w:rFonts w:hint="default" w:ascii="Times New Roman" w:hAnsi="Times New Roman" w:eastAsia="方正楷体_GBK" w:cs="Times New Roman"/>
          <w:color w:val="000000"/>
          <w:sz w:val="32"/>
          <w:szCs w:val="32"/>
          <w:highlight w:val="none"/>
        </w:rPr>
        <w:t>年财政收入情况</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年县上下达我</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税收任务</w:t>
      </w:r>
      <w:r>
        <w:rPr>
          <w:rFonts w:hint="default" w:ascii="Times New Roman" w:hAnsi="Times New Roman" w:eastAsia="方正仿宋_GBK" w:cs="Times New Roman"/>
          <w:color w:val="000000"/>
          <w:sz w:val="32"/>
          <w:szCs w:val="32"/>
          <w:highlight w:val="none"/>
          <w:lang w:val="en-US" w:eastAsia="zh-CN"/>
        </w:rPr>
        <w:t>92</w:t>
      </w:r>
      <w:r>
        <w:rPr>
          <w:rFonts w:hint="default" w:ascii="Times New Roman" w:hAnsi="Times New Roman" w:eastAsia="方正仿宋_GBK" w:cs="Times New Roman"/>
          <w:color w:val="000000"/>
          <w:sz w:val="32"/>
          <w:szCs w:val="32"/>
          <w:highlight w:val="none"/>
        </w:rPr>
        <w:t>万元，</w:t>
      </w:r>
      <w:r>
        <w:rPr>
          <w:rFonts w:hint="default" w:ascii="Times New Roman" w:hAnsi="Times New Roman" w:eastAsia="方正仿宋_GBK" w:cs="Times New Roman"/>
          <w:color w:val="000000"/>
          <w:sz w:val="32"/>
          <w:szCs w:val="32"/>
          <w:highlight w:val="none"/>
          <w:lang w:eastAsia="zh-CN"/>
        </w:rPr>
        <w:t>实际</w:t>
      </w:r>
      <w:r>
        <w:rPr>
          <w:rFonts w:hint="default" w:ascii="Times New Roman" w:hAnsi="Times New Roman" w:eastAsia="方正仿宋_GBK" w:cs="Times New Roman"/>
          <w:color w:val="000000"/>
          <w:sz w:val="32"/>
          <w:szCs w:val="32"/>
          <w:highlight w:val="none"/>
        </w:rPr>
        <w:t>完成</w:t>
      </w:r>
      <w:r>
        <w:rPr>
          <w:rFonts w:hint="default" w:ascii="Times New Roman" w:hAnsi="Times New Roman" w:eastAsia="方正仿宋_GBK" w:cs="Times New Roman"/>
          <w:color w:val="000000"/>
          <w:sz w:val="32"/>
          <w:szCs w:val="32"/>
          <w:highlight w:val="none"/>
          <w:lang w:val="en-US" w:eastAsia="zh-CN"/>
        </w:rPr>
        <w:t>145.17万元</w:t>
      </w:r>
      <w:r>
        <w:rPr>
          <w:rFonts w:hint="default" w:ascii="Times New Roman" w:hAnsi="Times New Roman" w:eastAsia="方正仿宋_GBK" w:cs="Times New Roman"/>
          <w:color w:val="000000"/>
          <w:sz w:val="32"/>
          <w:szCs w:val="32"/>
          <w:highlight w:val="none"/>
        </w:rPr>
        <w:t>，完成年度任务的</w:t>
      </w:r>
      <w:r>
        <w:rPr>
          <w:rFonts w:hint="default" w:ascii="Times New Roman" w:hAnsi="Times New Roman" w:eastAsia="方正仿宋_GBK" w:cs="Times New Roman"/>
          <w:color w:val="000000"/>
          <w:sz w:val="32"/>
          <w:szCs w:val="32"/>
          <w:highlight w:val="none"/>
          <w:lang w:val="en-US" w:eastAsia="zh-CN"/>
        </w:rPr>
        <w:t>157.8</w:t>
      </w:r>
      <w:r>
        <w:rPr>
          <w:rFonts w:hint="default" w:ascii="Times New Roman" w:hAnsi="Times New Roman" w:eastAsia="方正仿宋_GBK" w:cs="Times New Roman"/>
          <w:color w:val="000000"/>
          <w:sz w:val="32"/>
          <w:szCs w:val="32"/>
          <w:highlight w:val="none"/>
        </w:rPr>
        <w:t>%。非税收入任务</w:t>
      </w:r>
      <w:r>
        <w:rPr>
          <w:rFonts w:hint="default" w:ascii="Times New Roman" w:hAnsi="Times New Roman" w:eastAsia="方正仿宋_GBK" w:cs="Times New Roman"/>
          <w:color w:val="000000"/>
          <w:sz w:val="32"/>
          <w:szCs w:val="32"/>
          <w:highlight w:val="none"/>
          <w:lang w:val="en-US" w:eastAsia="zh-CN"/>
        </w:rPr>
        <w:t>7</w:t>
      </w:r>
      <w:r>
        <w:rPr>
          <w:rFonts w:hint="default" w:ascii="Times New Roman" w:hAnsi="Times New Roman" w:eastAsia="方正仿宋_GBK" w:cs="Times New Roman"/>
          <w:color w:val="000000"/>
          <w:sz w:val="32"/>
          <w:szCs w:val="32"/>
          <w:highlight w:val="none"/>
        </w:rPr>
        <w:t>万元，实际完成</w:t>
      </w:r>
      <w:r>
        <w:rPr>
          <w:rFonts w:hint="default" w:ascii="Times New Roman" w:hAnsi="Times New Roman" w:eastAsia="方正仿宋_GBK" w:cs="Times New Roman"/>
          <w:color w:val="000000"/>
          <w:sz w:val="32"/>
          <w:szCs w:val="32"/>
          <w:highlight w:val="none"/>
          <w:lang w:val="en-US" w:eastAsia="zh-CN"/>
        </w:rPr>
        <w:t>7</w:t>
      </w:r>
      <w:r>
        <w:rPr>
          <w:rFonts w:hint="default" w:ascii="Times New Roman" w:hAnsi="Times New Roman" w:eastAsia="方正仿宋_GBK" w:cs="Times New Roman"/>
          <w:color w:val="000000"/>
          <w:sz w:val="32"/>
          <w:szCs w:val="32"/>
          <w:highlight w:val="none"/>
        </w:rPr>
        <w:t>万元，完成年度任务数的10</w:t>
      </w:r>
      <w:r>
        <w:rPr>
          <w:rFonts w:hint="default" w:ascii="Times New Roman" w:hAnsi="Times New Roman" w:eastAsia="方正仿宋_GBK" w:cs="Times New Roman"/>
          <w:color w:val="000000"/>
          <w:sz w:val="32"/>
          <w:szCs w:val="32"/>
          <w:highlight w:val="none"/>
          <w:lang w:val="en-US" w:eastAsia="zh-CN"/>
        </w:rPr>
        <w:t>0</w:t>
      </w:r>
      <w:r>
        <w:rPr>
          <w:rFonts w:hint="default" w:ascii="Times New Roman" w:hAnsi="Times New Roman" w:eastAsia="方正仿宋_GBK" w:cs="Times New Roman"/>
          <w:color w:val="000000"/>
          <w:sz w:val="32"/>
          <w:szCs w:val="32"/>
          <w:highlight w:val="none"/>
        </w:rPr>
        <w:t>%。</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年本级财政总收入</w:t>
      </w:r>
      <w:r>
        <w:rPr>
          <w:rFonts w:hint="default" w:ascii="Times New Roman" w:hAnsi="Times New Roman" w:eastAsia="方正仿宋_GBK" w:cs="Times New Roman"/>
          <w:color w:val="000000"/>
          <w:sz w:val="32"/>
          <w:szCs w:val="32"/>
          <w:highlight w:val="none"/>
          <w:lang w:val="en-US" w:eastAsia="zh-CN"/>
        </w:rPr>
        <w:t>2543.47</w:t>
      </w:r>
      <w:r>
        <w:rPr>
          <w:rFonts w:hint="default" w:ascii="Times New Roman" w:hAnsi="Times New Roman" w:eastAsia="方正仿宋_GBK" w:cs="Times New Roman"/>
          <w:color w:val="000000"/>
          <w:sz w:val="32"/>
          <w:szCs w:val="32"/>
          <w:highlight w:val="none"/>
        </w:rPr>
        <w:t>万元，其中一般公共预算财政拨款收入</w:t>
      </w:r>
      <w:r>
        <w:rPr>
          <w:rFonts w:hint="default" w:ascii="Times New Roman" w:hAnsi="Times New Roman" w:eastAsia="方正仿宋_GBK" w:cs="Times New Roman"/>
          <w:color w:val="000000"/>
          <w:sz w:val="32"/>
          <w:szCs w:val="32"/>
          <w:highlight w:val="none"/>
          <w:lang w:val="en-US" w:eastAsia="zh-CN"/>
        </w:rPr>
        <w:t>2523.47</w:t>
      </w:r>
      <w:r>
        <w:rPr>
          <w:rFonts w:hint="default" w:ascii="Times New Roman" w:hAnsi="Times New Roman" w:eastAsia="方正仿宋_GBK" w:cs="Times New Roman"/>
          <w:color w:val="000000"/>
          <w:sz w:val="32"/>
          <w:szCs w:val="32"/>
          <w:highlight w:val="none"/>
        </w:rPr>
        <w:t>万元，政府性基金预算财政拨款收入</w:t>
      </w:r>
      <w:r>
        <w:rPr>
          <w:rFonts w:hint="default" w:ascii="Times New Roman" w:hAnsi="Times New Roman" w:eastAsia="方正仿宋_GBK" w:cs="Times New Roman"/>
          <w:color w:val="000000"/>
          <w:sz w:val="32"/>
          <w:szCs w:val="32"/>
          <w:highlight w:val="none"/>
          <w:lang w:val="en-US" w:eastAsia="zh-CN"/>
        </w:rPr>
        <w:t>20</w:t>
      </w:r>
      <w:r>
        <w:rPr>
          <w:rFonts w:hint="default" w:ascii="Times New Roman" w:hAnsi="Times New Roman" w:eastAsia="方正仿宋_GBK" w:cs="Times New Roman"/>
          <w:color w:val="000000"/>
          <w:sz w:val="32"/>
          <w:szCs w:val="32"/>
          <w:highlight w:val="none"/>
        </w:rPr>
        <w:t>万元，调整及专项追加</w:t>
      </w:r>
      <w:r>
        <w:rPr>
          <w:rFonts w:hint="default" w:ascii="Times New Roman" w:hAnsi="Times New Roman" w:eastAsia="方正仿宋_GBK" w:cs="Times New Roman"/>
          <w:color w:val="000000"/>
          <w:sz w:val="32"/>
          <w:szCs w:val="32"/>
          <w:highlight w:val="none"/>
          <w:lang w:val="en-US" w:eastAsia="zh-CN"/>
        </w:rPr>
        <w:t>1429.47</w:t>
      </w:r>
      <w:r>
        <w:rPr>
          <w:rFonts w:hint="default" w:ascii="Times New Roman" w:hAnsi="Times New Roman" w:eastAsia="方正仿宋_GBK" w:cs="Times New Roman"/>
          <w:color w:val="000000"/>
          <w:sz w:val="32"/>
          <w:szCs w:val="32"/>
          <w:highlight w:val="none"/>
        </w:rPr>
        <w:t>万元。</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楷体_GBK" w:cs="Times New Roman"/>
          <w:color w:val="000000"/>
          <w:sz w:val="32"/>
          <w:szCs w:val="32"/>
          <w:highlight w:val="none"/>
        </w:rPr>
      </w:pPr>
      <w:r>
        <w:rPr>
          <w:rFonts w:hint="default" w:ascii="Times New Roman" w:hAnsi="Times New Roman" w:eastAsia="方正楷体_GBK" w:cs="Times New Roman"/>
          <w:color w:val="000000"/>
          <w:sz w:val="32"/>
          <w:szCs w:val="32"/>
          <w:highlight w:val="none"/>
        </w:rPr>
        <w:t>（二）202</w:t>
      </w:r>
      <w:r>
        <w:rPr>
          <w:rFonts w:hint="default" w:ascii="Times New Roman" w:hAnsi="Times New Roman" w:eastAsia="方正楷体_GBK" w:cs="Times New Roman"/>
          <w:color w:val="000000"/>
          <w:sz w:val="32"/>
          <w:szCs w:val="32"/>
          <w:highlight w:val="none"/>
          <w:lang w:val="en-US" w:eastAsia="zh-CN"/>
        </w:rPr>
        <w:t>5</w:t>
      </w:r>
      <w:r>
        <w:rPr>
          <w:rFonts w:hint="default" w:ascii="Times New Roman" w:hAnsi="Times New Roman" w:eastAsia="方正楷体_GBK" w:cs="Times New Roman"/>
          <w:color w:val="000000"/>
          <w:sz w:val="32"/>
          <w:szCs w:val="32"/>
          <w:highlight w:val="none"/>
        </w:rPr>
        <w:t>年财政支出情况</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年本级财政可支配财力</w:t>
      </w:r>
      <w:r>
        <w:rPr>
          <w:rFonts w:hint="default" w:ascii="Times New Roman" w:hAnsi="Times New Roman" w:eastAsia="方正仿宋_GBK" w:cs="Times New Roman"/>
          <w:color w:val="000000"/>
          <w:sz w:val="32"/>
          <w:szCs w:val="32"/>
          <w:highlight w:val="none"/>
          <w:lang w:val="en-US" w:eastAsia="zh-CN"/>
        </w:rPr>
        <w:t>2543.47</w:t>
      </w:r>
      <w:r>
        <w:rPr>
          <w:rFonts w:hint="default" w:ascii="Times New Roman" w:hAnsi="Times New Roman" w:eastAsia="方正仿宋_GBK" w:cs="Times New Roman"/>
          <w:color w:val="000000"/>
          <w:sz w:val="32"/>
          <w:szCs w:val="32"/>
          <w:highlight w:val="none"/>
        </w:rPr>
        <w:t>万元，同比</w:t>
      </w:r>
      <w:r>
        <w:rPr>
          <w:rFonts w:hint="default" w:ascii="Times New Roman" w:hAnsi="Times New Roman" w:eastAsia="方正仿宋_GBK" w:cs="Times New Roman"/>
          <w:color w:val="000000"/>
          <w:sz w:val="32"/>
          <w:szCs w:val="32"/>
          <w:highlight w:val="none"/>
          <w:lang w:eastAsia="zh-CN"/>
        </w:rPr>
        <w:t>下降</w:t>
      </w:r>
      <w:r>
        <w:rPr>
          <w:rFonts w:hint="default" w:ascii="Times New Roman" w:hAnsi="Times New Roman" w:eastAsia="方正仿宋_GBK" w:cs="Times New Roman"/>
          <w:color w:val="000000"/>
          <w:sz w:val="32"/>
          <w:szCs w:val="32"/>
          <w:highlight w:val="none"/>
          <w:lang w:val="en-US" w:eastAsia="zh-CN"/>
        </w:rPr>
        <w:t>13.88</w:t>
      </w:r>
      <w:r>
        <w:rPr>
          <w:rFonts w:hint="default" w:ascii="Times New Roman" w:hAnsi="Times New Roman" w:eastAsia="方正仿宋_GBK" w:cs="Times New Roman"/>
          <w:color w:val="000000"/>
          <w:sz w:val="32"/>
          <w:szCs w:val="32"/>
          <w:highlight w:val="none"/>
        </w:rPr>
        <w:t>%，比年初预算增加</w:t>
      </w:r>
      <w:r>
        <w:rPr>
          <w:rFonts w:hint="default" w:ascii="Times New Roman" w:hAnsi="Times New Roman" w:eastAsia="方正仿宋_GBK" w:cs="Times New Roman"/>
          <w:color w:val="000000"/>
          <w:sz w:val="32"/>
          <w:szCs w:val="32"/>
          <w:highlight w:val="none"/>
          <w:lang w:val="en-US" w:eastAsia="zh-CN"/>
        </w:rPr>
        <w:t>1429.47</w:t>
      </w:r>
      <w:r>
        <w:rPr>
          <w:rFonts w:hint="default" w:ascii="Times New Roman" w:hAnsi="Times New Roman" w:eastAsia="方正仿宋_GBK" w:cs="Times New Roman"/>
          <w:color w:val="000000"/>
          <w:sz w:val="32"/>
          <w:szCs w:val="32"/>
          <w:highlight w:val="none"/>
        </w:rPr>
        <w:t>万元，增长</w:t>
      </w:r>
      <w:r>
        <w:rPr>
          <w:rFonts w:hint="default" w:ascii="Times New Roman" w:hAnsi="Times New Roman" w:eastAsia="方正仿宋_GBK" w:cs="Times New Roman"/>
          <w:color w:val="000000"/>
          <w:sz w:val="32"/>
          <w:szCs w:val="32"/>
          <w:highlight w:val="none"/>
          <w:lang w:val="en-US" w:eastAsia="zh-CN"/>
        </w:rPr>
        <w:t>128.32</w:t>
      </w:r>
      <w:r>
        <w:rPr>
          <w:rFonts w:hint="default" w:ascii="Times New Roman" w:hAnsi="Times New Roman" w:eastAsia="方正仿宋_GBK" w:cs="Times New Roman"/>
          <w:color w:val="000000"/>
          <w:sz w:val="32"/>
          <w:szCs w:val="32"/>
          <w:highlight w:val="none"/>
        </w:rPr>
        <w:t>%，</w:t>
      </w:r>
      <w:r>
        <w:rPr>
          <w:rFonts w:hint="default" w:ascii="Times New Roman" w:hAnsi="Times New Roman" w:eastAsia="方正仿宋_GBK" w:cs="Times New Roman"/>
          <w:color w:val="000000"/>
          <w:sz w:val="32"/>
          <w:szCs w:val="32"/>
          <w:highlight w:val="none"/>
          <w:lang w:val="en-US" w:eastAsia="zh-CN"/>
        </w:rPr>
        <w:t>已</w:t>
      </w:r>
      <w:r>
        <w:rPr>
          <w:rFonts w:hint="default" w:ascii="Times New Roman" w:hAnsi="Times New Roman" w:eastAsia="方正仿宋_GBK" w:cs="Times New Roman"/>
          <w:color w:val="000000"/>
          <w:sz w:val="32"/>
          <w:szCs w:val="32"/>
          <w:highlight w:val="none"/>
        </w:rPr>
        <w:t>实际支出</w:t>
      </w:r>
      <w:r>
        <w:rPr>
          <w:rFonts w:hint="default" w:ascii="Times New Roman" w:hAnsi="Times New Roman" w:eastAsia="方正仿宋_GBK" w:cs="Times New Roman"/>
          <w:color w:val="000000"/>
          <w:sz w:val="32"/>
          <w:szCs w:val="32"/>
          <w:highlight w:val="none"/>
          <w:lang w:val="en-US" w:eastAsia="zh-CN"/>
        </w:rPr>
        <w:t>2543.47</w:t>
      </w:r>
      <w:r>
        <w:rPr>
          <w:rFonts w:hint="default" w:ascii="Times New Roman" w:hAnsi="Times New Roman" w:eastAsia="方正仿宋_GBK" w:cs="Times New Roman"/>
          <w:color w:val="000000"/>
          <w:sz w:val="32"/>
          <w:szCs w:val="32"/>
          <w:highlight w:val="none"/>
        </w:rPr>
        <w:t>万元。</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具体支出分类如下：</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color w:val="000000"/>
          <w:sz w:val="32"/>
          <w:szCs w:val="32"/>
          <w:highlight w:val="none"/>
        </w:rPr>
        <w:t>一是</w:t>
      </w:r>
      <w:r>
        <w:rPr>
          <w:rFonts w:hint="default" w:ascii="Times New Roman" w:hAnsi="Times New Roman" w:eastAsia="方正仿宋_GBK" w:cs="Times New Roman"/>
          <w:color w:val="000000"/>
          <w:sz w:val="32"/>
          <w:szCs w:val="32"/>
          <w:highlight w:val="none"/>
        </w:rPr>
        <w:t>一般公共服务支出</w:t>
      </w:r>
      <w:r>
        <w:rPr>
          <w:rFonts w:hint="default" w:ascii="Times New Roman" w:hAnsi="Times New Roman" w:eastAsia="方正仿宋_GBK" w:cs="Times New Roman"/>
          <w:color w:val="000000"/>
          <w:sz w:val="32"/>
          <w:szCs w:val="32"/>
          <w:highlight w:val="none"/>
          <w:lang w:val="en-US" w:eastAsia="zh-CN"/>
        </w:rPr>
        <w:t>427.78</w:t>
      </w:r>
      <w:r>
        <w:rPr>
          <w:rFonts w:hint="default" w:ascii="Times New Roman" w:hAnsi="Times New Roman" w:eastAsia="方正仿宋_GBK" w:cs="Times New Roman"/>
          <w:color w:val="000000"/>
          <w:sz w:val="32"/>
          <w:szCs w:val="32"/>
          <w:highlight w:val="none"/>
        </w:rPr>
        <w:t>万元，比年初预算</w:t>
      </w:r>
      <w:r>
        <w:rPr>
          <w:rFonts w:hint="default" w:ascii="Times New Roman" w:hAnsi="Times New Roman" w:eastAsia="方正仿宋_GBK" w:cs="Times New Roman"/>
          <w:color w:val="000000"/>
          <w:sz w:val="32"/>
          <w:szCs w:val="32"/>
          <w:highlight w:val="none"/>
          <w:lang w:eastAsia="zh-CN"/>
        </w:rPr>
        <w:t>增加</w:t>
      </w:r>
      <w:r>
        <w:rPr>
          <w:rFonts w:hint="default" w:ascii="Times New Roman" w:hAnsi="Times New Roman" w:eastAsia="方正仿宋_GBK" w:cs="Times New Roman"/>
          <w:color w:val="000000"/>
          <w:sz w:val="32"/>
          <w:szCs w:val="32"/>
          <w:highlight w:val="none"/>
          <w:lang w:val="en-US" w:eastAsia="zh-CN"/>
        </w:rPr>
        <w:t>24.21</w:t>
      </w:r>
      <w:r>
        <w:rPr>
          <w:rFonts w:hint="default" w:ascii="Times New Roman" w:hAnsi="Times New Roman" w:eastAsia="方正仿宋_GBK" w:cs="Times New Roman"/>
          <w:color w:val="000000"/>
          <w:sz w:val="32"/>
          <w:szCs w:val="32"/>
          <w:highlight w:val="none"/>
        </w:rPr>
        <w:t>万元，</w:t>
      </w:r>
      <w:r>
        <w:rPr>
          <w:rFonts w:hint="default" w:ascii="Times New Roman" w:hAnsi="Times New Roman" w:eastAsia="方正仿宋_GBK" w:cs="Times New Roman"/>
          <w:color w:val="000000"/>
          <w:sz w:val="32"/>
          <w:szCs w:val="32"/>
          <w:highlight w:val="none"/>
          <w:lang w:eastAsia="zh-CN"/>
        </w:rPr>
        <w:t>增加</w:t>
      </w:r>
      <w:r>
        <w:rPr>
          <w:rFonts w:hint="default"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rPr>
        <w:t>%。主要用于保障机关财政供养人员的工资福利待遇、日常基本运转、离退休人员的健康修养费和遗属生活补助、40年农村老党员生活补助等。</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lang w:eastAsia="zh-CN"/>
        </w:rPr>
      </w:pPr>
      <w:r>
        <w:rPr>
          <w:rFonts w:hint="default" w:ascii="Times New Roman" w:hAnsi="Times New Roman" w:eastAsia="方正仿宋_GBK" w:cs="Times New Roman"/>
          <w:b/>
          <w:color w:val="000000"/>
          <w:sz w:val="32"/>
          <w:szCs w:val="32"/>
          <w:highlight w:val="none"/>
          <w:lang w:eastAsia="zh-CN"/>
        </w:rPr>
        <w:t>二</w:t>
      </w:r>
      <w:r>
        <w:rPr>
          <w:rFonts w:hint="default" w:ascii="Times New Roman" w:hAnsi="Times New Roman" w:eastAsia="方正仿宋_GBK" w:cs="Times New Roman"/>
          <w:b/>
          <w:color w:val="000000"/>
          <w:sz w:val="32"/>
          <w:szCs w:val="32"/>
          <w:highlight w:val="none"/>
        </w:rPr>
        <w:t>是</w:t>
      </w:r>
      <w:r>
        <w:rPr>
          <w:rFonts w:hint="default" w:ascii="Times New Roman" w:hAnsi="Times New Roman" w:eastAsia="方正仿宋_GBK" w:cs="Times New Roman"/>
          <w:color w:val="000000"/>
          <w:sz w:val="32"/>
          <w:szCs w:val="32"/>
          <w:highlight w:val="none"/>
        </w:rPr>
        <w:t>文化旅游体育与传媒支出</w:t>
      </w:r>
      <w:r>
        <w:rPr>
          <w:rFonts w:hint="default" w:ascii="Times New Roman" w:hAnsi="Times New Roman" w:eastAsia="方正仿宋_GBK" w:cs="Times New Roman"/>
          <w:color w:val="000000"/>
          <w:sz w:val="32"/>
          <w:szCs w:val="32"/>
          <w:highlight w:val="none"/>
          <w:lang w:val="en-US" w:eastAsia="zh-CN"/>
        </w:rPr>
        <w:t>54.61</w:t>
      </w:r>
      <w:r>
        <w:rPr>
          <w:rFonts w:hint="default" w:ascii="Times New Roman" w:hAnsi="Times New Roman" w:eastAsia="方正仿宋_GBK" w:cs="Times New Roman"/>
          <w:color w:val="000000"/>
          <w:sz w:val="32"/>
          <w:szCs w:val="32"/>
          <w:highlight w:val="none"/>
        </w:rPr>
        <w:t>万元，比年初预算增加</w:t>
      </w:r>
      <w:r>
        <w:rPr>
          <w:rFonts w:hint="default" w:ascii="Times New Roman" w:hAnsi="Times New Roman" w:eastAsia="方正仿宋_GBK" w:cs="Times New Roman"/>
          <w:color w:val="000000"/>
          <w:sz w:val="32"/>
          <w:szCs w:val="32"/>
          <w:highlight w:val="none"/>
          <w:lang w:val="en-US" w:eastAsia="zh-CN"/>
        </w:rPr>
        <w:t>20.93</w:t>
      </w:r>
      <w:r>
        <w:rPr>
          <w:rFonts w:hint="default" w:ascii="Times New Roman" w:hAnsi="Times New Roman" w:eastAsia="方正仿宋_GBK" w:cs="Times New Roman"/>
          <w:color w:val="000000"/>
          <w:sz w:val="32"/>
          <w:szCs w:val="32"/>
          <w:highlight w:val="none"/>
        </w:rPr>
        <w:t>万元，增长</w:t>
      </w:r>
      <w:r>
        <w:rPr>
          <w:rFonts w:hint="default" w:ascii="Times New Roman" w:hAnsi="Times New Roman" w:eastAsia="方正仿宋_GBK" w:cs="Times New Roman"/>
          <w:color w:val="000000"/>
          <w:sz w:val="32"/>
          <w:szCs w:val="32"/>
          <w:highlight w:val="none"/>
          <w:lang w:val="en-US" w:eastAsia="zh-CN"/>
        </w:rPr>
        <w:t>62.14</w:t>
      </w:r>
      <w:r>
        <w:rPr>
          <w:rFonts w:hint="default" w:ascii="Times New Roman" w:hAnsi="Times New Roman" w:eastAsia="方正仿宋_GBK" w:cs="Times New Roman"/>
          <w:color w:val="000000"/>
          <w:sz w:val="32"/>
          <w:szCs w:val="32"/>
          <w:highlight w:val="none"/>
        </w:rPr>
        <w:t>%。主要</w:t>
      </w:r>
      <w:r>
        <w:rPr>
          <w:rFonts w:hint="default" w:ascii="Times New Roman" w:hAnsi="Times New Roman" w:eastAsia="方正仿宋_GBK" w:cs="Times New Roman"/>
          <w:color w:val="000000"/>
          <w:sz w:val="32"/>
          <w:szCs w:val="32"/>
          <w:highlight w:val="none"/>
          <w:lang w:val="en-US" w:eastAsia="zh-CN"/>
        </w:rPr>
        <w:t>用于</w:t>
      </w:r>
      <w:r>
        <w:rPr>
          <w:rFonts w:hint="default" w:ascii="Times New Roman" w:hAnsi="Times New Roman" w:eastAsia="方正仿宋_GBK" w:cs="Times New Roman"/>
          <w:color w:val="000000"/>
          <w:sz w:val="32"/>
          <w:szCs w:val="32"/>
          <w:highlight w:val="none"/>
          <w:lang w:eastAsia="zh-CN"/>
        </w:rPr>
        <w:t>新时代文明实践服务中心事业人员工资待遇和文化服务</w:t>
      </w:r>
      <w:r>
        <w:rPr>
          <w:rFonts w:hint="default" w:ascii="Times New Roman" w:hAnsi="Times New Roman" w:eastAsia="方正仿宋_GBK" w:cs="Times New Roman"/>
          <w:color w:val="000000"/>
          <w:sz w:val="32"/>
          <w:szCs w:val="32"/>
          <w:highlight w:val="none"/>
        </w:rPr>
        <w:t>免费开放资金。</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lang w:eastAsia="zh-CN"/>
        </w:rPr>
        <w:t>三</w:t>
      </w:r>
      <w:r>
        <w:rPr>
          <w:rFonts w:hint="default" w:ascii="Times New Roman" w:hAnsi="Times New Roman" w:eastAsia="方正仿宋_GBK" w:cs="Times New Roman"/>
          <w:b/>
          <w:bCs/>
          <w:color w:val="000000"/>
          <w:sz w:val="32"/>
          <w:szCs w:val="32"/>
          <w:highlight w:val="none"/>
        </w:rPr>
        <w:t>是</w:t>
      </w:r>
      <w:r>
        <w:rPr>
          <w:rFonts w:hint="default" w:ascii="Times New Roman" w:hAnsi="Times New Roman" w:eastAsia="方正仿宋_GBK" w:cs="Times New Roman"/>
          <w:color w:val="000000"/>
          <w:sz w:val="32"/>
          <w:szCs w:val="32"/>
          <w:highlight w:val="none"/>
        </w:rPr>
        <w:t>社会保障和就业支出</w:t>
      </w:r>
      <w:r>
        <w:rPr>
          <w:rFonts w:hint="default" w:ascii="Times New Roman" w:hAnsi="Times New Roman" w:eastAsia="方正仿宋_GBK" w:cs="Times New Roman"/>
          <w:color w:val="000000"/>
          <w:sz w:val="32"/>
          <w:szCs w:val="32"/>
          <w:highlight w:val="none"/>
          <w:lang w:val="en-US" w:eastAsia="zh-CN"/>
        </w:rPr>
        <w:t>196.33</w:t>
      </w:r>
      <w:r>
        <w:rPr>
          <w:rFonts w:hint="default" w:ascii="Times New Roman" w:hAnsi="Times New Roman" w:eastAsia="方正仿宋_GBK" w:cs="Times New Roman"/>
          <w:color w:val="000000"/>
          <w:sz w:val="32"/>
          <w:szCs w:val="32"/>
          <w:highlight w:val="none"/>
        </w:rPr>
        <w:t>万元，比年初预算增加</w:t>
      </w:r>
      <w:r>
        <w:rPr>
          <w:rFonts w:hint="default" w:ascii="Times New Roman" w:hAnsi="Times New Roman" w:eastAsia="方正仿宋_GBK" w:cs="Times New Roman"/>
          <w:color w:val="000000"/>
          <w:sz w:val="32"/>
          <w:szCs w:val="32"/>
          <w:highlight w:val="none"/>
          <w:lang w:val="en-US" w:eastAsia="zh-CN"/>
        </w:rPr>
        <w:t>36.29</w:t>
      </w:r>
      <w:r>
        <w:rPr>
          <w:rFonts w:hint="default" w:ascii="Times New Roman" w:hAnsi="Times New Roman" w:eastAsia="方正仿宋_GBK" w:cs="Times New Roman"/>
          <w:color w:val="000000"/>
          <w:sz w:val="32"/>
          <w:szCs w:val="32"/>
          <w:highlight w:val="none"/>
        </w:rPr>
        <w:t>万元，增长</w:t>
      </w:r>
      <w:r>
        <w:rPr>
          <w:rFonts w:hint="default" w:ascii="Times New Roman" w:hAnsi="Times New Roman" w:eastAsia="方正仿宋_GBK" w:cs="Times New Roman"/>
          <w:color w:val="000000"/>
          <w:sz w:val="32"/>
          <w:szCs w:val="32"/>
          <w:highlight w:val="none"/>
          <w:lang w:val="en-US" w:eastAsia="zh-CN"/>
        </w:rPr>
        <w:t>2.27</w:t>
      </w:r>
      <w:r>
        <w:rPr>
          <w:rFonts w:hint="default" w:ascii="Times New Roman" w:hAnsi="Times New Roman" w:eastAsia="方正仿宋_GBK" w:cs="Times New Roman"/>
          <w:color w:val="000000"/>
          <w:sz w:val="32"/>
          <w:szCs w:val="32"/>
          <w:highlight w:val="none"/>
        </w:rPr>
        <w:t>%。主要用于社保、</w:t>
      </w:r>
      <w:r>
        <w:rPr>
          <w:rFonts w:hint="default" w:ascii="Times New Roman" w:hAnsi="Times New Roman" w:eastAsia="方正仿宋_GBK" w:cs="Times New Roman"/>
          <w:color w:val="000000"/>
          <w:sz w:val="32"/>
          <w:szCs w:val="32"/>
          <w:highlight w:val="none"/>
          <w:lang w:eastAsia="zh-CN"/>
        </w:rPr>
        <w:t>便民服务中心</w:t>
      </w:r>
      <w:r>
        <w:rPr>
          <w:rFonts w:hint="default" w:ascii="Times New Roman" w:hAnsi="Times New Roman" w:eastAsia="方正仿宋_GBK" w:cs="Times New Roman"/>
          <w:color w:val="000000"/>
          <w:sz w:val="32"/>
          <w:szCs w:val="32"/>
          <w:highlight w:val="none"/>
        </w:rPr>
        <w:t>事业单位人员工资待遇和正常运转支出，用于基层政权和社区建设</w:t>
      </w:r>
      <w:r>
        <w:rPr>
          <w:rFonts w:hint="default" w:ascii="Times New Roman" w:hAnsi="Times New Roman" w:eastAsia="方正仿宋_GBK" w:cs="Times New Roman"/>
          <w:color w:val="000000"/>
          <w:sz w:val="32"/>
          <w:szCs w:val="32"/>
          <w:highlight w:val="none"/>
          <w:lang w:eastAsia="zh-CN"/>
        </w:rPr>
        <w:t>及</w:t>
      </w:r>
      <w:r>
        <w:rPr>
          <w:rFonts w:hint="default" w:ascii="Times New Roman" w:hAnsi="Times New Roman" w:eastAsia="方正仿宋_GBK" w:cs="Times New Roman"/>
          <w:color w:val="000000"/>
          <w:sz w:val="32"/>
          <w:szCs w:val="32"/>
          <w:highlight w:val="none"/>
        </w:rPr>
        <w:t>社区干部及本土人才的待遇、运转办公经费以及服务群众专项经费等支出。</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lang w:eastAsia="zh-CN"/>
        </w:rPr>
        <w:t>四</w:t>
      </w:r>
      <w:r>
        <w:rPr>
          <w:rFonts w:hint="default" w:ascii="Times New Roman" w:hAnsi="Times New Roman" w:eastAsia="方正仿宋_GBK" w:cs="Times New Roman"/>
          <w:b/>
          <w:bCs/>
          <w:color w:val="000000"/>
          <w:sz w:val="32"/>
          <w:szCs w:val="32"/>
          <w:highlight w:val="none"/>
        </w:rPr>
        <w:t>是</w:t>
      </w:r>
      <w:r>
        <w:rPr>
          <w:rFonts w:hint="default" w:ascii="Times New Roman" w:hAnsi="Times New Roman" w:eastAsia="方正仿宋_GBK" w:cs="Times New Roman"/>
          <w:color w:val="000000"/>
          <w:sz w:val="32"/>
          <w:szCs w:val="32"/>
          <w:highlight w:val="none"/>
        </w:rPr>
        <w:t>卫生健康支出</w:t>
      </w:r>
      <w:r>
        <w:rPr>
          <w:rFonts w:hint="default" w:ascii="Times New Roman" w:hAnsi="Times New Roman" w:eastAsia="方正仿宋_GBK" w:cs="Times New Roman"/>
          <w:color w:val="000000"/>
          <w:sz w:val="32"/>
          <w:szCs w:val="32"/>
          <w:highlight w:val="none"/>
          <w:lang w:val="en-US" w:eastAsia="zh-CN"/>
        </w:rPr>
        <w:t>50.68</w:t>
      </w:r>
      <w:r>
        <w:rPr>
          <w:rFonts w:hint="default" w:ascii="Times New Roman" w:hAnsi="Times New Roman" w:eastAsia="方正仿宋_GBK" w:cs="Times New Roman"/>
          <w:color w:val="000000"/>
          <w:sz w:val="32"/>
          <w:szCs w:val="32"/>
          <w:highlight w:val="none"/>
        </w:rPr>
        <w:t>万元，比年初预算增加</w:t>
      </w:r>
      <w:r>
        <w:rPr>
          <w:rFonts w:hint="default" w:ascii="Times New Roman" w:hAnsi="Times New Roman" w:eastAsia="方正仿宋_GBK" w:cs="Times New Roman"/>
          <w:color w:val="000000"/>
          <w:sz w:val="32"/>
          <w:szCs w:val="32"/>
          <w:highlight w:val="none"/>
          <w:lang w:val="en-US" w:eastAsia="zh-CN"/>
        </w:rPr>
        <w:t>20.9</w:t>
      </w:r>
      <w:r>
        <w:rPr>
          <w:rFonts w:hint="default" w:ascii="Times New Roman" w:hAnsi="Times New Roman" w:eastAsia="方正仿宋_GBK" w:cs="Times New Roman"/>
          <w:color w:val="000000"/>
          <w:sz w:val="32"/>
          <w:szCs w:val="32"/>
          <w:highlight w:val="none"/>
        </w:rPr>
        <w:t>万元，增长</w:t>
      </w:r>
      <w:r>
        <w:rPr>
          <w:rFonts w:hint="default" w:ascii="Times New Roman" w:hAnsi="Times New Roman" w:eastAsia="方正仿宋_GBK" w:cs="Times New Roman"/>
          <w:color w:val="000000"/>
          <w:sz w:val="32"/>
          <w:szCs w:val="32"/>
          <w:highlight w:val="none"/>
          <w:lang w:val="en-US" w:eastAsia="zh-CN"/>
        </w:rPr>
        <w:t>70.18</w:t>
      </w:r>
      <w:r>
        <w:rPr>
          <w:rFonts w:hint="default" w:ascii="Times New Roman" w:hAnsi="Times New Roman" w:eastAsia="方正仿宋_GBK" w:cs="Times New Roman"/>
          <w:color w:val="000000"/>
          <w:sz w:val="32"/>
          <w:szCs w:val="32"/>
          <w:highlight w:val="none"/>
        </w:rPr>
        <w:t>%。主要用于保障全乡财政供养人员的医疗保险、工伤保险等社会保障缴费支出。</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color w:val="000000"/>
          <w:sz w:val="32"/>
          <w:szCs w:val="32"/>
          <w:highlight w:val="none"/>
          <w:lang w:eastAsia="zh-CN"/>
        </w:rPr>
        <w:t>五</w:t>
      </w:r>
      <w:r>
        <w:rPr>
          <w:rFonts w:hint="default" w:ascii="Times New Roman" w:hAnsi="Times New Roman" w:eastAsia="方正仿宋_GBK" w:cs="Times New Roman"/>
          <w:b/>
          <w:color w:val="000000"/>
          <w:sz w:val="32"/>
          <w:szCs w:val="32"/>
          <w:highlight w:val="none"/>
        </w:rPr>
        <w:t>是</w:t>
      </w:r>
      <w:r>
        <w:rPr>
          <w:rFonts w:hint="default" w:ascii="Times New Roman" w:hAnsi="Times New Roman" w:eastAsia="方正仿宋_GBK" w:cs="Times New Roman"/>
          <w:color w:val="000000"/>
          <w:sz w:val="32"/>
          <w:szCs w:val="32"/>
          <w:highlight w:val="none"/>
          <w:lang w:eastAsia="zh-CN"/>
        </w:rPr>
        <w:t>节能环保</w:t>
      </w:r>
      <w:r>
        <w:rPr>
          <w:rFonts w:hint="default" w:ascii="Times New Roman" w:hAnsi="Times New Roman" w:eastAsia="方正仿宋_GBK" w:cs="Times New Roman"/>
          <w:color w:val="000000"/>
          <w:sz w:val="32"/>
          <w:szCs w:val="32"/>
          <w:highlight w:val="none"/>
        </w:rPr>
        <w:t>支出</w:t>
      </w:r>
      <w:r>
        <w:rPr>
          <w:rFonts w:hint="default" w:ascii="Times New Roman" w:hAnsi="Times New Roman" w:eastAsia="方正仿宋_GBK" w:cs="Times New Roman"/>
          <w:color w:val="000000"/>
          <w:sz w:val="32"/>
          <w:szCs w:val="32"/>
          <w:highlight w:val="none"/>
          <w:lang w:val="en-US" w:eastAsia="zh-CN"/>
        </w:rPr>
        <w:t>4.56</w:t>
      </w:r>
      <w:r>
        <w:rPr>
          <w:rFonts w:hint="default" w:ascii="Times New Roman" w:hAnsi="Times New Roman" w:eastAsia="方正仿宋_GBK" w:cs="Times New Roman"/>
          <w:color w:val="000000"/>
          <w:sz w:val="32"/>
          <w:szCs w:val="32"/>
          <w:highlight w:val="none"/>
        </w:rPr>
        <w:t>万元，比年初预算增加</w:t>
      </w:r>
      <w:r>
        <w:rPr>
          <w:rFonts w:hint="default" w:ascii="Times New Roman" w:hAnsi="Times New Roman" w:eastAsia="方正仿宋_GBK" w:cs="Times New Roman"/>
          <w:color w:val="000000"/>
          <w:sz w:val="32"/>
          <w:szCs w:val="32"/>
          <w:highlight w:val="none"/>
          <w:lang w:val="en-US" w:eastAsia="zh-CN"/>
        </w:rPr>
        <w:t>0.29</w:t>
      </w:r>
      <w:r>
        <w:rPr>
          <w:rFonts w:hint="default" w:ascii="Times New Roman" w:hAnsi="Times New Roman" w:eastAsia="方正仿宋_GBK" w:cs="Times New Roman"/>
          <w:color w:val="000000"/>
          <w:sz w:val="32"/>
          <w:szCs w:val="32"/>
          <w:highlight w:val="none"/>
        </w:rPr>
        <w:t>万元，增长</w:t>
      </w:r>
      <w:r>
        <w:rPr>
          <w:rFonts w:hint="default" w:ascii="Times New Roman" w:hAnsi="Times New Roman" w:eastAsia="方正仿宋_GBK" w:cs="Times New Roman"/>
          <w:color w:val="000000"/>
          <w:sz w:val="32"/>
          <w:szCs w:val="32"/>
          <w:highlight w:val="none"/>
          <w:lang w:val="en-US" w:eastAsia="zh-CN"/>
        </w:rPr>
        <w:t>6.79</w:t>
      </w:r>
      <w:r>
        <w:rPr>
          <w:rFonts w:hint="default" w:ascii="Times New Roman" w:hAnsi="Times New Roman" w:eastAsia="方正仿宋_GBK" w:cs="Times New Roman"/>
          <w:color w:val="000000"/>
          <w:sz w:val="32"/>
          <w:szCs w:val="32"/>
          <w:highlight w:val="none"/>
        </w:rPr>
        <w:t>%。主要用于</w:t>
      </w:r>
      <w:r>
        <w:rPr>
          <w:rFonts w:hint="default" w:ascii="Times New Roman" w:hAnsi="Times New Roman" w:eastAsia="方正仿宋_GBK" w:cs="Times New Roman"/>
          <w:color w:val="000000"/>
          <w:sz w:val="32"/>
          <w:szCs w:val="32"/>
          <w:highlight w:val="none"/>
          <w:lang w:eastAsia="zh-CN"/>
        </w:rPr>
        <w:t>农村环境整治</w:t>
      </w:r>
      <w:r>
        <w:rPr>
          <w:rFonts w:hint="default" w:ascii="Times New Roman" w:hAnsi="Times New Roman" w:eastAsia="方正仿宋_GBK" w:cs="Times New Roman"/>
          <w:color w:val="000000"/>
          <w:sz w:val="32"/>
          <w:szCs w:val="32"/>
          <w:highlight w:val="none"/>
        </w:rPr>
        <w:t>、</w:t>
      </w:r>
      <w:r>
        <w:rPr>
          <w:rFonts w:hint="default" w:ascii="Times New Roman" w:hAnsi="Times New Roman" w:eastAsia="方正仿宋_GBK" w:cs="Times New Roman"/>
          <w:color w:val="000000"/>
          <w:sz w:val="32"/>
          <w:szCs w:val="32"/>
          <w:highlight w:val="none"/>
          <w:lang w:eastAsia="zh-CN"/>
        </w:rPr>
        <w:t>林业草原生态保护恢复等方面</w:t>
      </w:r>
      <w:r>
        <w:rPr>
          <w:rFonts w:hint="default" w:ascii="Times New Roman" w:hAnsi="Times New Roman" w:eastAsia="方正仿宋_GBK" w:cs="Times New Roman"/>
          <w:color w:val="000000"/>
          <w:sz w:val="32"/>
          <w:szCs w:val="32"/>
          <w:highlight w:val="none"/>
        </w:rPr>
        <w:t>支出。</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color w:val="000000"/>
          <w:sz w:val="32"/>
          <w:szCs w:val="32"/>
          <w:highlight w:val="none"/>
          <w:lang w:eastAsia="zh-CN"/>
        </w:rPr>
        <w:t>六</w:t>
      </w:r>
      <w:r>
        <w:rPr>
          <w:rFonts w:hint="default" w:ascii="Times New Roman" w:hAnsi="Times New Roman" w:eastAsia="方正仿宋_GBK" w:cs="Times New Roman"/>
          <w:b/>
          <w:color w:val="000000"/>
          <w:sz w:val="32"/>
          <w:szCs w:val="32"/>
          <w:highlight w:val="none"/>
        </w:rPr>
        <w:t>是</w:t>
      </w:r>
      <w:r>
        <w:rPr>
          <w:rFonts w:hint="default" w:ascii="Times New Roman" w:hAnsi="Times New Roman" w:eastAsia="方正仿宋_GBK" w:cs="Times New Roman"/>
          <w:color w:val="000000"/>
          <w:sz w:val="32"/>
          <w:szCs w:val="32"/>
          <w:highlight w:val="none"/>
        </w:rPr>
        <w:t>城乡社区支出</w:t>
      </w:r>
      <w:r>
        <w:rPr>
          <w:rFonts w:hint="default" w:ascii="Times New Roman" w:hAnsi="Times New Roman" w:eastAsia="方正仿宋_GBK" w:cs="Times New Roman"/>
          <w:color w:val="000000"/>
          <w:sz w:val="32"/>
          <w:szCs w:val="32"/>
          <w:highlight w:val="none"/>
          <w:lang w:val="en-US" w:eastAsia="zh-CN"/>
        </w:rPr>
        <w:t>30</w:t>
      </w:r>
      <w:r>
        <w:rPr>
          <w:rFonts w:hint="default" w:ascii="Times New Roman" w:hAnsi="Times New Roman" w:eastAsia="方正仿宋_GBK" w:cs="Times New Roman"/>
          <w:color w:val="000000"/>
          <w:sz w:val="32"/>
          <w:szCs w:val="32"/>
          <w:highlight w:val="none"/>
        </w:rPr>
        <w:t>万元，与年初预算持平。主要用于城乡社区道路清扫、垃圾清运与处理以及场镇路灯维护、园林绿化等市政支出。</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color w:val="000000"/>
          <w:sz w:val="32"/>
          <w:szCs w:val="32"/>
          <w:highlight w:val="none"/>
          <w:lang w:eastAsia="zh-CN"/>
        </w:rPr>
        <w:t>七</w:t>
      </w:r>
      <w:r>
        <w:rPr>
          <w:rFonts w:hint="default" w:ascii="Times New Roman" w:hAnsi="Times New Roman" w:eastAsia="方正仿宋_GBK" w:cs="Times New Roman"/>
          <w:b/>
          <w:bCs/>
          <w:color w:val="000000"/>
          <w:sz w:val="32"/>
          <w:szCs w:val="32"/>
          <w:highlight w:val="none"/>
        </w:rPr>
        <w:t>是</w:t>
      </w:r>
      <w:r>
        <w:rPr>
          <w:rFonts w:hint="default" w:ascii="Times New Roman" w:hAnsi="Times New Roman" w:eastAsia="方正仿宋_GBK" w:cs="Times New Roman"/>
          <w:color w:val="000000"/>
          <w:sz w:val="32"/>
          <w:szCs w:val="32"/>
          <w:highlight w:val="none"/>
        </w:rPr>
        <w:t>农林水支出</w:t>
      </w:r>
      <w:r>
        <w:rPr>
          <w:rFonts w:hint="default" w:ascii="Times New Roman" w:hAnsi="Times New Roman" w:eastAsia="方正仿宋_GBK" w:cs="Times New Roman"/>
          <w:color w:val="000000"/>
          <w:sz w:val="32"/>
          <w:szCs w:val="32"/>
          <w:highlight w:val="none"/>
          <w:lang w:val="en-US" w:eastAsia="zh-CN"/>
        </w:rPr>
        <w:t>1696.46</w:t>
      </w:r>
      <w:r>
        <w:rPr>
          <w:rFonts w:hint="default" w:ascii="Times New Roman" w:hAnsi="Times New Roman" w:eastAsia="方正仿宋_GBK" w:cs="Times New Roman"/>
          <w:color w:val="000000"/>
          <w:sz w:val="32"/>
          <w:szCs w:val="32"/>
          <w:highlight w:val="none"/>
        </w:rPr>
        <w:t>万元，比年初预算增加</w:t>
      </w:r>
      <w:r>
        <w:rPr>
          <w:rFonts w:hint="default" w:ascii="Times New Roman" w:hAnsi="Times New Roman" w:eastAsia="方正仿宋_GBK" w:cs="Times New Roman"/>
          <w:color w:val="000000"/>
          <w:sz w:val="32"/>
          <w:szCs w:val="32"/>
          <w:highlight w:val="none"/>
          <w:lang w:val="en-US" w:eastAsia="zh-CN"/>
        </w:rPr>
        <w:t>1319.21</w:t>
      </w:r>
      <w:r>
        <w:rPr>
          <w:rFonts w:hint="default" w:ascii="Times New Roman" w:hAnsi="Times New Roman" w:eastAsia="方正仿宋_GBK" w:cs="Times New Roman"/>
          <w:color w:val="000000"/>
          <w:sz w:val="32"/>
          <w:szCs w:val="32"/>
          <w:highlight w:val="none"/>
        </w:rPr>
        <w:t>万元，增长</w:t>
      </w:r>
      <w:r>
        <w:rPr>
          <w:rFonts w:hint="default" w:ascii="Times New Roman" w:hAnsi="Times New Roman" w:eastAsia="方正仿宋_GBK" w:cs="Times New Roman"/>
          <w:color w:val="000000"/>
          <w:sz w:val="32"/>
          <w:szCs w:val="32"/>
          <w:highlight w:val="none"/>
          <w:lang w:val="en-US" w:eastAsia="zh-CN"/>
        </w:rPr>
        <w:t>349.69</w:t>
      </w:r>
      <w:r>
        <w:rPr>
          <w:rFonts w:hint="default" w:ascii="Times New Roman" w:hAnsi="Times New Roman" w:eastAsia="方正仿宋_GBK" w:cs="Times New Roman"/>
          <w:color w:val="000000"/>
          <w:sz w:val="32"/>
          <w:szCs w:val="32"/>
          <w:highlight w:val="none"/>
        </w:rPr>
        <w:t>%。主要用于保障</w:t>
      </w:r>
      <w:r>
        <w:rPr>
          <w:rFonts w:hint="default" w:ascii="Times New Roman" w:hAnsi="Times New Roman" w:eastAsia="方正仿宋_GBK" w:cs="Times New Roman"/>
          <w:color w:val="000000"/>
          <w:sz w:val="32"/>
          <w:szCs w:val="32"/>
          <w:highlight w:val="none"/>
          <w:lang w:val="en-US" w:eastAsia="zh-CN"/>
        </w:rPr>
        <w:t>北屏镇</w:t>
      </w:r>
      <w:r>
        <w:rPr>
          <w:rFonts w:hint="default" w:ascii="Times New Roman" w:hAnsi="Times New Roman" w:eastAsia="方正仿宋_GBK" w:cs="Times New Roman"/>
          <w:color w:val="000000"/>
          <w:sz w:val="32"/>
          <w:szCs w:val="32"/>
          <w:highlight w:val="none"/>
          <w:lang w:eastAsia="zh-CN"/>
        </w:rPr>
        <w:t>产</w:t>
      </w:r>
      <w:r>
        <w:rPr>
          <w:rFonts w:hint="default" w:ascii="Times New Roman" w:hAnsi="Times New Roman" w:eastAsia="方正仿宋_GBK" w:cs="Times New Roman"/>
          <w:color w:val="000000"/>
          <w:sz w:val="32"/>
          <w:szCs w:val="32"/>
          <w:highlight w:val="none"/>
        </w:rPr>
        <w:t>业</w:t>
      </w:r>
      <w:r>
        <w:rPr>
          <w:rFonts w:hint="default" w:ascii="Times New Roman" w:hAnsi="Times New Roman" w:eastAsia="方正仿宋_GBK" w:cs="Times New Roman"/>
          <w:color w:val="000000"/>
          <w:sz w:val="32"/>
          <w:szCs w:val="32"/>
          <w:highlight w:val="none"/>
          <w:lang w:val="en-US" w:eastAsia="zh-CN"/>
        </w:rPr>
        <w:t>发展服务中心</w:t>
      </w:r>
      <w:r>
        <w:rPr>
          <w:rFonts w:hint="default" w:ascii="Times New Roman" w:hAnsi="Times New Roman" w:eastAsia="方正仿宋_GBK" w:cs="Times New Roman"/>
          <w:color w:val="000000"/>
          <w:sz w:val="32"/>
          <w:szCs w:val="32"/>
          <w:highlight w:val="none"/>
        </w:rPr>
        <w:t>人员工资待遇；保障村干部及本土人才的待遇、办公运转、驻村工作队工作经费，</w:t>
      </w:r>
      <w:r>
        <w:rPr>
          <w:rFonts w:hint="default" w:ascii="Times New Roman" w:hAnsi="Times New Roman" w:eastAsia="方正仿宋_GBK" w:cs="Times New Roman"/>
          <w:color w:val="000000"/>
          <w:sz w:val="32"/>
          <w:szCs w:val="32"/>
          <w:highlight w:val="none"/>
          <w:lang w:eastAsia="zh-CN"/>
        </w:rPr>
        <w:t>大木漆全产业链技能培训项目</w:t>
      </w:r>
      <w:r>
        <w:rPr>
          <w:rFonts w:hint="default" w:ascii="Times New Roman" w:hAnsi="Times New Roman" w:eastAsia="方正仿宋_GBK" w:cs="Times New Roman"/>
          <w:color w:val="000000"/>
          <w:sz w:val="32"/>
          <w:szCs w:val="32"/>
          <w:highlight w:val="none"/>
        </w:rPr>
        <w:t>、</w:t>
      </w:r>
      <w:r>
        <w:rPr>
          <w:rFonts w:hint="default" w:ascii="Times New Roman" w:hAnsi="Times New Roman" w:eastAsia="方正仿宋_GBK" w:cs="Times New Roman"/>
          <w:color w:val="000000"/>
          <w:sz w:val="32"/>
          <w:szCs w:val="32"/>
          <w:highlight w:val="none"/>
          <w:lang w:eastAsia="zh-CN"/>
        </w:rPr>
        <w:t>中药材产业扶持项目、</w:t>
      </w:r>
      <w:r>
        <w:rPr>
          <w:rFonts w:hint="default" w:ascii="Times New Roman" w:hAnsi="Times New Roman" w:eastAsia="方正仿宋_GBK" w:cs="Times New Roman"/>
          <w:color w:val="000000"/>
          <w:sz w:val="32"/>
          <w:szCs w:val="32"/>
          <w:highlight w:val="none"/>
        </w:rPr>
        <w:t>户厕改造项目、</w:t>
      </w:r>
      <w:r>
        <w:rPr>
          <w:rFonts w:hint="default" w:ascii="Times New Roman" w:hAnsi="Times New Roman" w:eastAsia="方正仿宋_GBK" w:cs="Times New Roman"/>
          <w:color w:val="000000"/>
          <w:sz w:val="32"/>
          <w:szCs w:val="32"/>
          <w:highlight w:val="none"/>
          <w:lang w:eastAsia="zh-CN"/>
        </w:rPr>
        <w:t>巴渝和美乡村建设项目、</w:t>
      </w:r>
      <w:r>
        <w:rPr>
          <w:rFonts w:hint="default" w:ascii="Times New Roman" w:hAnsi="Times New Roman" w:eastAsia="方正仿宋_GBK" w:cs="Times New Roman"/>
          <w:color w:val="000000"/>
          <w:sz w:val="32"/>
          <w:szCs w:val="32"/>
          <w:highlight w:val="none"/>
        </w:rPr>
        <w:t>产业到户扶持项目等</w:t>
      </w:r>
      <w:r>
        <w:rPr>
          <w:rFonts w:hint="default" w:ascii="Times New Roman" w:hAnsi="Times New Roman" w:eastAsia="方正仿宋_GBK" w:cs="Times New Roman"/>
          <w:color w:val="000000"/>
          <w:sz w:val="32"/>
          <w:szCs w:val="32"/>
          <w:highlight w:val="none"/>
          <w:lang w:val="en-US" w:eastAsia="zh-CN"/>
        </w:rPr>
        <w:t>25</w:t>
      </w:r>
      <w:r>
        <w:rPr>
          <w:rFonts w:hint="default" w:ascii="Times New Roman" w:hAnsi="Times New Roman" w:eastAsia="方正仿宋_GBK" w:cs="Times New Roman"/>
          <w:color w:val="000000"/>
          <w:sz w:val="32"/>
          <w:szCs w:val="32"/>
          <w:highlight w:val="none"/>
        </w:rPr>
        <w:t>个项目。</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lang w:eastAsia="zh-CN"/>
        </w:rPr>
      </w:pPr>
      <w:r>
        <w:rPr>
          <w:rFonts w:hint="default" w:ascii="Times New Roman" w:hAnsi="Times New Roman" w:eastAsia="方正仿宋_GBK" w:cs="Times New Roman"/>
          <w:b/>
          <w:bCs/>
          <w:color w:val="000000"/>
          <w:sz w:val="32"/>
          <w:szCs w:val="32"/>
          <w:highlight w:val="none"/>
          <w:lang w:eastAsia="zh-CN"/>
        </w:rPr>
        <w:t>八</w:t>
      </w:r>
      <w:r>
        <w:rPr>
          <w:rFonts w:hint="default" w:ascii="Times New Roman" w:hAnsi="Times New Roman" w:eastAsia="方正仿宋_GBK" w:cs="Times New Roman"/>
          <w:b/>
          <w:bCs/>
          <w:color w:val="000000"/>
          <w:sz w:val="32"/>
          <w:szCs w:val="32"/>
          <w:highlight w:val="none"/>
        </w:rPr>
        <w:t>是</w:t>
      </w:r>
      <w:r>
        <w:rPr>
          <w:rFonts w:hint="default" w:ascii="Times New Roman" w:hAnsi="Times New Roman" w:eastAsia="方正仿宋_GBK" w:cs="Times New Roman"/>
          <w:color w:val="000000"/>
          <w:sz w:val="32"/>
          <w:szCs w:val="32"/>
          <w:highlight w:val="none"/>
        </w:rPr>
        <w:t>住房保障支出</w:t>
      </w:r>
      <w:r>
        <w:rPr>
          <w:rFonts w:hint="default" w:ascii="Times New Roman" w:hAnsi="Times New Roman" w:eastAsia="方正仿宋_GBK" w:cs="Times New Roman"/>
          <w:color w:val="000000"/>
          <w:sz w:val="32"/>
          <w:szCs w:val="32"/>
          <w:highlight w:val="none"/>
          <w:lang w:val="en-US" w:eastAsia="zh-CN"/>
        </w:rPr>
        <w:t>37.35</w:t>
      </w:r>
      <w:r>
        <w:rPr>
          <w:rFonts w:hint="default" w:ascii="Times New Roman" w:hAnsi="Times New Roman" w:eastAsia="方正仿宋_GBK" w:cs="Times New Roman"/>
          <w:color w:val="000000"/>
          <w:sz w:val="32"/>
          <w:szCs w:val="32"/>
          <w:highlight w:val="none"/>
        </w:rPr>
        <w:t>万元，与年初预算持平。主要用于缴纳机关行政人员住房公积金</w:t>
      </w:r>
      <w:r>
        <w:rPr>
          <w:rFonts w:hint="default" w:ascii="Times New Roman" w:hAnsi="Times New Roman" w:eastAsia="方正仿宋_GBK" w:cs="Times New Roman"/>
          <w:color w:val="000000"/>
          <w:sz w:val="32"/>
          <w:szCs w:val="32"/>
          <w:highlight w:val="none"/>
          <w:lang w:eastAsia="zh-CN"/>
        </w:rPr>
        <w:t>。</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lang w:eastAsia="zh-CN"/>
        </w:rPr>
        <w:t>九是</w:t>
      </w:r>
      <w:r>
        <w:rPr>
          <w:rFonts w:hint="default" w:ascii="Times New Roman" w:hAnsi="Times New Roman" w:eastAsia="方正仿宋_GBK" w:cs="Times New Roman"/>
          <w:color w:val="000000"/>
          <w:sz w:val="32"/>
          <w:szCs w:val="32"/>
          <w:highlight w:val="none"/>
        </w:rPr>
        <w:t>灾害防治及应急管理支出</w:t>
      </w:r>
      <w:r>
        <w:rPr>
          <w:rFonts w:hint="default" w:ascii="Times New Roman" w:hAnsi="Times New Roman" w:eastAsia="方正仿宋_GBK" w:cs="Times New Roman"/>
          <w:color w:val="000000"/>
          <w:sz w:val="32"/>
          <w:szCs w:val="32"/>
          <w:highlight w:val="none"/>
          <w:lang w:val="en-US" w:eastAsia="zh-CN"/>
        </w:rPr>
        <w:t>25.7</w:t>
      </w:r>
      <w:r>
        <w:rPr>
          <w:rFonts w:hint="default" w:ascii="Times New Roman" w:hAnsi="Times New Roman" w:eastAsia="方正仿宋_GBK" w:cs="Times New Roman"/>
          <w:color w:val="000000"/>
          <w:sz w:val="32"/>
          <w:szCs w:val="32"/>
          <w:highlight w:val="none"/>
        </w:rPr>
        <w:t>万元，比年初预算增加</w:t>
      </w:r>
      <w:r>
        <w:rPr>
          <w:rFonts w:hint="default" w:ascii="Times New Roman" w:hAnsi="Times New Roman" w:eastAsia="方正仿宋_GBK" w:cs="Times New Roman"/>
          <w:color w:val="000000"/>
          <w:sz w:val="32"/>
          <w:szCs w:val="32"/>
          <w:highlight w:val="none"/>
          <w:lang w:val="en-US" w:eastAsia="zh-CN"/>
        </w:rPr>
        <w:t>7.62</w:t>
      </w:r>
      <w:r>
        <w:rPr>
          <w:rFonts w:hint="default" w:ascii="Times New Roman" w:hAnsi="Times New Roman" w:eastAsia="方正仿宋_GBK" w:cs="Times New Roman"/>
          <w:color w:val="000000"/>
          <w:sz w:val="32"/>
          <w:szCs w:val="32"/>
          <w:highlight w:val="none"/>
        </w:rPr>
        <w:t>万元</w:t>
      </w:r>
      <w:r>
        <w:rPr>
          <w:rFonts w:hint="default" w:ascii="Times New Roman" w:hAnsi="Times New Roman" w:eastAsia="方正仿宋_GBK" w:cs="Times New Roman"/>
          <w:color w:val="000000"/>
          <w:sz w:val="32"/>
          <w:szCs w:val="32"/>
          <w:highlight w:val="none"/>
          <w:lang w:eastAsia="zh-CN"/>
        </w:rPr>
        <w:t>，增长</w:t>
      </w:r>
      <w:r>
        <w:rPr>
          <w:rFonts w:hint="default" w:ascii="Times New Roman" w:hAnsi="Times New Roman" w:eastAsia="方正仿宋_GBK" w:cs="Times New Roman"/>
          <w:color w:val="000000"/>
          <w:sz w:val="32"/>
          <w:szCs w:val="32"/>
          <w:highlight w:val="none"/>
          <w:lang w:val="en-US" w:eastAsia="zh-CN"/>
        </w:rPr>
        <w:t>42.17%</w:t>
      </w:r>
      <w:r>
        <w:rPr>
          <w:rFonts w:hint="default" w:ascii="Times New Roman" w:hAnsi="Times New Roman" w:eastAsia="方正仿宋_GBK" w:cs="Times New Roman"/>
          <w:color w:val="000000"/>
          <w:sz w:val="32"/>
          <w:szCs w:val="32"/>
          <w:highlight w:val="none"/>
        </w:rPr>
        <w:t>。主要用于防汛抗旱和应急救灾产生的费用。</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b w:val="0"/>
          <w:bCs w:val="0"/>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十是</w:t>
      </w:r>
      <w:r>
        <w:rPr>
          <w:rFonts w:hint="default" w:ascii="Times New Roman" w:hAnsi="Times New Roman" w:eastAsia="方正仿宋_GBK" w:cs="Times New Roman"/>
          <w:color w:val="000000"/>
          <w:sz w:val="32"/>
          <w:szCs w:val="32"/>
          <w:highlight w:val="none"/>
          <w:lang w:eastAsia="zh-CN"/>
        </w:rPr>
        <w:t>其他支出</w:t>
      </w:r>
      <w:r>
        <w:rPr>
          <w:rFonts w:hint="default" w:ascii="Times New Roman" w:hAnsi="Times New Roman" w:eastAsia="方正仿宋_GBK" w:cs="Times New Roman"/>
          <w:color w:val="000000"/>
          <w:sz w:val="32"/>
          <w:szCs w:val="32"/>
          <w:highlight w:val="none"/>
          <w:lang w:val="en-US" w:eastAsia="zh-CN"/>
        </w:rPr>
        <w:t>20万元，与年初预算持平。主要用于林木复合利用项目。</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70" w:lineRule="exact"/>
        <w:ind w:firstLine="634"/>
        <w:jc w:val="both"/>
        <w:textAlignment w:val="baseline"/>
        <w:rPr>
          <w:rFonts w:hint="default" w:ascii="Times New Roman" w:hAnsi="Times New Roman" w:eastAsia="方正楷体_GBK" w:cs="Times New Roman"/>
          <w:color w:val="000000"/>
          <w:kern w:val="0"/>
          <w:sz w:val="22"/>
          <w:szCs w:val="22"/>
          <w:highlight w:val="none"/>
          <w:lang w:val="en-US" w:eastAsia="zh-CN" w:bidi="ar-SA"/>
        </w:rPr>
      </w:pPr>
      <w:r>
        <w:rPr>
          <w:rFonts w:hint="default" w:ascii="Times New Roman" w:hAnsi="Times New Roman" w:eastAsia="方正楷体_GBK" w:cs="Times New Roman"/>
          <w:color w:val="000000"/>
          <w:kern w:val="2"/>
          <w:sz w:val="32"/>
          <w:szCs w:val="32"/>
          <w:highlight w:val="none"/>
          <w:lang w:val="en-US" w:eastAsia="zh-CN" w:bidi="ar-SA"/>
        </w:rPr>
        <w:t>（三）2025年预算执行平衡情况</w:t>
      </w:r>
    </w:p>
    <w:p>
      <w:pPr>
        <w:keepNext w:val="0"/>
        <w:keepLines w:val="0"/>
        <w:pageBreakBefore w:val="0"/>
        <w:widowControl/>
        <w:shd w:val="clear" w:color="auto" w:fill="FFFFFF"/>
        <w:kinsoku/>
        <w:wordWrap/>
        <w:overflowPunct/>
        <w:topLinePunct w:val="0"/>
        <w:autoSpaceDE/>
        <w:autoSpaceDN/>
        <w:bidi w:val="0"/>
        <w:adjustRightInd/>
        <w:snapToGrid/>
        <w:spacing w:line="470" w:lineRule="exact"/>
        <w:ind w:firstLine="633" w:firstLineChars="198"/>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年，我</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坚持“增收、优支、统筹、守底”</w:t>
      </w:r>
      <w:r>
        <w:rPr>
          <w:rFonts w:hint="default" w:ascii="Times New Roman" w:hAnsi="Times New Roman" w:eastAsia="方正仿宋_GBK" w:cs="Times New Roman"/>
          <w:color w:val="000000"/>
          <w:sz w:val="32"/>
          <w:szCs w:val="32"/>
          <w:highlight w:val="none"/>
          <w:lang w:val="en-US" w:eastAsia="zh-CN"/>
        </w:rPr>
        <w:t>的</w:t>
      </w:r>
      <w:r>
        <w:rPr>
          <w:rFonts w:hint="default" w:ascii="Times New Roman" w:hAnsi="Times New Roman" w:eastAsia="方正仿宋_GBK" w:cs="Times New Roman"/>
          <w:color w:val="000000"/>
          <w:sz w:val="32"/>
          <w:szCs w:val="32"/>
          <w:highlight w:val="none"/>
        </w:rPr>
        <w:t>工作思路，从严管控收支、优化资金配置，全力保障“三保”底线和重点工作推进，全年财政收支平衡，无赤字、无拖欠，基层财政运行平稳有序，为全</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经济社会发展提供了坚实</w:t>
      </w:r>
      <w:r>
        <w:rPr>
          <w:rFonts w:hint="default" w:ascii="Times New Roman" w:hAnsi="Times New Roman" w:eastAsia="方正仿宋_GBK" w:cs="Times New Roman"/>
          <w:color w:val="000000"/>
          <w:sz w:val="32"/>
          <w:szCs w:val="32"/>
          <w:highlight w:val="none"/>
          <w:lang w:val="en-US" w:eastAsia="zh-CN"/>
        </w:rPr>
        <w:t>的</w:t>
      </w:r>
      <w:r>
        <w:rPr>
          <w:rFonts w:hint="default" w:ascii="Times New Roman" w:hAnsi="Times New Roman" w:eastAsia="方正仿宋_GBK" w:cs="Times New Roman"/>
          <w:color w:val="000000"/>
          <w:sz w:val="32"/>
          <w:szCs w:val="32"/>
          <w:highlight w:val="none"/>
        </w:rPr>
        <w:t>财力支撑。</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70" w:lineRule="exact"/>
        <w:ind w:firstLine="634"/>
        <w:jc w:val="both"/>
        <w:textAlignment w:val="baseline"/>
        <w:rPr>
          <w:rFonts w:hint="default" w:ascii="Times New Roman" w:hAnsi="Times New Roman" w:eastAsia="方正仿宋_GBK" w:cs="Times New Roman"/>
          <w:color w:val="000000"/>
          <w:kern w:val="2"/>
          <w:sz w:val="32"/>
          <w:szCs w:val="32"/>
          <w:highlight w:val="none"/>
          <w:lang w:val="en-US" w:eastAsia="zh-CN" w:bidi="ar-SA"/>
        </w:rPr>
      </w:pPr>
      <w:r>
        <w:rPr>
          <w:rFonts w:hint="default" w:ascii="Times New Roman" w:hAnsi="Times New Roman" w:eastAsia="方正仿宋_GBK" w:cs="Times New Roman"/>
          <w:b/>
          <w:color w:val="000000"/>
          <w:kern w:val="2"/>
          <w:sz w:val="32"/>
          <w:szCs w:val="32"/>
          <w:highlight w:val="none"/>
          <w:lang w:val="en-US" w:eastAsia="zh-CN" w:bidi="ar-SA"/>
        </w:rPr>
        <w:t>一是多措并举稳增收，夯实平衡基础。</w:t>
      </w:r>
      <w:r>
        <w:rPr>
          <w:rFonts w:hint="default" w:ascii="Times New Roman" w:hAnsi="Times New Roman" w:eastAsia="方正仿宋_GBK" w:cs="Times New Roman"/>
          <w:b w:val="0"/>
          <w:bCs/>
          <w:color w:val="000000"/>
          <w:kern w:val="2"/>
          <w:sz w:val="32"/>
          <w:szCs w:val="32"/>
          <w:highlight w:val="none"/>
          <w:lang w:val="en-US" w:eastAsia="zh-CN" w:bidi="ar-SA"/>
        </w:rPr>
        <w:t>依法规范征管本级收入，紧盯重点企业、个体工商户等税收，做到税收应收尽收，</w:t>
      </w:r>
      <w:r>
        <w:rPr>
          <w:rFonts w:hint="default" w:ascii="Times New Roman" w:hAnsi="Times New Roman" w:eastAsia="方正仿宋_GBK" w:cs="Times New Roman"/>
          <w:color w:val="000000"/>
          <w:kern w:val="2"/>
          <w:sz w:val="32"/>
          <w:szCs w:val="32"/>
          <w:highlight w:val="none"/>
          <w:lang w:val="en-US" w:eastAsia="zh-CN" w:bidi="ar-SA"/>
        </w:rPr>
        <w:t>加强对行政事业性收费、专项收入、罚没收入等非税收入的管理，提高财政收入质量；紧扣乡村振兴、民生保障、基础设施建设等政策导向，全力争取上级资金40万元；深挖镇域增收潜力，通过财政资金撬动、政策扶持等方式，支持本土小微企业、特色农业发展，培育新增税源，拓宽非税收入渠道。</w:t>
      </w:r>
      <w:r>
        <w:rPr>
          <w:rFonts w:hint="default" w:ascii="Times New Roman" w:hAnsi="Times New Roman" w:eastAsia="方正仿宋_GBK" w:cs="Times New Roman"/>
          <w:b/>
          <w:color w:val="000000"/>
          <w:kern w:val="2"/>
          <w:sz w:val="32"/>
          <w:szCs w:val="32"/>
          <w:highlight w:val="none"/>
          <w:lang w:val="en-US" w:eastAsia="zh-CN" w:bidi="ar-SA"/>
        </w:rPr>
        <w:t>二是优化结构严控支，把牢平衡关键。</w:t>
      </w:r>
      <w:r>
        <w:rPr>
          <w:rFonts w:hint="default" w:ascii="Times New Roman" w:hAnsi="Times New Roman" w:eastAsia="方正仿宋_GBK" w:cs="Times New Roman"/>
          <w:b w:val="0"/>
          <w:bCs/>
          <w:color w:val="000000"/>
          <w:kern w:val="2"/>
          <w:sz w:val="32"/>
          <w:szCs w:val="32"/>
          <w:highlight w:val="none"/>
          <w:lang w:val="en-US" w:eastAsia="zh-CN" w:bidi="ar-SA"/>
        </w:rPr>
        <w:t>绝对优先保障“三保”支出，将保工资、保运转、保基本民生作为预算执行的首要任务，坚决兜底基层底线；从严压减非刚性非重点支出，全面落实“过紧日子”要求，制定《北屏镇落实“过紧日子”十条措施》制度，压减会议、培训、接待等一般性支出，精准保障重点工作支出，围绕乡村振兴、农村环境整治、产业发展等安排重点项目17个，投入资金1023万元。</w:t>
      </w:r>
      <w:r>
        <w:rPr>
          <w:rFonts w:hint="default" w:ascii="Times New Roman" w:hAnsi="Times New Roman" w:eastAsia="方正仿宋_GBK" w:cs="Times New Roman"/>
          <w:b/>
          <w:color w:val="000000"/>
          <w:kern w:val="2"/>
          <w:sz w:val="32"/>
          <w:szCs w:val="32"/>
          <w:highlight w:val="none"/>
          <w:lang w:val="en-US" w:eastAsia="zh-CN" w:bidi="ar-SA"/>
        </w:rPr>
        <w:t>三是统筹资源强管理，提升平衡效能。</w:t>
      </w:r>
      <w:r>
        <w:rPr>
          <w:rFonts w:hint="default" w:ascii="Times New Roman" w:hAnsi="Times New Roman" w:eastAsia="方正仿宋_GBK" w:cs="Times New Roman"/>
          <w:b w:val="0"/>
          <w:bCs/>
          <w:color w:val="000000"/>
          <w:kern w:val="2"/>
          <w:sz w:val="32"/>
          <w:szCs w:val="32"/>
          <w:highlight w:val="none"/>
          <w:lang w:val="en-US" w:eastAsia="zh-CN" w:bidi="ar-SA"/>
        </w:rPr>
        <w:t>统筹各类财政资金，统一调度、合理分配，提升资金使用效率；强化预算刚性约束，严格执行镇人大批准的年度预算，坚持“先有预算、后有支出”，严格执行国库集中支出、政府采购等制度，规范资金拨付流程，杜绝超预算、无预算支出。</w:t>
      </w:r>
      <w:r>
        <w:rPr>
          <w:rFonts w:hint="default" w:ascii="Times New Roman" w:hAnsi="Times New Roman" w:eastAsia="方正仿宋_GBK" w:cs="Times New Roman"/>
          <w:b/>
          <w:color w:val="000000"/>
          <w:kern w:val="2"/>
          <w:sz w:val="32"/>
          <w:szCs w:val="32"/>
          <w:highlight w:val="none"/>
          <w:lang w:val="en-US" w:eastAsia="zh-CN" w:bidi="ar-SA"/>
        </w:rPr>
        <w:t>四是严守底线防风险，筑牢平衡保障。</w:t>
      </w:r>
      <w:r>
        <w:rPr>
          <w:rFonts w:hint="default" w:ascii="Times New Roman" w:hAnsi="Times New Roman" w:eastAsia="方正仿宋_GBK" w:cs="Times New Roman"/>
          <w:color w:val="000000"/>
          <w:kern w:val="2"/>
          <w:sz w:val="32"/>
          <w:szCs w:val="32"/>
          <w:highlight w:val="none"/>
          <w:lang w:val="en-US" w:eastAsia="zh-CN" w:bidi="ar-SA"/>
        </w:rPr>
        <w:t>严控政府债务风险，坚决杜绝新增隐性债务，无违规举债、担保等行为；规范财务管理制度，完善镇级财务报销、资金审批等内控制度，加强财务人员业务培训，提升基层财务管理规范化水平，从源头防范财政运行风险。</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各位代表，202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年财政运行总体平稳，在肯定成绩的同时，我们也要正视当前存在的问题：</w:t>
      </w:r>
      <w:r>
        <w:rPr>
          <w:rFonts w:hint="default" w:ascii="Times New Roman" w:hAnsi="Times New Roman" w:eastAsia="方正仿宋_GBK" w:cs="Times New Roman"/>
          <w:b/>
          <w:color w:val="000000"/>
          <w:sz w:val="32"/>
          <w:szCs w:val="32"/>
          <w:highlight w:val="none"/>
        </w:rPr>
        <w:t>一是</w:t>
      </w:r>
      <w:r>
        <w:rPr>
          <w:rFonts w:hint="default" w:ascii="Times New Roman" w:hAnsi="Times New Roman" w:eastAsia="方正仿宋_GBK" w:cs="Times New Roman"/>
          <w:b/>
          <w:color w:val="000000"/>
          <w:sz w:val="32"/>
          <w:szCs w:val="32"/>
          <w:highlight w:val="none"/>
          <w:lang w:eastAsia="zh-CN"/>
        </w:rPr>
        <w:t>镇</w:t>
      </w:r>
      <w:r>
        <w:rPr>
          <w:rFonts w:hint="default" w:ascii="Times New Roman" w:hAnsi="Times New Roman" w:eastAsia="方正仿宋_GBK" w:cs="Times New Roman"/>
          <w:b/>
          <w:color w:val="000000"/>
          <w:sz w:val="32"/>
          <w:szCs w:val="32"/>
          <w:highlight w:val="none"/>
        </w:rPr>
        <w:t>级可支配财力不足。</w:t>
      </w:r>
      <w:r>
        <w:rPr>
          <w:rFonts w:hint="default" w:ascii="Times New Roman" w:hAnsi="Times New Roman" w:eastAsia="方正仿宋_GBK" w:cs="Times New Roman"/>
          <w:color w:val="000000"/>
          <w:sz w:val="32"/>
          <w:szCs w:val="32"/>
          <w:highlight w:val="none"/>
        </w:rPr>
        <w:t>经济结构和财源结构单一，市场主体培育不足，缺乏支柱产业和骨干企业，难以提高收入总量和进行税收结构调整，财政自给能力低，本级收支矛盾突出。</w:t>
      </w:r>
      <w:r>
        <w:rPr>
          <w:rFonts w:hint="default" w:ascii="Times New Roman" w:hAnsi="Times New Roman" w:eastAsia="方正仿宋_GBK" w:cs="Times New Roman"/>
          <w:b/>
          <w:color w:val="000000"/>
          <w:sz w:val="32"/>
          <w:szCs w:val="32"/>
          <w:highlight w:val="none"/>
        </w:rPr>
        <w:t>二是项目资金绩效评价还有差距。</w:t>
      </w:r>
      <w:r>
        <w:rPr>
          <w:rFonts w:hint="default" w:ascii="Times New Roman" w:hAnsi="Times New Roman" w:eastAsia="方正仿宋_GBK" w:cs="Times New Roman"/>
          <w:color w:val="000000"/>
          <w:sz w:val="32"/>
          <w:szCs w:val="32"/>
          <w:highlight w:val="none"/>
        </w:rPr>
        <w:t>资金使用效益评价制度不够健全，基本支出资金缺乏效益评估，产业发展、基础设施建设类项目绩效评价不够全面、精准、系统，时效性和针对性不强。</w:t>
      </w:r>
      <w:r>
        <w:rPr>
          <w:rFonts w:hint="default" w:ascii="Times New Roman" w:hAnsi="Times New Roman" w:eastAsia="方正仿宋_GBK" w:cs="Times New Roman"/>
          <w:b/>
          <w:color w:val="000000"/>
          <w:sz w:val="32"/>
          <w:szCs w:val="32"/>
          <w:highlight w:val="none"/>
        </w:rPr>
        <w:t>三是资金序时支付进度存在差距。</w:t>
      </w:r>
      <w:r>
        <w:rPr>
          <w:rFonts w:hint="default" w:ascii="Times New Roman" w:hAnsi="Times New Roman" w:eastAsia="方正仿宋_GBK" w:cs="Times New Roman"/>
          <w:color w:val="000000"/>
          <w:sz w:val="32"/>
          <w:szCs w:val="32"/>
          <w:highlight w:val="none"/>
        </w:rPr>
        <w:t>县级专项资金下达后，部分项目启动实施不够及时，</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村两级专项经费使用计划缺乏精准性，一定程度影响专项资金的序时支出进度。对于这些问题，我们将广泛听取各位代表和列席人员的意见建议，认真研究</w:t>
      </w:r>
      <w:r>
        <w:rPr>
          <w:rFonts w:hint="default" w:ascii="Times New Roman" w:hAnsi="Times New Roman" w:eastAsia="方正仿宋_GBK" w:cs="Times New Roman"/>
          <w:color w:val="000000"/>
          <w:sz w:val="32"/>
          <w:szCs w:val="32"/>
          <w:highlight w:val="none"/>
          <w:lang w:val="en-US" w:eastAsia="zh-CN"/>
        </w:rPr>
        <w:t>并</w:t>
      </w:r>
      <w:r>
        <w:rPr>
          <w:rFonts w:hint="default" w:ascii="Times New Roman" w:hAnsi="Times New Roman" w:eastAsia="方正仿宋_GBK" w:cs="Times New Roman"/>
          <w:color w:val="000000"/>
          <w:sz w:val="32"/>
          <w:szCs w:val="32"/>
          <w:highlight w:val="none"/>
        </w:rPr>
        <w:t>努力解决。</w:t>
      </w:r>
    </w:p>
    <w:p>
      <w:pPr>
        <w:keepNext w:val="0"/>
        <w:keepLines w:val="0"/>
        <w:pageBreakBefore w:val="0"/>
        <w:widowControl/>
        <w:kinsoku/>
        <w:wordWrap/>
        <w:overflowPunct/>
        <w:topLinePunct w:val="0"/>
        <w:autoSpaceDE/>
        <w:autoSpaceDN/>
        <w:bidi w:val="0"/>
        <w:adjustRightInd/>
        <w:snapToGrid/>
        <w:spacing w:line="510" w:lineRule="exact"/>
        <w:ind w:firstLine="640" w:firstLineChars="200"/>
        <w:textAlignment w:val="baseline"/>
        <w:rPr>
          <w:rFonts w:hint="default" w:ascii="Times New Roman" w:hAnsi="Times New Roman" w:eastAsia="方正仿宋_GBK" w:cs="Times New Roman"/>
          <w:color w:val="000000"/>
          <w:sz w:val="32"/>
          <w:szCs w:val="32"/>
          <w:highlight w:val="none"/>
        </w:rPr>
      </w:pPr>
    </w:p>
    <w:p>
      <w:pPr>
        <w:widowControl/>
        <w:spacing w:line="460" w:lineRule="exact"/>
        <w:jc w:val="center"/>
        <w:textAlignment w:val="baseline"/>
        <w:rPr>
          <w:rFonts w:hint="default" w:ascii="Times New Roman" w:hAnsi="Times New Roman" w:eastAsia="黑体" w:cs="Times New Roman"/>
          <w:bCs/>
          <w:color w:val="000000"/>
          <w:sz w:val="32"/>
          <w:szCs w:val="32"/>
          <w:highlight w:val="none"/>
        </w:rPr>
      </w:pPr>
      <w:r>
        <w:rPr>
          <w:rFonts w:hint="default" w:ascii="Times New Roman" w:hAnsi="Times New Roman" w:eastAsia="黑体" w:cs="Times New Roman"/>
          <w:bCs/>
          <w:color w:val="000000"/>
          <w:sz w:val="32"/>
          <w:szCs w:val="32"/>
          <w:highlight w:val="none"/>
        </w:rPr>
        <w:t>北屏</w:t>
      </w:r>
      <w:r>
        <w:rPr>
          <w:rFonts w:hint="default" w:ascii="Times New Roman" w:hAnsi="Times New Roman" w:eastAsia="黑体" w:cs="Times New Roman"/>
          <w:bCs/>
          <w:color w:val="000000"/>
          <w:sz w:val="32"/>
          <w:szCs w:val="32"/>
          <w:highlight w:val="none"/>
          <w:lang w:eastAsia="zh-CN"/>
        </w:rPr>
        <w:t>镇</w:t>
      </w:r>
      <w:r>
        <w:rPr>
          <w:rFonts w:hint="default" w:ascii="Times New Roman" w:hAnsi="Times New Roman" w:eastAsia="黑体" w:cs="Times New Roman"/>
          <w:bCs/>
          <w:color w:val="000000"/>
          <w:sz w:val="32"/>
          <w:szCs w:val="32"/>
          <w:highlight w:val="none"/>
        </w:rPr>
        <w:t>202</w:t>
      </w:r>
      <w:r>
        <w:rPr>
          <w:rFonts w:hint="default" w:ascii="Times New Roman" w:hAnsi="Times New Roman" w:eastAsia="黑体" w:cs="Times New Roman"/>
          <w:bCs/>
          <w:color w:val="000000"/>
          <w:sz w:val="32"/>
          <w:szCs w:val="32"/>
          <w:highlight w:val="none"/>
          <w:lang w:val="en-US" w:eastAsia="zh-CN"/>
        </w:rPr>
        <w:t>5</w:t>
      </w:r>
      <w:r>
        <w:rPr>
          <w:rFonts w:hint="default" w:ascii="Times New Roman" w:hAnsi="Times New Roman" w:eastAsia="黑体" w:cs="Times New Roman"/>
          <w:bCs/>
          <w:color w:val="000000"/>
          <w:sz w:val="32"/>
          <w:szCs w:val="32"/>
          <w:highlight w:val="none"/>
        </w:rPr>
        <w:t>年预算收支平衡表</w:t>
      </w:r>
    </w:p>
    <w:p>
      <w:pPr>
        <w:widowControl/>
        <w:spacing w:line="340" w:lineRule="exact"/>
        <w:ind w:firstLine="480" w:firstLineChars="200"/>
        <w:jc w:val="center"/>
        <w:textAlignment w:val="baseline"/>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 xml:space="preserve">                                                   单位：万元</w:t>
      </w:r>
    </w:p>
    <w:tbl>
      <w:tblPr>
        <w:tblStyle w:val="5"/>
        <w:tblpPr w:leftFromText="180" w:rightFromText="180" w:vertAnchor="text" w:horzAnchor="page" w:tblpX="1603" w:tblpY="550"/>
        <w:tblOverlap w:val="never"/>
        <w:tblW w:w="8866" w:type="dxa"/>
        <w:tblInd w:w="0" w:type="dxa"/>
        <w:tblLayout w:type="fixed"/>
        <w:tblCellMar>
          <w:top w:w="0" w:type="dxa"/>
          <w:left w:w="0" w:type="dxa"/>
          <w:bottom w:w="0" w:type="dxa"/>
          <w:right w:w="0" w:type="dxa"/>
        </w:tblCellMar>
      </w:tblPr>
      <w:tblGrid>
        <w:gridCol w:w="2466"/>
        <w:gridCol w:w="1600"/>
        <w:gridCol w:w="3310"/>
        <w:gridCol w:w="1490"/>
      </w:tblGrid>
      <w:tr>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rPr>
            </w:pPr>
            <w:r>
              <w:rPr>
                <w:rFonts w:hint="default" w:ascii="Times New Roman" w:hAnsi="Times New Roman" w:eastAsia="黑体" w:cs="Times New Roman"/>
                <w:bCs/>
                <w:color w:val="000000"/>
                <w:sz w:val="24"/>
                <w:szCs w:val="24"/>
                <w:highlight w:val="none"/>
              </w:rPr>
              <w:t>收    入</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rPr>
            </w:pPr>
            <w:r>
              <w:rPr>
                <w:rFonts w:hint="default" w:ascii="Times New Roman" w:hAnsi="Times New Roman" w:eastAsia="黑体" w:cs="Times New Roman"/>
                <w:bCs/>
                <w:color w:val="000000"/>
                <w:sz w:val="24"/>
                <w:szCs w:val="24"/>
                <w:highlight w:val="none"/>
              </w:rPr>
              <w:t>执行数</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rPr>
            </w:pPr>
            <w:r>
              <w:rPr>
                <w:rFonts w:hint="default" w:ascii="Times New Roman" w:hAnsi="Times New Roman" w:eastAsia="黑体" w:cs="Times New Roman"/>
                <w:bCs/>
                <w:color w:val="000000"/>
                <w:sz w:val="24"/>
                <w:szCs w:val="24"/>
                <w:highlight w:val="none"/>
              </w:rPr>
              <w:t>支    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rPr>
            </w:pPr>
            <w:r>
              <w:rPr>
                <w:rFonts w:hint="default" w:ascii="Times New Roman" w:hAnsi="Times New Roman" w:eastAsia="黑体" w:cs="Times New Roman"/>
                <w:bCs/>
                <w:color w:val="000000"/>
                <w:sz w:val="24"/>
                <w:szCs w:val="24"/>
                <w:highlight w:val="none"/>
              </w:rPr>
              <w:t>执行数</w:t>
            </w:r>
          </w:p>
        </w:tc>
      </w:tr>
      <w:tr>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黑体" w:cs="Times New Roman"/>
                <w:b/>
                <w:color w:val="000000"/>
                <w:sz w:val="24"/>
                <w:szCs w:val="24"/>
                <w:highlight w:val="none"/>
              </w:rPr>
            </w:pPr>
            <w:r>
              <w:rPr>
                <w:rFonts w:hint="default" w:ascii="Times New Roman" w:hAnsi="Times New Roman" w:eastAsia="黑体" w:cs="Times New Roman"/>
                <w:b/>
                <w:color w:val="000000"/>
                <w:sz w:val="24"/>
                <w:szCs w:val="24"/>
                <w:highlight w:val="none"/>
              </w:rPr>
              <w:t>总  计</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黑体" w:cs="Times New Roman"/>
                <w:b/>
                <w:color w:val="000000"/>
                <w:sz w:val="24"/>
                <w:szCs w:val="24"/>
                <w:highlight w:val="none"/>
                <w:lang w:val="en-US" w:eastAsia="zh-CN"/>
              </w:rPr>
            </w:pPr>
            <w:r>
              <w:rPr>
                <w:rFonts w:hint="default" w:ascii="Times New Roman" w:hAnsi="Times New Roman" w:eastAsia="黑体" w:cs="Times New Roman"/>
                <w:b/>
                <w:color w:val="000000"/>
                <w:sz w:val="24"/>
                <w:szCs w:val="24"/>
                <w:highlight w:val="none"/>
                <w:lang w:val="en-US" w:eastAsia="zh-CN"/>
              </w:rPr>
              <w:t>2543.47</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黑体" w:cs="Times New Roman"/>
                <w:b/>
                <w:color w:val="000000"/>
                <w:sz w:val="24"/>
                <w:szCs w:val="24"/>
                <w:highlight w:val="none"/>
              </w:rPr>
            </w:pPr>
            <w:r>
              <w:rPr>
                <w:rFonts w:hint="default" w:ascii="Times New Roman" w:hAnsi="Times New Roman" w:eastAsia="黑体" w:cs="Times New Roman"/>
                <w:b/>
                <w:color w:val="000000"/>
                <w:sz w:val="24"/>
                <w:szCs w:val="24"/>
                <w:highlight w:val="none"/>
              </w:rPr>
              <w:t>总  计</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黑体" w:cs="Times New Roman"/>
                <w:bCs/>
                <w:color w:val="000000"/>
                <w:sz w:val="24"/>
                <w:szCs w:val="24"/>
                <w:highlight w:val="none"/>
                <w:lang w:val="en-US" w:eastAsia="zh-CN"/>
              </w:rPr>
            </w:pPr>
            <w:r>
              <w:rPr>
                <w:rFonts w:hint="default" w:ascii="Times New Roman" w:hAnsi="Times New Roman" w:eastAsia="黑体" w:cs="Times New Roman"/>
                <w:bCs/>
                <w:color w:val="000000"/>
                <w:sz w:val="24"/>
                <w:szCs w:val="24"/>
                <w:highlight w:val="none"/>
                <w:lang w:val="en-US" w:eastAsia="zh-CN"/>
              </w:rPr>
              <w:t>2543.47</w:t>
            </w:r>
          </w:p>
        </w:tc>
      </w:tr>
      <w:tr>
        <w:trPr>
          <w:trHeight w:val="500"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rPr>
            </w:pPr>
            <w:r>
              <w:rPr>
                <w:rFonts w:hint="default" w:ascii="Times New Roman" w:hAnsi="Times New Roman" w:eastAsia="黑体" w:cs="Times New Roman"/>
                <w:color w:val="000000"/>
                <w:kern w:val="0"/>
                <w:sz w:val="24"/>
                <w:szCs w:val="24"/>
                <w:highlight w:val="none"/>
              </w:rPr>
              <w:t>一、上级转移支付收入</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2543.47</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left"/>
              <w:textAlignment w:val="center"/>
              <w:rPr>
                <w:rFonts w:hint="default" w:ascii="Times New Roman" w:hAnsi="Times New Roman" w:eastAsia="宋体" w:cs="Times New Roman"/>
                <w:color w:val="000000"/>
                <w:sz w:val="24"/>
                <w:szCs w:val="24"/>
                <w:highlight w:val="none"/>
              </w:rPr>
            </w:pPr>
            <w:r>
              <w:rPr>
                <w:rFonts w:hint="default" w:ascii="Times New Roman" w:hAnsi="Times New Roman" w:eastAsia="黑体" w:cs="Times New Roman"/>
                <w:color w:val="000000"/>
                <w:kern w:val="0"/>
                <w:sz w:val="24"/>
                <w:szCs w:val="24"/>
                <w:highlight w:val="none"/>
              </w:rPr>
              <w:t>一、预算支出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2543.47</w:t>
            </w:r>
          </w:p>
        </w:tc>
      </w:tr>
      <w:tr>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textAlignment w:val="center"/>
              <w:rPr>
                <w:rFonts w:hint="default" w:ascii="Times New Roman" w:hAnsi="Times New Roman" w:eastAsia="方正仿宋_GBK" w:cs="Times New Roman"/>
                <w:color w:val="000000"/>
                <w:kern w:val="0"/>
                <w:sz w:val="24"/>
                <w:szCs w:val="24"/>
                <w:highlight w:val="none"/>
              </w:rPr>
            </w:pPr>
            <w:r>
              <w:rPr>
                <w:rFonts w:hint="default" w:ascii="Times New Roman" w:hAnsi="Times New Roman" w:eastAsia="方正仿宋_GBK" w:cs="Times New Roman"/>
                <w:color w:val="000000"/>
                <w:kern w:val="0"/>
                <w:sz w:val="24"/>
                <w:szCs w:val="24"/>
                <w:highlight w:val="none"/>
              </w:rPr>
              <w:t>一般性转移支付收入</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815.07</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rPr>
            </w:pPr>
            <w:r>
              <w:rPr>
                <w:rFonts w:hint="default" w:ascii="Times New Roman" w:hAnsi="Times New Roman" w:eastAsia="方正仿宋_GBK" w:cs="Times New Roman"/>
                <w:color w:val="000000"/>
                <w:kern w:val="0"/>
                <w:sz w:val="24"/>
                <w:szCs w:val="24"/>
                <w:highlight w:val="none"/>
              </w:rPr>
              <w:t>一般公共服务支出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427.78</w:t>
            </w:r>
          </w:p>
        </w:tc>
      </w:tr>
      <w:tr>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textAlignment w:val="center"/>
              <w:rPr>
                <w:rFonts w:hint="default" w:ascii="Times New Roman" w:hAnsi="Times New Roman" w:eastAsia="方正仿宋_GBK" w:cs="Times New Roman"/>
                <w:color w:val="000000"/>
                <w:kern w:val="0"/>
                <w:sz w:val="24"/>
                <w:szCs w:val="24"/>
                <w:highlight w:val="none"/>
                <w:lang w:val="en-US" w:eastAsia="zh-CN" w:bidi="ar-SA"/>
              </w:rPr>
            </w:pPr>
            <w:r>
              <w:rPr>
                <w:rFonts w:hint="default" w:ascii="Times New Roman" w:hAnsi="Times New Roman" w:eastAsia="方正仿宋_GBK" w:cs="Times New Roman"/>
                <w:color w:val="000000"/>
                <w:kern w:val="0"/>
                <w:sz w:val="24"/>
                <w:szCs w:val="24"/>
                <w:highlight w:val="none"/>
              </w:rPr>
              <w:t>专项转移支付收入</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1728.40</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lang w:eastAsia="zh-CN"/>
              </w:rPr>
            </w:pPr>
            <w:r>
              <w:rPr>
                <w:rFonts w:hint="default" w:ascii="Times New Roman" w:hAnsi="Times New Roman" w:eastAsia="方正仿宋_GBK" w:cs="Times New Roman"/>
                <w:color w:val="000000"/>
                <w:kern w:val="0"/>
                <w:sz w:val="24"/>
                <w:szCs w:val="24"/>
                <w:highlight w:val="none"/>
              </w:rPr>
              <w:t>文化体育与传媒支出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54.61</w:t>
            </w:r>
          </w:p>
        </w:tc>
      </w:tr>
      <w:tr>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黑体" w:cs="Times New Roman"/>
                <w:color w:val="000000"/>
                <w:kern w:val="0"/>
                <w:sz w:val="24"/>
                <w:szCs w:val="24"/>
                <w:highlight w:val="none"/>
              </w:rPr>
              <w:t>二、上年结转收入</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rPr>
              <w:t>0</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rPr>
            </w:pPr>
            <w:r>
              <w:rPr>
                <w:rFonts w:hint="default" w:ascii="Times New Roman" w:hAnsi="Times New Roman" w:eastAsia="方正仿宋_GBK" w:cs="Times New Roman"/>
                <w:color w:val="000000"/>
                <w:kern w:val="0"/>
                <w:sz w:val="24"/>
                <w:szCs w:val="24"/>
                <w:highlight w:val="none"/>
              </w:rPr>
              <w:t>社会保障和就业支出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196.33</w:t>
            </w:r>
          </w:p>
        </w:tc>
      </w:tr>
      <w:tr>
        <w:trPr>
          <w:trHeight w:val="536"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rPr>
            </w:pPr>
            <w:r>
              <w:rPr>
                <w:rFonts w:hint="default" w:ascii="Times New Roman" w:hAnsi="Times New Roman" w:eastAsia="方正仿宋_GBK" w:cs="Times New Roman"/>
                <w:color w:val="000000"/>
                <w:kern w:val="0"/>
                <w:sz w:val="24"/>
                <w:szCs w:val="24"/>
                <w:highlight w:val="none"/>
              </w:rPr>
              <w:t>卫生健康支出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50.68</w:t>
            </w:r>
          </w:p>
        </w:tc>
      </w:tr>
      <w:tr>
        <w:trPr>
          <w:trHeight w:val="90"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rPr>
            </w:pPr>
            <w:r>
              <w:rPr>
                <w:rFonts w:hint="default" w:ascii="Times New Roman" w:hAnsi="Times New Roman" w:eastAsia="方正仿宋_GBK" w:cs="Times New Roman"/>
                <w:color w:val="000000"/>
                <w:kern w:val="0"/>
                <w:sz w:val="24"/>
                <w:szCs w:val="24"/>
                <w:highlight w:val="none"/>
                <w:lang w:eastAsia="zh-CN"/>
              </w:rPr>
              <w:t>节能环保支出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4.56</w:t>
            </w:r>
          </w:p>
        </w:tc>
      </w:tr>
      <w:tr>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720" w:firstLineChars="300"/>
              <w:jc w:val="center"/>
              <w:textAlignment w:val="baseline"/>
              <w:rPr>
                <w:rFonts w:hint="default" w:ascii="Times New Roman" w:hAnsi="Times New Roman" w:eastAsia="宋体" w:cs="Times New Roman"/>
                <w:color w:val="000000"/>
                <w:sz w:val="24"/>
                <w:szCs w:val="24"/>
                <w:highlight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lang w:eastAsia="zh-CN"/>
              </w:rPr>
            </w:pPr>
            <w:r>
              <w:rPr>
                <w:rFonts w:hint="default" w:ascii="Times New Roman" w:hAnsi="Times New Roman" w:eastAsia="方正仿宋_GBK" w:cs="Times New Roman"/>
                <w:color w:val="000000"/>
                <w:kern w:val="0"/>
                <w:sz w:val="24"/>
                <w:szCs w:val="24"/>
                <w:highlight w:val="none"/>
              </w:rPr>
              <w:t>城乡社区支出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30</w:t>
            </w:r>
          </w:p>
        </w:tc>
      </w:tr>
      <w:tr>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720" w:firstLineChars="300"/>
              <w:jc w:val="center"/>
              <w:textAlignment w:val="baseline"/>
              <w:rPr>
                <w:rFonts w:hint="default" w:ascii="Times New Roman" w:hAnsi="Times New Roman" w:eastAsia="宋体" w:cs="Times New Roman"/>
                <w:color w:val="000000"/>
                <w:sz w:val="24"/>
                <w:szCs w:val="24"/>
                <w:highlight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rPr>
            </w:pPr>
            <w:r>
              <w:rPr>
                <w:rFonts w:hint="default" w:ascii="Times New Roman" w:hAnsi="Times New Roman" w:eastAsia="方正仿宋_GBK" w:cs="Times New Roman"/>
                <w:color w:val="000000"/>
                <w:kern w:val="0"/>
                <w:sz w:val="24"/>
                <w:szCs w:val="24"/>
                <w:highlight w:val="none"/>
              </w:rPr>
              <w:t>农林水支出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1696.46</w:t>
            </w:r>
          </w:p>
        </w:tc>
      </w:tr>
      <w:tr>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720" w:firstLineChars="300"/>
              <w:jc w:val="center"/>
              <w:textAlignment w:val="baseline"/>
              <w:rPr>
                <w:rFonts w:hint="default" w:ascii="Times New Roman" w:hAnsi="Times New Roman" w:eastAsia="宋体" w:cs="Times New Roman"/>
                <w:color w:val="000000"/>
                <w:sz w:val="24"/>
                <w:szCs w:val="24"/>
                <w:highlight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rPr>
            </w:pPr>
            <w:r>
              <w:rPr>
                <w:rFonts w:hint="default" w:ascii="Times New Roman" w:hAnsi="Times New Roman" w:eastAsia="方正仿宋_GBK" w:cs="Times New Roman"/>
                <w:color w:val="000000"/>
                <w:kern w:val="0"/>
                <w:sz w:val="24"/>
                <w:szCs w:val="24"/>
                <w:highlight w:val="none"/>
              </w:rPr>
              <w:t>住房保障支出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37.35</w:t>
            </w:r>
          </w:p>
        </w:tc>
      </w:tr>
      <w:tr>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lang w:eastAsia="zh-CN"/>
              </w:rPr>
            </w:pPr>
            <w:r>
              <w:rPr>
                <w:rFonts w:hint="default" w:ascii="Times New Roman" w:hAnsi="Times New Roman" w:eastAsia="方正仿宋_GBK" w:cs="Times New Roman"/>
                <w:color w:val="000000"/>
                <w:kern w:val="0"/>
                <w:sz w:val="24"/>
                <w:szCs w:val="24"/>
                <w:highlight w:val="none"/>
                <w:lang w:eastAsia="zh-CN"/>
              </w:rPr>
              <w:t>灾害防治及应急管理支出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25.70</w:t>
            </w:r>
          </w:p>
        </w:tc>
      </w:tr>
      <w:tr>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lang w:eastAsia="zh-CN"/>
              </w:rPr>
            </w:pPr>
            <w:r>
              <w:rPr>
                <w:rFonts w:hint="default" w:ascii="Times New Roman" w:hAnsi="Times New Roman" w:eastAsia="方正仿宋_GBK" w:cs="Times New Roman"/>
                <w:color w:val="000000"/>
                <w:kern w:val="0"/>
                <w:sz w:val="24"/>
                <w:szCs w:val="24"/>
                <w:highlight w:val="none"/>
              </w:rPr>
              <w:t>其他支出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20</w:t>
            </w:r>
          </w:p>
        </w:tc>
      </w:tr>
      <w:tr>
        <w:trPr>
          <w:trHeight w:val="557"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left"/>
              <w:textAlignment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二、</w:t>
            </w:r>
            <w:r>
              <w:rPr>
                <w:rFonts w:hint="default" w:ascii="Times New Roman" w:hAnsi="Times New Roman" w:eastAsia="黑体" w:cs="Times New Roman"/>
                <w:bCs/>
                <w:color w:val="000000"/>
                <w:sz w:val="24"/>
                <w:szCs w:val="24"/>
                <w:highlight w:val="none"/>
              </w:rPr>
              <w:t>结转下年支出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0</w:t>
            </w:r>
          </w:p>
        </w:tc>
      </w:tr>
    </w:tbl>
    <w:p>
      <w:pPr>
        <w:widowControl/>
        <w:spacing w:line="540" w:lineRule="exact"/>
        <w:textAlignment w:val="baseline"/>
        <w:rPr>
          <w:rFonts w:hint="default" w:ascii="Times New Roman" w:hAnsi="Times New Roman" w:eastAsia="方正仿宋_GBK" w:cs="Times New Roman"/>
          <w:color w:val="000000"/>
          <w:sz w:val="24"/>
          <w:szCs w:val="24"/>
          <w:highlight w:val="none"/>
        </w:rPr>
      </w:pPr>
    </w:p>
    <w:p>
      <w:pPr>
        <w:widowControl/>
        <w:spacing w:line="400" w:lineRule="exact"/>
        <w:ind w:firstLine="481" w:firstLineChars="200"/>
        <w:textAlignment w:val="baseline"/>
        <w:rPr>
          <w:rFonts w:hint="default" w:ascii="Times New Roman" w:hAnsi="Times New Roman" w:eastAsia="方正仿宋_GBK" w:cs="Times New Roman"/>
          <w:color w:val="000000"/>
          <w:sz w:val="24"/>
          <w:szCs w:val="24"/>
          <w:highlight w:val="none"/>
          <w:shd w:val="clear" w:color="auto" w:fill="FFFFFF"/>
        </w:rPr>
      </w:pPr>
      <w:r>
        <w:rPr>
          <w:rFonts w:hint="default" w:ascii="Times New Roman" w:hAnsi="Times New Roman" w:eastAsia="方正仿宋_GBK" w:cs="Times New Roman"/>
          <w:b/>
          <w:color w:val="000000"/>
          <w:sz w:val="24"/>
          <w:szCs w:val="24"/>
          <w:highlight w:val="none"/>
        </w:rPr>
        <w:t>注：</w:t>
      </w:r>
      <w:r>
        <w:rPr>
          <w:rFonts w:hint="default" w:ascii="Times New Roman" w:hAnsi="Times New Roman" w:eastAsia="方正仿宋_GBK" w:cs="Times New Roman"/>
          <w:color w:val="000000"/>
          <w:sz w:val="24"/>
          <w:szCs w:val="24"/>
          <w:highlight w:val="none"/>
          <w:shd w:val="clear" w:color="auto" w:fill="FFFFFF"/>
        </w:rPr>
        <w:t>由于决算尚未批复，上述数据可能会有变化，我们将根据决算办理情况及时向</w:t>
      </w:r>
      <w:r>
        <w:rPr>
          <w:rFonts w:hint="default" w:ascii="Times New Roman" w:hAnsi="Times New Roman" w:eastAsia="方正仿宋_GBK" w:cs="Times New Roman"/>
          <w:color w:val="000000"/>
          <w:sz w:val="24"/>
          <w:szCs w:val="24"/>
          <w:highlight w:val="none"/>
          <w:shd w:val="clear" w:color="auto" w:fill="FFFFFF"/>
          <w:lang w:eastAsia="zh-CN"/>
        </w:rPr>
        <w:t>镇</w:t>
      </w:r>
      <w:r>
        <w:rPr>
          <w:rFonts w:hint="default" w:ascii="Times New Roman" w:hAnsi="Times New Roman" w:eastAsia="方正仿宋_GBK" w:cs="Times New Roman"/>
          <w:color w:val="000000"/>
          <w:sz w:val="24"/>
          <w:szCs w:val="24"/>
          <w:highlight w:val="none"/>
          <w:shd w:val="clear" w:color="auto" w:fill="FFFFFF"/>
        </w:rPr>
        <w:t>人大报告。</w:t>
      </w:r>
    </w:p>
    <w:p>
      <w:pPr>
        <w:keepNext w:val="0"/>
        <w:keepLines w:val="0"/>
        <w:pageBreakBefore w:val="0"/>
        <w:widowControl/>
        <w:kinsoku/>
        <w:wordWrap/>
        <w:overflowPunct/>
        <w:topLinePunct w:val="0"/>
        <w:autoSpaceDE/>
        <w:autoSpaceDN/>
        <w:bidi w:val="0"/>
        <w:adjustRightInd/>
        <w:snapToGrid/>
        <w:spacing w:line="470" w:lineRule="exact"/>
        <w:ind w:firstLine="640" w:firstLineChars="200"/>
        <w:jc w:val="left"/>
        <w:textAlignment w:val="baseline"/>
        <w:rPr>
          <w:rFonts w:hint="default" w:ascii="Times New Roman" w:hAnsi="Times New Roman" w:eastAsia="方正黑体_GBK" w:cs="Times New Roman"/>
          <w:color w:val="000000"/>
          <w:sz w:val="32"/>
          <w:szCs w:val="32"/>
          <w:highlight w:val="none"/>
        </w:rPr>
      </w:pPr>
      <w:r>
        <w:rPr>
          <w:rFonts w:hint="default" w:ascii="Times New Roman" w:hAnsi="Times New Roman" w:eastAsia="方正黑体_GBK" w:cs="Times New Roman"/>
          <w:color w:val="000000"/>
          <w:sz w:val="32"/>
          <w:szCs w:val="32"/>
          <w:highlight w:val="none"/>
        </w:rPr>
        <w:t>二、202</w:t>
      </w:r>
      <w:r>
        <w:rPr>
          <w:rFonts w:hint="default" w:ascii="Times New Roman" w:hAnsi="Times New Roman" w:eastAsia="方正黑体_GBK" w:cs="Times New Roman"/>
          <w:color w:val="000000"/>
          <w:sz w:val="32"/>
          <w:szCs w:val="32"/>
          <w:highlight w:val="none"/>
          <w:lang w:val="en-US" w:eastAsia="zh-CN"/>
        </w:rPr>
        <w:t>6</w:t>
      </w:r>
      <w:r>
        <w:rPr>
          <w:rFonts w:hint="default" w:ascii="Times New Roman" w:hAnsi="Times New Roman" w:eastAsia="方正黑体_GBK" w:cs="Times New Roman"/>
          <w:color w:val="000000"/>
          <w:sz w:val="32"/>
          <w:szCs w:val="32"/>
          <w:highlight w:val="none"/>
        </w:rPr>
        <w:t>年财政预算草案</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rPr>
        <w:t>年</w:t>
      </w:r>
      <w:r>
        <w:rPr>
          <w:rFonts w:hint="default" w:ascii="Times New Roman" w:hAnsi="Times New Roman" w:eastAsia="方正仿宋_GBK" w:cs="Times New Roman"/>
          <w:color w:val="000000"/>
          <w:sz w:val="32"/>
          <w:szCs w:val="32"/>
          <w:highlight w:val="none"/>
          <w:lang w:eastAsia="zh-CN"/>
        </w:rPr>
        <w:t>，</w:t>
      </w:r>
      <w:r>
        <w:rPr>
          <w:rFonts w:hint="default" w:ascii="Times New Roman" w:hAnsi="Times New Roman" w:eastAsia="方正仿宋_GBK" w:cs="Times New Roman"/>
          <w:color w:val="000000"/>
          <w:sz w:val="32"/>
          <w:szCs w:val="32"/>
          <w:highlight w:val="none"/>
        </w:rPr>
        <w:t>我</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lang w:val="en-US" w:eastAsia="zh-CN"/>
        </w:rPr>
        <w:t>将</w:t>
      </w:r>
      <w:r>
        <w:rPr>
          <w:rFonts w:hint="default" w:ascii="Times New Roman" w:hAnsi="Times New Roman" w:eastAsia="方正仿宋_GBK" w:cs="Times New Roman"/>
          <w:color w:val="000000"/>
          <w:sz w:val="32"/>
          <w:szCs w:val="32"/>
          <w:highlight w:val="none"/>
        </w:rPr>
        <w:t>坚持稳中求进工作总基调，执行“规范透明、标准科学、约束有力、讲求绩效”的现代财政预算管理制度，坚持重点突出、增收节支、精打细算、有保有压，积极推进财政体制改革。积极服务和融入新发展格局，抢抓发展机遇，加快经济结构调整，促进发展方式转变，全力保障改善民生，更好统筹发展和安全，提高财政资金运行质量和效益，推动全</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经济社会</w:t>
      </w:r>
      <w:r>
        <w:rPr>
          <w:rFonts w:hint="default" w:ascii="Times New Roman" w:hAnsi="Times New Roman" w:eastAsia="方正仿宋_GBK" w:cs="Times New Roman"/>
          <w:color w:val="000000"/>
          <w:sz w:val="32"/>
          <w:szCs w:val="32"/>
          <w:highlight w:val="none"/>
          <w:lang w:eastAsia="zh-CN"/>
        </w:rPr>
        <w:t>高质量</w:t>
      </w:r>
      <w:r>
        <w:rPr>
          <w:rFonts w:hint="default" w:ascii="Times New Roman" w:hAnsi="Times New Roman" w:eastAsia="方正仿宋_GBK" w:cs="Times New Roman"/>
          <w:color w:val="000000"/>
          <w:sz w:val="32"/>
          <w:szCs w:val="32"/>
          <w:highlight w:val="none"/>
        </w:rPr>
        <w:t>发展。</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楷体_GBK" w:cs="Times New Roman"/>
          <w:color w:val="000000"/>
          <w:sz w:val="32"/>
          <w:szCs w:val="32"/>
          <w:highlight w:val="none"/>
        </w:rPr>
      </w:pPr>
      <w:r>
        <w:rPr>
          <w:rFonts w:hint="default" w:ascii="Times New Roman" w:hAnsi="Times New Roman" w:eastAsia="方正楷体_GBK" w:cs="Times New Roman"/>
          <w:color w:val="000000"/>
          <w:sz w:val="32"/>
          <w:szCs w:val="32"/>
          <w:highlight w:val="none"/>
        </w:rPr>
        <w:t>（一）202</w:t>
      </w:r>
      <w:r>
        <w:rPr>
          <w:rFonts w:hint="default" w:ascii="Times New Roman" w:hAnsi="Times New Roman" w:eastAsia="方正楷体_GBK" w:cs="Times New Roman"/>
          <w:color w:val="000000"/>
          <w:sz w:val="32"/>
          <w:szCs w:val="32"/>
          <w:highlight w:val="none"/>
          <w:lang w:val="en-US" w:eastAsia="zh-CN"/>
        </w:rPr>
        <w:t>6</w:t>
      </w:r>
      <w:r>
        <w:rPr>
          <w:rFonts w:hint="default" w:ascii="Times New Roman" w:hAnsi="Times New Roman" w:eastAsia="方正楷体_GBK" w:cs="Times New Roman"/>
          <w:color w:val="000000"/>
          <w:sz w:val="32"/>
          <w:szCs w:val="32"/>
          <w:highlight w:val="none"/>
        </w:rPr>
        <w:t>年一般公共预算收入草案</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lang w:eastAsia="zh-CN"/>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rPr>
        <w:t>年财政一般公共预算财政收入</w:t>
      </w:r>
      <w:r>
        <w:rPr>
          <w:rFonts w:hint="default" w:ascii="Times New Roman" w:hAnsi="Times New Roman" w:eastAsia="方正仿宋_GBK" w:cs="Times New Roman"/>
          <w:color w:val="000000"/>
          <w:sz w:val="32"/>
          <w:szCs w:val="32"/>
          <w:highlight w:val="none"/>
          <w:lang w:val="en-US" w:eastAsia="zh-CN"/>
        </w:rPr>
        <w:t>1070.43</w:t>
      </w:r>
      <w:r>
        <w:rPr>
          <w:rFonts w:hint="default" w:ascii="Times New Roman" w:hAnsi="Times New Roman" w:eastAsia="方正仿宋_GBK" w:cs="Times New Roman"/>
          <w:color w:val="000000"/>
          <w:sz w:val="32"/>
          <w:szCs w:val="32"/>
          <w:highlight w:val="none"/>
        </w:rPr>
        <w:t>万元，比上年</w:t>
      </w:r>
      <w:r>
        <w:rPr>
          <w:rFonts w:hint="default" w:ascii="Times New Roman" w:hAnsi="Times New Roman" w:eastAsia="方正仿宋_GBK" w:cs="Times New Roman"/>
          <w:color w:val="000000"/>
          <w:sz w:val="32"/>
          <w:szCs w:val="32"/>
          <w:highlight w:val="none"/>
          <w:lang w:eastAsia="zh-CN"/>
        </w:rPr>
        <w:t>增加</w:t>
      </w:r>
      <w:r>
        <w:rPr>
          <w:rFonts w:hint="default" w:ascii="Times New Roman" w:hAnsi="Times New Roman" w:eastAsia="方正仿宋_GBK" w:cs="Times New Roman"/>
          <w:color w:val="000000"/>
          <w:sz w:val="32"/>
          <w:szCs w:val="32"/>
          <w:highlight w:val="none"/>
          <w:lang w:val="en-US" w:eastAsia="zh-CN"/>
        </w:rPr>
        <w:t>75.48</w:t>
      </w:r>
      <w:r>
        <w:rPr>
          <w:rFonts w:hint="default" w:ascii="Times New Roman" w:hAnsi="Times New Roman" w:eastAsia="方正仿宋_GBK" w:cs="Times New Roman"/>
          <w:color w:val="000000"/>
          <w:sz w:val="32"/>
          <w:szCs w:val="32"/>
          <w:highlight w:val="none"/>
        </w:rPr>
        <w:t>万元，</w:t>
      </w:r>
      <w:r>
        <w:rPr>
          <w:rFonts w:hint="default" w:ascii="Times New Roman" w:hAnsi="Times New Roman" w:eastAsia="方正仿宋_GBK" w:cs="Times New Roman"/>
          <w:color w:val="000000"/>
          <w:sz w:val="32"/>
          <w:szCs w:val="32"/>
          <w:highlight w:val="none"/>
          <w:lang w:eastAsia="zh-CN"/>
        </w:rPr>
        <w:t>增长</w:t>
      </w:r>
      <w:r>
        <w:rPr>
          <w:rFonts w:hint="default" w:ascii="Times New Roman" w:hAnsi="Times New Roman" w:eastAsia="方正仿宋_GBK" w:cs="Times New Roman"/>
          <w:color w:val="000000"/>
          <w:sz w:val="32"/>
          <w:szCs w:val="32"/>
          <w:highlight w:val="none"/>
          <w:lang w:val="en-US" w:eastAsia="zh-CN"/>
        </w:rPr>
        <w:t>7.59</w:t>
      </w:r>
      <w:r>
        <w:rPr>
          <w:rFonts w:hint="default" w:ascii="Times New Roman" w:hAnsi="Times New Roman" w:eastAsia="方正仿宋_GBK" w:cs="Times New Roman"/>
          <w:color w:val="000000"/>
          <w:sz w:val="32"/>
          <w:szCs w:val="32"/>
          <w:highlight w:val="none"/>
        </w:rPr>
        <w:t>%</w:t>
      </w:r>
      <w:r>
        <w:rPr>
          <w:rFonts w:hint="default" w:ascii="Times New Roman" w:hAnsi="Times New Roman" w:eastAsia="方正仿宋_GBK" w:cs="Times New Roman"/>
          <w:color w:val="000000"/>
          <w:sz w:val="32"/>
          <w:szCs w:val="32"/>
          <w:highlight w:val="none"/>
          <w:lang w:eastAsia="zh-CN"/>
        </w:rPr>
        <w:t>。</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楷体_GBK" w:cs="Times New Roman"/>
          <w:color w:val="000000"/>
          <w:sz w:val="32"/>
          <w:szCs w:val="32"/>
          <w:highlight w:val="none"/>
        </w:rPr>
      </w:pPr>
      <w:r>
        <w:rPr>
          <w:rFonts w:hint="default" w:ascii="Times New Roman" w:hAnsi="Times New Roman" w:eastAsia="方正楷体_GBK" w:cs="Times New Roman"/>
          <w:color w:val="000000"/>
          <w:sz w:val="32"/>
          <w:szCs w:val="32"/>
          <w:highlight w:val="none"/>
        </w:rPr>
        <w:t>（二）202</w:t>
      </w:r>
      <w:r>
        <w:rPr>
          <w:rFonts w:hint="default" w:ascii="Times New Roman" w:hAnsi="Times New Roman" w:eastAsia="方正楷体_GBK" w:cs="Times New Roman"/>
          <w:color w:val="000000"/>
          <w:sz w:val="32"/>
          <w:szCs w:val="32"/>
          <w:highlight w:val="none"/>
          <w:lang w:val="en-US" w:eastAsia="zh-CN"/>
        </w:rPr>
        <w:t>6</w:t>
      </w:r>
      <w:r>
        <w:rPr>
          <w:rFonts w:hint="default" w:ascii="Times New Roman" w:hAnsi="Times New Roman" w:eastAsia="方正楷体_GBK" w:cs="Times New Roman"/>
          <w:color w:val="000000"/>
          <w:sz w:val="32"/>
          <w:szCs w:val="32"/>
          <w:highlight w:val="none"/>
        </w:rPr>
        <w:t>年一般公共预算支出草案</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根据一般公共预算安排情况，现已下达年初预算</w:t>
      </w:r>
      <w:r>
        <w:rPr>
          <w:rFonts w:hint="default" w:ascii="Times New Roman" w:hAnsi="Times New Roman" w:eastAsia="方正仿宋_GBK" w:cs="Times New Roman"/>
          <w:color w:val="000000"/>
          <w:sz w:val="32"/>
          <w:szCs w:val="32"/>
          <w:highlight w:val="none"/>
          <w:lang w:val="en-US" w:eastAsia="zh-CN"/>
        </w:rPr>
        <w:t>1070.43</w:t>
      </w:r>
      <w:r>
        <w:rPr>
          <w:rFonts w:hint="default" w:ascii="Times New Roman" w:hAnsi="Times New Roman" w:eastAsia="方正仿宋_GBK" w:cs="Times New Roman"/>
          <w:color w:val="000000"/>
          <w:sz w:val="32"/>
          <w:szCs w:val="32"/>
          <w:highlight w:val="none"/>
        </w:rPr>
        <w:t>万元，共计安排支出</w:t>
      </w:r>
      <w:r>
        <w:rPr>
          <w:rFonts w:hint="default" w:ascii="Times New Roman" w:hAnsi="Times New Roman" w:eastAsia="方正仿宋_GBK" w:cs="Times New Roman"/>
          <w:color w:val="000000"/>
          <w:sz w:val="32"/>
          <w:szCs w:val="32"/>
          <w:highlight w:val="none"/>
          <w:lang w:val="en-US" w:eastAsia="zh-CN"/>
        </w:rPr>
        <w:t>1070.43</w:t>
      </w:r>
      <w:r>
        <w:rPr>
          <w:rFonts w:hint="default" w:ascii="Times New Roman" w:hAnsi="Times New Roman" w:eastAsia="方正仿宋_GBK" w:cs="Times New Roman"/>
          <w:color w:val="000000"/>
          <w:sz w:val="32"/>
          <w:szCs w:val="32"/>
          <w:highlight w:val="none"/>
        </w:rPr>
        <w:t>万元。</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rPr>
        <w:t>一是</w:t>
      </w:r>
      <w:r>
        <w:rPr>
          <w:rFonts w:hint="default" w:ascii="Times New Roman" w:hAnsi="Times New Roman" w:eastAsia="方正仿宋_GBK" w:cs="Times New Roman"/>
          <w:color w:val="000000"/>
          <w:sz w:val="32"/>
          <w:szCs w:val="32"/>
          <w:highlight w:val="none"/>
        </w:rPr>
        <w:t>一般公共服务支出</w:t>
      </w:r>
      <w:r>
        <w:rPr>
          <w:rFonts w:hint="default" w:ascii="Times New Roman" w:hAnsi="Times New Roman" w:eastAsia="方正仿宋_GBK" w:cs="Times New Roman"/>
          <w:color w:val="000000"/>
          <w:sz w:val="32"/>
          <w:szCs w:val="32"/>
          <w:highlight w:val="none"/>
          <w:lang w:val="en-US" w:eastAsia="zh-CN"/>
        </w:rPr>
        <w:t>537.72</w:t>
      </w:r>
      <w:r>
        <w:rPr>
          <w:rFonts w:hint="default" w:ascii="Times New Roman" w:hAnsi="Times New Roman" w:eastAsia="方正仿宋_GBK" w:cs="Times New Roman"/>
          <w:color w:val="000000"/>
          <w:sz w:val="32"/>
          <w:szCs w:val="32"/>
          <w:highlight w:val="none"/>
        </w:rPr>
        <w:t>万元，主要用于保障机关财政供养人员的工资福利待遇、日常公用经费、遗属生活补助、40年农村老党员生活补助等。</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rPr>
        <w:t>二是</w:t>
      </w:r>
      <w:r>
        <w:rPr>
          <w:rFonts w:hint="default" w:ascii="Times New Roman" w:hAnsi="Times New Roman" w:eastAsia="方正仿宋_GBK" w:cs="Times New Roman"/>
          <w:color w:val="000000"/>
          <w:sz w:val="32"/>
          <w:szCs w:val="32"/>
          <w:highlight w:val="none"/>
        </w:rPr>
        <w:t>文化旅游体育与传媒支出</w:t>
      </w:r>
      <w:r>
        <w:rPr>
          <w:rFonts w:hint="default" w:ascii="Times New Roman" w:hAnsi="Times New Roman" w:eastAsia="方正仿宋_GBK" w:cs="Times New Roman"/>
          <w:color w:val="000000"/>
          <w:sz w:val="32"/>
          <w:szCs w:val="32"/>
          <w:highlight w:val="none"/>
          <w:lang w:val="en-US" w:eastAsia="zh-CN"/>
        </w:rPr>
        <w:t>48.72</w:t>
      </w:r>
      <w:r>
        <w:rPr>
          <w:rFonts w:hint="default" w:ascii="Times New Roman" w:hAnsi="Times New Roman" w:eastAsia="方正仿宋_GBK" w:cs="Times New Roman"/>
          <w:color w:val="000000"/>
          <w:sz w:val="32"/>
          <w:szCs w:val="32"/>
          <w:highlight w:val="none"/>
        </w:rPr>
        <w:t>万元，主要用于</w:t>
      </w:r>
      <w:r>
        <w:rPr>
          <w:rFonts w:hint="default" w:ascii="Times New Roman" w:hAnsi="Times New Roman" w:eastAsia="方正仿宋_GBK" w:cs="Times New Roman"/>
          <w:color w:val="000000"/>
          <w:sz w:val="32"/>
          <w:szCs w:val="32"/>
          <w:highlight w:val="none"/>
          <w:lang w:eastAsia="zh-CN"/>
        </w:rPr>
        <w:t>新时代文明实践</w:t>
      </w:r>
      <w:r>
        <w:rPr>
          <w:rFonts w:hint="default" w:ascii="Times New Roman" w:hAnsi="Times New Roman" w:eastAsia="方正仿宋_GBK" w:cs="Times New Roman"/>
          <w:color w:val="000000"/>
          <w:sz w:val="32"/>
          <w:szCs w:val="32"/>
          <w:highlight w:val="none"/>
        </w:rPr>
        <w:t>服务中心人员工资待遇。</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rPr>
        <w:t>三是</w:t>
      </w:r>
      <w:r>
        <w:rPr>
          <w:rFonts w:hint="default" w:ascii="Times New Roman" w:hAnsi="Times New Roman" w:eastAsia="方正仿宋_GBK" w:cs="Times New Roman"/>
          <w:color w:val="000000"/>
          <w:sz w:val="32"/>
          <w:szCs w:val="32"/>
          <w:highlight w:val="none"/>
        </w:rPr>
        <w:t>社会保障和就业支出</w:t>
      </w:r>
      <w:r>
        <w:rPr>
          <w:rFonts w:hint="default" w:ascii="Times New Roman" w:hAnsi="Times New Roman" w:eastAsia="方正仿宋_GBK" w:cs="Times New Roman"/>
          <w:color w:val="000000"/>
          <w:sz w:val="32"/>
          <w:szCs w:val="32"/>
          <w:highlight w:val="none"/>
          <w:lang w:val="en-US" w:eastAsia="zh-CN"/>
        </w:rPr>
        <w:t>197.87</w:t>
      </w:r>
      <w:r>
        <w:rPr>
          <w:rFonts w:hint="default" w:ascii="Times New Roman" w:hAnsi="Times New Roman" w:eastAsia="方正仿宋_GBK" w:cs="Times New Roman"/>
          <w:color w:val="000000"/>
          <w:sz w:val="32"/>
          <w:szCs w:val="32"/>
          <w:highlight w:val="none"/>
        </w:rPr>
        <w:t>万元，主要用于</w:t>
      </w:r>
      <w:r>
        <w:rPr>
          <w:rFonts w:hint="default" w:ascii="Times New Roman" w:hAnsi="Times New Roman" w:eastAsia="方正仿宋_GBK" w:cs="Times New Roman"/>
          <w:color w:val="000000"/>
          <w:sz w:val="32"/>
          <w:szCs w:val="32"/>
          <w:highlight w:val="none"/>
          <w:lang w:eastAsia="zh-CN"/>
        </w:rPr>
        <w:t>村镇建设服务中心</w:t>
      </w:r>
      <w:r>
        <w:rPr>
          <w:rFonts w:hint="default" w:ascii="Times New Roman" w:hAnsi="Times New Roman" w:eastAsia="方正仿宋_GBK" w:cs="Times New Roman"/>
          <w:color w:val="000000"/>
          <w:sz w:val="32"/>
          <w:szCs w:val="32"/>
          <w:highlight w:val="none"/>
        </w:rPr>
        <w:t>事业单位人员工资待遇和正常运转支出，退休人员健康休养费，用于基层政权和社区建设运转办公经费以及服务群众专项经费等支出。</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rPr>
        <w:t>四是</w:t>
      </w:r>
      <w:r>
        <w:rPr>
          <w:rFonts w:hint="default" w:ascii="Times New Roman" w:hAnsi="Times New Roman" w:eastAsia="方正仿宋_GBK" w:cs="Times New Roman"/>
          <w:color w:val="000000"/>
          <w:sz w:val="32"/>
          <w:szCs w:val="32"/>
          <w:highlight w:val="none"/>
        </w:rPr>
        <w:t>卫生健康支出</w:t>
      </w:r>
      <w:r>
        <w:rPr>
          <w:rFonts w:hint="default" w:ascii="Times New Roman" w:hAnsi="Times New Roman" w:eastAsia="方正仿宋_GBK" w:cs="Times New Roman"/>
          <w:color w:val="000000"/>
          <w:sz w:val="32"/>
          <w:szCs w:val="32"/>
          <w:highlight w:val="none"/>
          <w:lang w:val="en-US" w:eastAsia="zh-CN"/>
        </w:rPr>
        <w:t>36.33</w:t>
      </w:r>
      <w:r>
        <w:rPr>
          <w:rFonts w:hint="default" w:ascii="Times New Roman" w:hAnsi="Times New Roman" w:eastAsia="方正仿宋_GBK" w:cs="Times New Roman"/>
          <w:color w:val="000000"/>
          <w:sz w:val="32"/>
          <w:szCs w:val="32"/>
          <w:highlight w:val="none"/>
        </w:rPr>
        <w:t>万元，主要用于保障全乡财政供养人员的医疗保险、工伤保险等社会保障缴费支出。</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rPr>
        <w:t>五是</w:t>
      </w:r>
      <w:r>
        <w:rPr>
          <w:rFonts w:hint="default" w:ascii="Times New Roman" w:hAnsi="Times New Roman" w:eastAsia="方正仿宋_GBK" w:cs="Times New Roman"/>
          <w:color w:val="000000"/>
          <w:sz w:val="32"/>
          <w:szCs w:val="32"/>
          <w:highlight w:val="none"/>
        </w:rPr>
        <w:t>城乡社区支出30万元，主要用于城乡社区道路清扫、垃圾清运、电费缴纳等市政支出。</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rPr>
        <w:t>六是</w:t>
      </w:r>
      <w:r>
        <w:rPr>
          <w:rFonts w:hint="default" w:ascii="Times New Roman" w:hAnsi="Times New Roman" w:eastAsia="方正仿宋_GBK" w:cs="Times New Roman"/>
          <w:color w:val="000000"/>
          <w:sz w:val="32"/>
          <w:szCs w:val="32"/>
          <w:highlight w:val="none"/>
        </w:rPr>
        <w:t>农林水支出</w:t>
      </w:r>
      <w:r>
        <w:rPr>
          <w:rFonts w:hint="default" w:ascii="Times New Roman" w:hAnsi="Times New Roman" w:eastAsia="方正仿宋_GBK" w:cs="Times New Roman"/>
          <w:color w:val="000000"/>
          <w:sz w:val="32"/>
          <w:szCs w:val="32"/>
          <w:highlight w:val="none"/>
          <w:lang w:val="en-US" w:eastAsia="zh-CN"/>
        </w:rPr>
        <w:t>174.81</w:t>
      </w:r>
      <w:r>
        <w:rPr>
          <w:rFonts w:hint="default" w:ascii="Times New Roman" w:hAnsi="Times New Roman" w:eastAsia="方正仿宋_GBK" w:cs="Times New Roman"/>
          <w:color w:val="000000"/>
          <w:sz w:val="32"/>
          <w:szCs w:val="32"/>
          <w:highlight w:val="none"/>
        </w:rPr>
        <w:t>万元，主要用于保障</w:t>
      </w:r>
      <w:r>
        <w:rPr>
          <w:rFonts w:hint="default" w:ascii="Times New Roman" w:hAnsi="Times New Roman" w:eastAsia="方正仿宋_GBK" w:cs="Times New Roman"/>
          <w:color w:val="000000"/>
          <w:sz w:val="32"/>
          <w:szCs w:val="32"/>
          <w:highlight w:val="none"/>
          <w:lang w:eastAsia="zh-CN"/>
        </w:rPr>
        <w:t>产业发展服务中心</w:t>
      </w:r>
      <w:r>
        <w:rPr>
          <w:rFonts w:hint="default" w:ascii="Times New Roman" w:hAnsi="Times New Roman" w:eastAsia="方正仿宋_GBK" w:cs="Times New Roman"/>
          <w:color w:val="000000"/>
          <w:sz w:val="32"/>
          <w:szCs w:val="32"/>
          <w:highlight w:val="none"/>
        </w:rPr>
        <w:t>事业单位人员工资待遇；保障村民委员会村干部及本土人才的待遇、办公运转、驻村工作队工作经费。</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rPr>
        <w:t>七是</w:t>
      </w:r>
      <w:r>
        <w:rPr>
          <w:rFonts w:hint="default" w:ascii="Times New Roman" w:hAnsi="Times New Roman" w:eastAsia="方正仿宋_GBK" w:cs="Times New Roman"/>
          <w:color w:val="000000"/>
          <w:sz w:val="32"/>
          <w:szCs w:val="32"/>
          <w:highlight w:val="none"/>
        </w:rPr>
        <w:t>住房保障支出</w:t>
      </w:r>
      <w:r>
        <w:rPr>
          <w:rFonts w:hint="default" w:ascii="Times New Roman" w:hAnsi="Times New Roman" w:eastAsia="方正仿宋_GBK" w:cs="Times New Roman"/>
          <w:color w:val="000000"/>
          <w:sz w:val="32"/>
          <w:szCs w:val="32"/>
          <w:highlight w:val="none"/>
          <w:lang w:val="en-US" w:eastAsia="zh-CN"/>
        </w:rPr>
        <w:t>44.98</w:t>
      </w:r>
      <w:r>
        <w:rPr>
          <w:rFonts w:hint="default" w:ascii="Times New Roman" w:hAnsi="Times New Roman" w:eastAsia="方正仿宋_GBK" w:cs="Times New Roman"/>
          <w:color w:val="000000"/>
          <w:sz w:val="32"/>
          <w:szCs w:val="32"/>
          <w:highlight w:val="none"/>
        </w:rPr>
        <w:t>万元，主要用于缴纳机关行政事业人员单位部分住房公积金。</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以上财政预算是根据现行财政体制，按照“量入为出，收支平衡”的预算原则和上级有关政策要求作出的安排。</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黑体_GBK" w:cs="Times New Roman"/>
          <w:color w:val="000000"/>
          <w:sz w:val="32"/>
          <w:szCs w:val="32"/>
          <w:highlight w:val="none"/>
        </w:rPr>
      </w:pPr>
      <w:r>
        <w:rPr>
          <w:rFonts w:hint="default" w:ascii="Times New Roman" w:hAnsi="Times New Roman" w:eastAsia="方正黑体_GBK" w:cs="Times New Roman"/>
          <w:color w:val="000000"/>
          <w:sz w:val="32"/>
          <w:szCs w:val="32"/>
          <w:highlight w:val="none"/>
        </w:rPr>
        <w:t>三、202</w:t>
      </w:r>
      <w:r>
        <w:rPr>
          <w:rFonts w:hint="default" w:ascii="Times New Roman" w:hAnsi="Times New Roman" w:eastAsia="方正黑体_GBK" w:cs="Times New Roman"/>
          <w:color w:val="000000"/>
          <w:sz w:val="32"/>
          <w:szCs w:val="32"/>
          <w:highlight w:val="none"/>
          <w:lang w:val="en-US" w:eastAsia="zh-CN"/>
        </w:rPr>
        <w:t>6</w:t>
      </w:r>
      <w:r>
        <w:rPr>
          <w:rFonts w:hint="default" w:ascii="Times New Roman" w:hAnsi="Times New Roman" w:eastAsia="方正黑体_GBK" w:cs="Times New Roman"/>
          <w:color w:val="000000"/>
          <w:sz w:val="32"/>
          <w:szCs w:val="32"/>
          <w:highlight w:val="none"/>
        </w:rPr>
        <w:t>年财政工作重点</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楷体_GBK" w:cs="Times New Roman"/>
          <w:color w:val="000000"/>
          <w:sz w:val="32"/>
          <w:szCs w:val="32"/>
          <w:highlight w:val="none"/>
        </w:rPr>
      </w:pPr>
      <w:r>
        <w:rPr>
          <w:rFonts w:hint="default" w:ascii="Times New Roman" w:hAnsi="Times New Roman" w:eastAsia="方正楷体_GBK" w:cs="Times New Roman"/>
          <w:color w:val="000000"/>
          <w:sz w:val="32"/>
          <w:szCs w:val="32"/>
          <w:highlight w:val="none"/>
        </w:rPr>
        <w:t>（一）加强本级财源培植，增强经济发展后劲。</w:t>
      </w:r>
      <w:r>
        <w:rPr>
          <w:rFonts w:hint="default" w:ascii="Times New Roman" w:hAnsi="Times New Roman" w:eastAsia="方正仿宋_GBK" w:cs="Times New Roman"/>
          <w:color w:val="000000"/>
          <w:sz w:val="32"/>
          <w:szCs w:val="32"/>
          <w:highlight w:val="none"/>
        </w:rPr>
        <w:t>充分发挥财政政策、资金导向作用，激励实体经济和农村经济的发展，促进产业转型升级，提高经济增长质量，加快发展生态康养旅游产业。加强税收征管，拓宽非税收入渠道，增强财源建设的可持续性。加强基础设施建设，优化营商环境，争取上级财政部门支持，增强经济发展后劲，着力培育新的经济增长点。</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楷体_GBK" w:cs="Times New Roman"/>
          <w:color w:val="000000"/>
          <w:sz w:val="32"/>
          <w:szCs w:val="32"/>
          <w:highlight w:val="none"/>
        </w:rPr>
        <w:t>（二）深入落实政策支持，全面推进民生保障。</w:t>
      </w:r>
      <w:r>
        <w:rPr>
          <w:rFonts w:hint="default" w:ascii="Times New Roman" w:hAnsi="Times New Roman" w:eastAsia="方正仿宋_GBK" w:cs="Times New Roman"/>
          <w:color w:val="000000"/>
          <w:sz w:val="32"/>
          <w:szCs w:val="32"/>
          <w:highlight w:val="none"/>
        </w:rPr>
        <w:t>围绕公共财政建设目标，不断调整优化支出结构，加大对民生事业的投入，</w:t>
      </w:r>
      <w:bookmarkStart w:id="0" w:name="_GoBack"/>
      <w:r>
        <w:rPr>
          <w:rFonts w:hint="default" w:ascii="Times New Roman" w:hAnsi="Times New Roman" w:eastAsia="方正仿宋_GBK" w:cs="Times New Roman"/>
          <w:color w:val="000000"/>
          <w:sz w:val="32"/>
          <w:szCs w:val="32"/>
          <w:highlight w:val="none"/>
        </w:rPr>
        <w:t>巩固拓展脱贫攻坚成果</w:t>
      </w:r>
      <w:bookmarkEnd w:id="0"/>
      <w:r>
        <w:rPr>
          <w:rFonts w:hint="eastAsia" w:cs="Times New Roman"/>
          <w:color w:val="000000"/>
          <w:sz w:val="32"/>
          <w:szCs w:val="32"/>
          <w:highlight w:val="none"/>
          <w:lang w:eastAsia="zh-CN"/>
        </w:rPr>
        <w:t>同</w:t>
      </w:r>
      <w:r>
        <w:rPr>
          <w:rFonts w:hint="default" w:ascii="Times New Roman" w:hAnsi="Times New Roman" w:eastAsia="方正仿宋_GBK" w:cs="Times New Roman"/>
          <w:color w:val="000000"/>
          <w:sz w:val="32"/>
          <w:szCs w:val="32"/>
          <w:highlight w:val="none"/>
        </w:rPr>
        <w:t>乡村振兴有效衔接，持续补齐公共服务短板。加强财政政策与产业发展的协同，落实好财政惠农政策，优先解决广大群众最迫切、最需要解决的民生问题。注重民生福祉，确保农村低保、特困、优抚、社会救助等各项惠民资金的到位和发放，保障社会事业协调发展。</w:t>
      </w:r>
    </w:p>
    <w:p>
      <w:pPr>
        <w:keepNext w:val="0"/>
        <w:keepLines w:val="0"/>
        <w:pageBreakBefore w:val="0"/>
        <w:widowControl/>
        <w:kinsoku/>
        <w:wordWrap/>
        <w:overflowPunct/>
        <w:topLinePunct w:val="0"/>
        <w:autoSpaceDE/>
        <w:autoSpaceDN/>
        <w:bidi w:val="0"/>
        <w:adjustRightInd/>
        <w:snapToGrid/>
        <w:spacing w:line="470" w:lineRule="exact"/>
        <w:ind w:firstLine="627" w:firstLineChars="196"/>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楷体_GBK" w:cs="Times New Roman"/>
          <w:color w:val="000000"/>
          <w:sz w:val="32"/>
          <w:szCs w:val="32"/>
          <w:highlight w:val="none"/>
        </w:rPr>
        <w:t>（三）深化财政体制改革，提高预算管理绩效。</w:t>
      </w:r>
      <w:r>
        <w:rPr>
          <w:rFonts w:hint="default" w:ascii="Times New Roman" w:hAnsi="Times New Roman" w:eastAsia="方正仿宋_GBK" w:cs="Times New Roman"/>
          <w:color w:val="000000"/>
          <w:sz w:val="32"/>
          <w:szCs w:val="32"/>
          <w:highlight w:val="none"/>
        </w:rPr>
        <w:t>积极落实推进“三攻坚一盘活”改革突破，规范有序盘活辖区国有资产，发挥资产最大效益，推动建立政府和社会资本合作新机制，全力扩大有效投资。做好年度预算管理，严格控制“三公”经费支出，严格执行财政财务管理制度，严格财务审批流程，做好预算信息公开，推进内部控制体系建设。优化完善工程建设项目管理领导小组运行机制。有效防范和化解债务风险，提高财政资金使用绩效。严肃财经纪律，完善事前预警、事中监督和事后评价相协调的监督机制，确保财政资金安全高效。</w:t>
      </w:r>
    </w:p>
    <w:p>
      <w:pPr>
        <w:keepNext w:val="0"/>
        <w:keepLines w:val="0"/>
        <w:pageBreakBefore w:val="0"/>
        <w:widowControl/>
        <w:kinsoku/>
        <w:wordWrap/>
        <w:overflowPunct/>
        <w:topLinePunct w:val="0"/>
        <w:autoSpaceDE/>
        <w:autoSpaceDN/>
        <w:bidi w:val="0"/>
        <w:adjustRightInd/>
        <w:snapToGrid/>
        <w:spacing w:line="470" w:lineRule="exact"/>
        <w:ind w:firstLine="627" w:firstLineChars="196"/>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楷体_GBK" w:cs="Times New Roman"/>
          <w:color w:val="000000"/>
          <w:sz w:val="32"/>
          <w:szCs w:val="32"/>
          <w:highlight w:val="none"/>
        </w:rPr>
        <w:t>（四）防范化解风险隐患，确保平稳健康发展。</w:t>
      </w:r>
      <w:r>
        <w:rPr>
          <w:rFonts w:hint="default" w:ascii="Times New Roman" w:hAnsi="Times New Roman" w:eastAsia="方正仿宋_GBK" w:cs="Times New Roman"/>
          <w:color w:val="000000"/>
          <w:sz w:val="32"/>
          <w:szCs w:val="32"/>
          <w:highlight w:val="none"/>
        </w:rPr>
        <w:t>认真贯彻各项财经法规，不断提高财政依法行政、依法理财能力。全面履行党风廉政建设主体责任和“一岗双责”，规范财政秩序，加强资金监督，确保财政收支平衡，稳妥化解存量债务。深入贯彻落实中央八项规定及其实施细则精神和市委、县委实施意见，牢固树立过“紧日子”思想，发扬艰苦奋斗、勤俭节约优良作风。持续加强财务人员业务提升和能力建设，构建规范高效、运转有序的财政服务体系，不断提升财政治理效能。</w:t>
      </w:r>
    </w:p>
    <w:p>
      <w:pPr>
        <w:keepNext w:val="0"/>
        <w:keepLines w:val="0"/>
        <w:pageBreakBefore w:val="0"/>
        <w:widowControl w:val="0"/>
        <w:kinsoku/>
        <w:wordWrap/>
        <w:overflowPunct/>
        <w:topLinePunct w:val="0"/>
        <w:autoSpaceDE/>
        <w:autoSpaceDN/>
        <w:bidi w:val="0"/>
        <w:adjustRightInd/>
        <w:snapToGrid/>
        <w:spacing w:line="470" w:lineRule="exact"/>
        <w:ind w:firstLine="640" w:firstLineChars="200"/>
        <w:jc w:val="left"/>
        <w:textAlignment w:val="auto"/>
        <w:rPr>
          <w:rStyle w:val="7"/>
          <w:rFonts w:hint="default" w:ascii="Times New Roman" w:hAnsi="Times New Roman" w:eastAsia="方正楷体_GBK" w:cs="Times New Roman"/>
          <w:color w:val="000000"/>
          <w:kern w:val="0"/>
          <w:sz w:val="32"/>
          <w:szCs w:val="32"/>
        </w:rPr>
      </w:pPr>
      <w:r>
        <w:rPr>
          <w:rFonts w:hint="default" w:ascii="Times New Roman" w:hAnsi="Times New Roman" w:eastAsia="方正仿宋_GBK" w:cs="Times New Roman"/>
          <w:color w:val="000000"/>
          <w:sz w:val="32"/>
          <w:szCs w:val="32"/>
          <w:highlight w:val="none"/>
        </w:rPr>
        <w:t>各位代表！202</w:t>
      </w:r>
      <w:r>
        <w:rPr>
          <w:rFonts w:hint="default"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rPr>
        <w:t>年是“十</w:t>
      </w:r>
      <w:r>
        <w:rPr>
          <w:rFonts w:hint="default" w:ascii="Times New Roman" w:hAnsi="Times New Roman" w:eastAsia="方正仿宋_GBK" w:cs="Times New Roman"/>
          <w:color w:val="000000"/>
          <w:sz w:val="32"/>
          <w:szCs w:val="32"/>
          <w:highlight w:val="none"/>
          <w:lang w:eastAsia="zh-CN"/>
        </w:rPr>
        <w:t>五</w:t>
      </w:r>
      <w:r>
        <w:rPr>
          <w:rFonts w:hint="default" w:ascii="Times New Roman" w:hAnsi="Times New Roman" w:eastAsia="方正仿宋_GBK" w:cs="Times New Roman"/>
          <w:color w:val="000000"/>
          <w:sz w:val="32"/>
          <w:szCs w:val="32"/>
          <w:highlight w:val="none"/>
        </w:rPr>
        <w:t>五”规划的</w:t>
      </w:r>
      <w:r>
        <w:rPr>
          <w:rFonts w:hint="default" w:ascii="Times New Roman" w:hAnsi="Times New Roman" w:eastAsia="方正仿宋_GBK" w:cs="Times New Roman"/>
          <w:color w:val="000000"/>
          <w:sz w:val="32"/>
          <w:szCs w:val="32"/>
          <w:highlight w:val="none"/>
          <w:lang w:eastAsia="zh-CN"/>
        </w:rPr>
        <w:t>开局</w:t>
      </w:r>
      <w:r>
        <w:rPr>
          <w:rFonts w:hint="default" w:ascii="Times New Roman" w:hAnsi="Times New Roman" w:eastAsia="方正仿宋_GBK" w:cs="Times New Roman"/>
          <w:color w:val="000000"/>
          <w:sz w:val="32"/>
          <w:szCs w:val="32"/>
          <w:highlight w:val="none"/>
        </w:rPr>
        <w:t>之年，</w:t>
      </w:r>
      <w:r>
        <w:rPr>
          <w:rFonts w:hint="default" w:ascii="Times New Roman" w:hAnsi="Times New Roman" w:eastAsia="方正仿宋_GBK" w:cs="Times New Roman"/>
          <w:color w:val="000000"/>
          <w:sz w:val="32"/>
          <w:szCs w:val="32"/>
          <w:highlight w:val="none"/>
          <w:lang w:eastAsia="zh-CN"/>
        </w:rPr>
        <w:t>做好财政工作责任重大、使命光荣。</w:t>
      </w:r>
      <w:r>
        <w:rPr>
          <w:rFonts w:hint="default" w:ascii="Times New Roman" w:hAnsi="Times New Roman" w:eastAsia="方正仿宋_GBK" w:cs="Times New Roman"/>
          <w:color w:val="000000"/>
          <w:sz w:val="32"/>
          <w:szCs w:val="32"/>
          <w:highlight w:val="none"/>
        </w:rPr>
        <w:t>我们将</w:t>
      </w:r>
      <w:r>
        <w:rPr>
          <w:rFonts w:hint="default" w:ascii="Times New Roman" w:hAnsi="Times New Roman" w:eastAsia="方正仿宋_GBK" w:cs="Times New Roman"/>
          <w:color w:val="000000"/>
          <w:sz w:val="32"/>
          <w:szCs w:val="32"/>
          <w:highlight w:val="none"/>
          <w:lang w:eastAsia="zh-CN"/>
        </w:rPr>
        <w:t>在镇党委</w:t>
      </w:r>
      <w:r>
        <w:rPr>
          <w:rFonts w:hint="default" w:ascii="Times New Roman" w:hAnsi="Times New Roman" w:eastAsia="方正仿宋_GBK" w:cs="Times New Roman"/>
          <w:color w:val="000000"/>
          <w:sz w:val="32"/>
          <w:szCs w:val="32"/>
          <w:highlight w:val="none"/>
          <w:lang w:val="en-US" w:eastAsia="zh-CN"/>
        </w:rPr>
        <w:t>的</w:t>
      </w:r>
      <w:r>
        <w:rPr>
          <w:rFonts w:hint="default" w:ascii="Times New Roman" w:hAnsi="Times New Roman" w:eastAsia="方正仿宋_GBK" w:cs="Times New Roman"/>
          <w:color w:val="000000"/>
          <w:sz w:val="32"/>
          <w:szCs w:val="32"/>
          <w:highlight w:val="none"/>
          <w:lang w:eastAsia="zh-CN"/>
        </w:rPr>
        <w:t>坚强领导下，自觉接受人大监督，虚心听取意见建议，攻坚克难、真抓实干、</w:t>
      </w:r>
      <w:r>
        <w:rPr>
          <w:rFonts w:hint="default" w:ascii="Times New Roman" w:hAnsi="Times New Roman" w:eastAsia="方正仿宋_GBK" w:cs="Times New Roman"/>
          <w:snapToGrid/>
          <w:color w:val="000000"/>
          <w:kern w:val="2"/>
          <w:sz w:val="32"/>
          <w:szCs w:val="32"/>
          <w:highlight w:val="none"/>
          <w:lang w:eastAsia="zh-CN"/>
        </w:rPr>
        <w:t>不断提升财政工作质效，</w:t>
      </w:r>
      <w:r>
        <w:rPr>
          <w:rFonts w:hint="default" w:ascii="Times New Roman" w:hAnsi="Times New Roman" w:eastAsia="方正仿宋_GBK" w:cs="Times New Roman"/>
          <w:color w:val="000000"/>
          <w:sz w:val="32"/>
          <w:szCs w:val="32"/>
          <w:highlight w:val="none"/>
          <w:lang w:eastAsia="zh-CN"/>
        </w:rPr>
        <w:t>为推动北屏经济社会高质量发展、增进民生福祉作出新的更大贡献！</w:t>
      </w:r>
    </w:p>
    <w:p/>
    <w:sectPr>
      <w:footerReference r:id="rId3" w:type="default"/>
      <w:pgSz w:w="11906" w:h="16838"/>
      <w:pgMar w:top="1701" w:right="1588" w:bottom="170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795207"/>
    </w:sdtPr>
    <w:sdtEndPr>
      <w:rPr>
        <w:rFonts w:asciiTheme="minorEastAsia" w:hAnsiTheme="minorEastAsia" w:eastAsiaTheme="minorEastAsia"/>
        <w:sz w:val="28"/>
        <w:szCs w:val="28"/>
      </w:rPr>
    </w:sdtEndPr>
    <w:sdtContent>
      <w:p>
        <w:pPr>
          <w:pStyle w:val="3"/>
          <w:jc w:val="center"/>
        </w:pPr>
        <w:r>
          <w:rPr>
            <w:rFonts w:hint="eastAsia"/>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9</w:t>
        </w:r>
        <w:r>
          <w:rPr>
            <w:rFonts w:asciiTheme="minorEastAsia" w:hAnsiTheme="minorEastAsia" w:eastAsiaTheme="minorEastAsia"/>
            <w:sz w:val="28"/>
            <w:szCs w:val="28"/>
          </w:rPr>
          <w:fldChar w:fldCharType="end"/>
        </w:r>
        <w:r>
          <w:rPr>
            <w:rFonts w:hint="eastAsia"/>
          </w:rPr>
          <w:t>—</w:t>
        </w:r>
      </w:p>
    </w:sdtContent>
  </w:sdt>
  <w:p>
    <w:pPr>
      <w:pStyle w:val="9"/>
      <w:rPr>
        <w:rStyle w:val="7"/>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yYjA0MzIxMjBmY2ViM2UzZmQ2MzJlNTdhNzI2NjkifQ=="/>
  </w:docVars>
  <w:rsids>
    <w:rsidRoot w:val="00440E8F"/>
    <w:rsid w:val="000006A6"/>
    <w:rsid w:val="0000366B"/>
    <w:rsid w:val="00006D87"/>
    <w:rsid w:val="000101B0"/>
    <w:rsid w:val="000103C0"/>
    <w:rsid w:val="00013E9C"/>
    <w:rsid w:val="000144CC"/>
    <w:rsid w:val="00016F06"/>
    <w:rsid w:val="000172AE"/>
    <w:rsid w:val="0002284D"/>
    <w:rsid w:val="0002679E"/>
    <w:rsid w:val="00027D7A"/>
    <w:rsid w:val="00030D55"/>
    <w:rsid w:val="00033DB7"/>
    <w:rsid w:val="00033EF8"/>
    <w:rsid w:val="00036726"/>
    <w:rsid w:val="00051430"/>
    <w:rsid w:val="0005466F"/>
    <w:rsid w:val="00057AEB"/>
    <w:rsid w:val="00057C5B"/>
    <w:rsid w:val="00057D9A"/>
    <w:rsid w:val="00060B7B"/>
    <w:rsid w:val="000619B4"/>
    <w:rsid w:val="000620A0"/>
    <w:rsid w:val="000658B3"/>
    <w:rsid w:val="00066194"/>
    <w:rsid w:val="000666BD"/>
    <w:rsid w:val="00066A9B"/>
    <w:rsid w:val="000737DB"/>
    <w:rsid w:val="00075E6C"/>
    <w:rsid w:val="00081324"/>
    <w:rsid w:val="00081E32"/>
    <w:rsid w:val="00083F6B"/>
    <w:rsid w:val="00086FC7"/>
    <w:rsid w:val="00087C63"/>
    <w:rsid w:val="000961B0"/>
    <w:rsid w:val="000A5220"/>
    <w:rsid w:val="000A6261"/>
    <w:rsid w:val="000B5E3F"/>
    <w:rsid w:val="000C53A0"/>
    <w:rsid w:val="000D6868"/>
    <w:rsid w:val="000E060F"/>
    <w:rsid w:val="000E092D"/>
    <w:rsid w:val="000E0CFE"/>
    <w:rsid w:val="000E698D"/>
    <w:rsid w:val="000F13F1"/>
    <w:rsid w:val="000F2133"/>
    <w:rsid w:val="000F258D"/>
    <w:rsid w:val="000F2D82"/>
    <w:rsid w:val="000F6D70"/>
    <w:rsid w:val="00102607"/>
    <w:rsid w:val="00103255"/>
    <w:rsid w:val="00104012"/>
    <w:rsid w:val="0010656A"/>
    <w:rsid w:val="00110252"/>
    <w:rsid w:val="00113435"/>
    <w:rsid w:val="00114649"/>
    <w:rsid w:val="00116FD9"/>
    <w:rsid w:val="00117180"/>
    <w:rsid w:val="00124B8F"/>
    <w:rsid w:val="00126A9B"/>
    <w:rsid w:val="001304FA"/>
    <w:rsid w:val="00131542"/>
    <w:rsid w:val="00134022"/>
    <w:rsid w:val="001343B7"/>
    <w:rsid w:val="00135E92"/>
    <w:rsid w:val="00143B62"/>
    <w:rsid w:val="00144A5B"/>
    <w:rsid w:val="00147879"/>
    <w:rsid w:val="001504AA"/>
    <w:rsid w:val="00151EF6"/>
    <w:rsid w:val="001547F2"/>
    <w:rsid w:val="0015547F"/>
    <w:rsid w:val="00156CD7"/>
    <w:rsid w:val="00157620"/>
    <w:rsid w:val="00167675"/>
    <w:rsid w:val="00167ABF"/>
    <w:rsid w:val="001803B7"/>
    <w:rsid w:val="0018042E"/>
    <w:rsid w:val="0018191D"/>
    <w:rsid w:val="001835F3"/>
    <w:rsid w:val="00185050"/>
    <w:rsid w:val="001907FE"/>
    <w:rsid w:val="001945CE"/>
    <w:rsid w:val="001A0A14"/>
    <w:rsid w:val="001A4AB3"/>
    <w:rsid w:val="001A6AE6"/>
    <w:rsid w:val="001B1AFE"/>
    <w:rsid w:val="001B380C"/>
    <w:rsid w:val="001B4C6A"/>
    <w:rsid w:val="001C15DB"/>
    <w:rsid w:val="001C464A"/>
    <w:rsid w:val="001C4D70"/>
    <w:rsid w:val="001C4E6B"/>
    <w:rsid w:val="001C757E"/>
    <w:rsid w:val="001D270A"/>
    <w:rsid w:val="001D5BAC"/>
    <w:rsid w:val="001D72CE"/>
    <w:rsid w:val="001E1111"/>
    <w:rsid w:val="001E20B7"/>
    <w:rsid w:val="001E2329"/>
    <w:rsid w:val="001E4A6F"/>
    <w:rsid w:val="001E55F9"/>
    <w:rsid w:val="001F0BD9"/>
    <w:rsid w:val="001F34CE"/>
    <w:rsid w:val="001F5855"/>
    <w:rsid w:val="001F7C22"/>
    <w:rsid w:val="00200E8F"/>
    <w:rsid w:val="002024E5"/>
    <w:rsid w:val="00205143"/>
    <w:rsid w:val="00205D37"/>
    <w:rsid w:val="00211970"/>
    <w:rsid w:val="00215D26"/>
    <w:rsid w:val="00220971"/>
    <w:rsid w:val="0022208C"/>
    <w:rsid w:val="00222C13"/>
    <w:rsid w:val="0022375C"/>
    <w:rsid w:val="002239D4"/>
    <w:rsid w:val="002255B1"/>
    <w:rsid w:val="00225C11"/>
    <w:rsid w:val="002262C2"/>
    <w:rsid w:val="00233BA0"/>
    <w:rsid w:val="002341A5"/>
    <w:rsid w:val="002352EB"/>
    <w:rsid w:val="00235BE6"/>
    <w:rsid w:val="00236913"/>
    <w:rsid w:val="0023718B"/>
    <w:rsid w:val="002375E5"/>
    <w:rsid w:val="0024086E"/>
    <w:rsid w:val="00241004"/>
    <w:rsid w:val="00242304"/>
    <w:rsid w:val="002443EE"/>
    <w:rsid w:val="0024528C"/>
    <w:rsid w:val="00245811"/>
    <w:rsid w:val="00246270"/>
    <w:rsid w:val="00250364"/>
    <w:rsid w:val="00253FC1"/>
    <w:rsid w:val="0026614D"/>
    <w:rsid w:val="002667EB"/>
    <w:rsid w:val="00270508"/>
    <w:rsid w:val="00271811"/>
    <w:rsid w:val="002719C5"/>
    <w:rsid w:val="00272155"/>
    <w:rsid w:val="002724B8"/>
    <w:rsid w:val="002776FF"/>
    <w:rsid w:val="00283CE2"/>
    <w:rsid w:val="00284910"/>
    <w:rsid w:val="002877AC"/>
    <w:rsid w:val="0029198F"/>
    <w:rsid w:val="00294C93"/>
    <w:rsid w:val="002A2E05"/>
    <w:rsid w:val="002A41B4"/>
    <w:rsid w:val="002A4FF8"/>
    <w:rsid w:val="002A5A87"/>
    <w:rsid w:val="002B0016"/>
    <w:rsid w:val="002B0035"/>
    <w:rsid w:val="002B10EE"/>
    <w:rsid w:val="002B2688"/>
    <w:rsid w:val="002B34D4"/>
    <w:rsid w:val="002C2B50"/>
    <w:rsid w:val="002C3328"/>
    <w:rsid w:val="002C386A"/>
    <w:rsid w:val="002C4200"/>
    <w:rsid w:val="002C460B"/>
    <w:rsid w:val="002C776D"/>
    <w:rsid w:val="002C7BBD"/>
    <w:rsid w:val="002C7BEC"/>
    <w:rsid w:val="002D1841"/>
    <w:rsid w:val="002D35D1"/>
    <w:rsid w:val="002E21FE"/>
    <w:rsid w:val="002E281F"/>
    <w:rsid w:val="002E2AA7"/>
    <w:rsid w:val="002F28D6"/>
    <w:rsid w:val="002F38F1"/>
    <w:rsid w:val="002F55BD"/>
    <w:rsid w:val="003001BD"/>
    <w:rsid w:val="00303ACA"/>
    <w:rsid w:val="0030643F"/>
    <w:rsid w:val="00307A95"/>
    <w:rsid w:val="00311A71"/>
    <w:rsid w:val="00313292"/>
    <w:rsid w:val="00315362"/>
    <w:rsid w:val="003226EA"/>
    <w:rsid w:val="00324BF8"/>
    <w:rsid w:val="0032690B"/>
    <w:rsid w:val="00331275"/>
    <w:rsid w:val="00331E45"/>
    <w:rsid w:val="00333D08"/>
    <w:rsid w:val="003343E4"/>
    <w:rsid w:val="00334E03"/>
    <w:rsid w:val="00335B29"/>
    <w:rsid w:val="0034088A"/>
    <w:rsid w:val="003540C5"/>
    <w:rsid w:val="00360FBE"/>
    <w:rsid w:val="0036348B"/>
    <w:rsid w:val="0036611E"/>
    <w:rsid w:val="003700FD"/>
    <w:rsid w:val="003776DC"/>
    <w:rsid w:val="00377B61"/>
    <w:rsid w:val="00381469"/>
    <w:rsid w:val="00382A4B"/>
    <w:rsid w:val="003838A8"/>
    <w:rsid w:val="00383BC7"/>
    <w:rsid w:val="0039097C"/>
    <w:rsid w:val="00392ADA"/>
    <w:rsid w:val="00395E60"/>
    <w:rsid w:val="00396E38"/>
    <w:rsid w:val="003974C4"/>
    <w:rsid w:val="003A218E"/>
    <w:rsid w:val="003B0420"/>
    <w:rsid w:val="003B0637"/>
    <w:rsid w:val="003B0BDA"/>
    <w:rsid w:val="003B29B0"/>
    <w:rsid w:val="003B309E"/>
    <w:rsid w:val="003B313D"/>
    <w:rsid w:val="003B48E7"/>
    <w:rsid w:val="003B5D53"/>
    <w:rsid w:val="003B7777"/>
    <w:rsid w:val="003C6A46"/>
    <w:rsid w:val="003C71D3"/>
    <w:rsid w:val="003C797C"/>
    <w:rsid w:val="003D0731"/>
    <w:rsid w:val="003D0860"/>
    <w:rsid w:val="003D215D"/>
    <w:rsid w:val="003D551F"/>
    <w:rsid w:val="003E46AB"/>
    <w:rsid w:val="003E502F"/>
    <w:rsid w:val="003E5273"/>
    <w:rsid w:val="003E54A0"/>
    <w:rsid w:val="003E76F1"/>
    <w:rsid w:val="003F0280"/>
    <w:rsid w:val="003F485D"/>
    <w:rsid w:val="00405F71"/>
    <w:rsid w:val="0040711D"/>
    <w:rsid w:val="00413A2D"/>
    <w:rsid w:val="00414120"/>
    <w:rsid w:val="00422B67"/>
    <w:rsid w:val="0042428C"/>
    <w:rsid w:val="00431AAA"/>
    <w:rsid w:val="00432AB1"/>
    <w:rsid w:val="00432EEE"/>
    <w:rsid w:val="004344B1"/>
    <w:rsid w:val="00434AF7"/>
    <w:rsid w:val="00436A3A"/>
    <w:rsid w:val="00436AE1"/>
    <w:rsid w:val="00436D73"/>
    <w:rsid w:val="00440E8F"/>
    <w:rsid w:val="00443AEC"/>
    <w:rsid w:val="00457BCA"/>
    <w:rsid w:val="00463675"/>
    <w:rsid w:val="004646CB"/>
    <w:rsid w:val="004759E3"/>
    <w:rsid w:val="00481479"/>
    <w:rsid w:val="00481B22"/>
    <w:rsid w:val="00485422"/>
    <w:rsid w:val="004879CC"/>
    <w:rsid w:val="00487F8E"/>
    <w:rsid w:val="00491B1E"/>
    <w:rsid w:val="00492117"/>
    <w:rsid w:val="00492B78"/>
    <w:rsid w:val="00497AC4"/>
    <w:rsid w:val="004A38DC"/>
    <w:rsid w:val="004A3E4F"/>
    <w:rsid w:val="004A3E96"/>
    <w:rsid w:val="004A5375"/>
    <w:rsid w:val="004A6A3A"/>
    <w:rsid w:val="004B09B0"/>
    <w:rsid w:val="004B70E1"/>
    <w:rsid w:val="004C1786"/>
    <w:rsid w:val="004D11A8"/>
    <w:rsid w:val="004D5922"/>
    <w:rsid w:val="004E2FC6"/>
    <w:rsid w:val="004E716F"/>
    <w:rsid w:val="004F3746"/>
    <w:rsid w:val="004F7E0C"/>
    <w:rsid w:val="00501C06"/>
    <w:rsid w:val="00503936"/>
    <w:rsid w:val="005052FC"/>
    <w:rsid w:val="00505F56"/>
    <w:rsid w:val="0051161C"/>
    <w:rsid w:val="005157A4"/>
    <w:rsid w:val="00522903"/>
    <w:rsid w:val="00522E4A"/>
    <w:rsid w:val="00525F8A"/>
    <w:rsid w:val="00526B3A"/>
    <w:rsid w:val="00533CB2"/>
    <w:rsid w:val="00534740"/>
    <w:rsid w:val="00541AE1"/>
    <w:rsid w:val="005449A7"/>
    <w:rsid w:val="005512B5"/>
    <w:rsid w:val="00552F31"/>
    <w:rsid w:val="00556129"/>
    <w:rsid w:val="00556F40"/>
    <w:rsid w:val="005619C2"/>
    <w:rsid w:val="00564619"/>
    <w:rsid w:val="00570442"/>
    <w:rsid w:val="00573869"/>
    <w:rsid w:val="00575550"/>
    <w:rsid w:val="00577A85"/>
    <w:rsid w:val="00582B7C"/>
    <w:rsid w:val="005856D1"/>
    <w:rsid w:val="0059156C"/>
    <w:rsid w:val="005928F3"/>
    <w:rsid w:val="005967D5"/>
    <w:rsid w:val="005978A3"/>
    <w:rsid w:val="005A4391"/>
    <w:rsid w:val="005A70CE"/>
    <w:rsid w:val="005B456D"/>
    <w:rsid w:val="005C1CB6"/>
    <w:rsid w:val="005C2F30"/>
    <w:rsid w:val="005C3506"/>
    <w:rsid w:val="005C46DE"/>
    <w:rsid w:val="005C57A9"/>
    <w:rsid w:val="005C6DAA"/>
    <w:rsid w:val="005C75BE"/>
    <w:rsid w:val="005D268E"/>
    <w:rsid w:val="005D5205"/>
    <w:rsid w:val="005E200D"/>
    <w:rsid w:val="005E2CAD"/>
    <w:rsid w:val="005E42EC"/>
    <w:rsid w:val="005E4499"/>
    <w:rsid w:val="005E5C5F"/>
    <w:rsid w:val="005E7060"/>
    <w:rsid w:val="005E79F8"/>
    <w:rsid w:val="005F09ED"/>
    <w:rsid w:val="005F0C03"/>
    <w:rsid w:val="005F602B"/>
    <w:rsid w:val="00600429"/>
    <w:rsid w:val="00600DBC"/>
    <w:rsid w:val="0060206F"/>
    <w:rsid w:val="0060351A"/>
    <w:rsid w:val="006043FD"/>
    <w:rsid w:val="00607DD3"/>
    <w:rsid w:val="00617EBF"/>
    <w:rsid w:val="006202D4"/>
    <w:rsid w:val="006204C7"/>
    <w:rsid w:val="00621611"/>
    <w:rsid w:val="0062215D"/>
    <w:rsid w:val="0062487F"/>
    <w:rsid w:val="006270FC"/>
    <w:rsid w:val="00630E65"/>
    <w:rsid w:val="006329A7"/>
    <w:rsid w:val="00644D03"/>
    <w:rsid w:val="00651DAD"/>
    <w:rsid w:val="0065495A"/>
    <w:rsid w:val="00655943"/>
    <w:rsid w:val="0066343A"/>
    <w:rsid w:val="006663A3"/>
    <w:rsid w:val="00666EC0"/>
    <w:rsid w:val="00667271"/>
    <w:rsid w:val="0067137C"/>
    <w:rsid w:val="00671AA5"/>
    <w:rsid w:val="00672B74"/>
    <w:rsid w:val="00674C30"/>
    <w:rsid w:val="00675481"/>
    <w:rsid w:val="00676958"/>
    <w:rsid w:val="00677502"/>
    <w:rsid w:val="00686B99"/>
    <w:rsid w:val="00692586"/>
    <w:rsid w:val="006931EE"/>
    <w:rsid w:val="00693981"/>
    <w:rsid w:val="00693A1B"/>
    <w:rsid w:val="00694630"/>
    <w:rsid w:val="00697824"/>
    <w:rsid w:val="006A0660"/>
    <w:rsid w:val="006A5CA9"/>
    <w:rsid w:val="006A7D2D"/>
    <w:rsid w:val="006B121A"/>
    <w:rsid w:val="006B272E"/>
    <w:rsid w:val="006B3574"/>
    <w:rsid w:val="006B5256"/>
    <w:rsid w:val="006C3F30"/>
    <w:rsid w:val="006C4FBE"/>
    <w:rsid w:val="006C7880"/>
    <w:rsid w:val="006D0CE9"/>
    <w:rsid w:val="006D2116"/>
    <w:rsid w:val="006D67D9"/>
    <w:rsid w:val="006E384A"/>
    <w:rsid w:val="006E753E"/>
    <w:rsid w:val="006F060D"/>
    <w:rsid w:val="006F2150"/>
    <w:rsid w:val="006F5A20"/>
    <w:rsid w:val="006F5FA5"/>
    <w:rsid w:val="006F7F21"/>
    <w:rsid w:val="00704441"/>
    <w:rsid w:val="0070659A"/>
    <w:rsid w:val="00711CF3"/>
    <w:rsid w:val="00712046"/>
    <w:rsid w:val="0071715C"/>
    <w:rsid w:val="00717F82"/>
    <w:rsid w:val="00730C1A"/>
    <w:rsid w:val="007312ED"/>
    <w:rsid w:val="0073389F"/>
    <w:rsid w:val="007339F9"/>
    <w:rsid w:val="00736ADF"/>
    <w:rsid w:val="007418FB"/>
    <w:rsid w:val="00753B3B"/>
    <w:rsid w:val="007621A0"/>
    <w:rsid w:val="00763052"/>
    <w:rsid w:val="00763BD0"/>
    <w:rsid w:val="0076707A"/>
    <w:rsid w:val="0077035C"/>
    <w:rsid w:val="007726AA"/>
    <w:rsid w:val="007736A3"/>
    <w:rsid w:val="00774F4B"/>
    <w:rsid w:val="0077671F"/>
    <w:rsid w:val="007811E1"/>
    <w:rsid w:val="00783A31"/>
    <w:rsid w:val="007863E9"/>
    <w:rsid w:val="0078650F"/>
    <w:rsid w:val="00786DC8"/>
    <w:rsid w:val="0078705D"/>
    <w:rsid w:val="00792DA8"/>
    <w:rsid w:val="00793EBA"/>
    <w:rsid w:val="00795932"/>
    <w:rsid w:val="00796C87"/>
    <w:rsid w:val="007A0C13"/>
    <w:rsid w:val="007A544C"/>
    <w:rsid w:val="007A7AB2"/>
    <w:rsid w:val="007B1568"/>
    <w:rsid w:val="007B3529"/>
    <w:rsid w:val="007B3834"/>
    <w:rsid w:val="007B473D"/>
    <w:rsid w:val="007B76A9"/>
    <w:rsid w:val="007C581A"/>
    <w:rsid w:val="007C58B0"/>
    <w:rsid w:val="007C5E3A"/>
    <w:rsid w:val="007C67C2"/>
    <w:rsid w:val="007D102C"/>
    <w:rsid w:val="007D3986"/>
    <w:rsid w:val="007D60FF"/>
    <w:rsid w:val="007D6AB8"/>
    <w:rsid w:val="007D6DBF"/>
    <w:rsid w:val="007E0AAB"/>
    <w:rsid w:val="007E1204"/>
    <w:rsid w:val="007E2872"/>
    <w:rsid w:val="007E2AE7"/>
    <w:rsid w:val="007E6369"/>
    <w:rsid w:val="007F2269"/>
    <w:rsid w:val="007F33FC"/>
    <w:rsid w:val="007F460B"/>
    <w:rsid w:val="008019B9"/>
    <w:rsid w:val="00802AA3"/>
    <w:rsid w:val="00804AC0"/>
    <w:rsid w:val="00804D91"/>
    <w:rsid w:val="00804E1A"/>
    <w:rsid w:val="00805178"/>
    <w:rsid w:val="0080674F"/>
    <w:rsid w:val="00810B76"/>
    <w:rsid w:val="0081406A"/>
    <w:rsid w:val="00820007"/>
    <w:rsid w:val="0082289A"/>
    <w:rsid w:val="00823C22"/>
    <w:rsid w:val="008252BD"/>
    <w:rsid w:val="00825479"/>
    <w:rsid w:val="008269F6"/>
    <w:rsid w:val="00826D45"/>
    <w:rsid w:val="00827AD9"/>
    <w:rsid w:val="0083002E"/>
    <w:rsid w:val="008342A3"/>
    <w:rsid w:val="00835B46"/>
    <w:rsid w:val="00842813"/>
    <w:rsid w:val="00844B1D"/>
    <w:rsid w:val="00846970"/>
    <w:rsid w:val="00847FD8"/>
    <w:rsid w:val="00850340"/>
    <w:rsid w:val="0086157C"/>
    <w:rsid w:val="0086744D"/>
    <w:rsid w:val="00871C8D"/>
    <w:rsid w:val="008764DD"/>
    <w:rsid w:val="00885D0F"/>
    <w:rsid w:val="00891096"/>
    <w:rsid w:val="008919CE"/>
    <w:rsid w:val="00893E4B"/>
    <w:rsid w:val="00894003"/>
    <w:rsid w:val="008952A7"/>
    <w:rsid w:val="008A1886"/>
    <w:rsid w:val="008A35A5"/>
    <w:rsid w:val="008A49A2"/>
    <w:rsid w:val="008A6515"/>
    <w:rsid w:val="008B1988"/>
    <w:rsid w:val="008B1C01"/>
    <w:rsid w:val="008B1F7C"/>
    <w:rsid w:val="008B7376"/>
    <w:rsid w:val="008C1825"/>
    <w:rsid w:val="008C55E6"/>
    <w:rsid w:val="008D1BE0"/>
    <w:rsid w:val="008D1F51"/>
    <w:rsid w:val="008D4365"/>
    <w:rsid w:val="008D4392"/>
    <w:rsid w:val="008D4706"/>
    <w:rsid w:val="008D4EF9"/>
    <w:rsid w:val="008E0BDF"/>
    <w:rsid w:val="008E556A"/>
    <w:rsid w:val="008E655E"/>
    <w:rsid w:val="008F01F7"/>
    <w:rsid w:val="008F091C"/>
    <w:rsid w:val="008F0AA5"/>
    <w:rsid w:val="008F0C3E"/>
    <w:rsid w:val="0090338A"/>
    <w:rsid w:val="00904ADA"/>
    <w:rsid w:val="009108DB"/>
    <w:rsid w:val="009128EE"/>
    <w:rsid w:val="009136C7"/>
    <w:rsid w:val="009153F9"/>
    <w:rsid w:val="00920730"/>
    <w:rsid w:val="009226F1"/>
    <w:rsid w:val="009315CB"/>
    <w:rsid w:val="00934783"/>
    <w:rsid w:val="009361F0"/>
    <w:rsid w:val="00937D29"/>
    <w:rsid w:val="00942EC3"/>
    <w:rsid w:val="00945072"/>
    <w:rsid w:val="00951103"/>
    <w:rsid w:val="00951286"/>
    <w:rsid w:val="00953699"/>
    <w:rsid w:val="00954707"/>
    <w:rsid w:val="00955665"/>
    <w:rsid w:val="009632E6"/>
    <w:rsid w:val="00966630"/>
    <w:rsid w:val="00966AA7"/>
    <w:rsid w:val="00970CC9"/>
    <w:rsid w:val="009747F7"/>
    <w:rsid w:val="00974DAB"/>
    <w:rsid w:val="00983FEC"/>
    <w:rsid w:val="009926C0"/>
    <w:rsid w:val="00992C3E"/>
    <w:rsid w:val="00993529"/>
    <w:rsid w:val="009A13CF"/>
    <w:rsid w:val="009A33F9"/>
    <w:rsid w:val="009A4F97"/>
    <w:rsid w:val="009A6258"/>
    <w:rsid w:val="009B5D2C"/>
    <w:rsid w:val="009B6574"/>
    <w:rsid w:val="009B7C4E"/>
    <w:rsid w:val="009C501A"/>
    <w:rsid w:val="009C599F"/>
    <w:rsid w:val="009C6A6A"/>
    <w:rsid w:val="009C6C2F"/>
    <w:rsid w:val="009C7D39"/>
    <w:rsid w:val="009D0EAC"/>
    <w:rsid w:val="009D39CE"/>
    <w:rsid w:val="009D42CA"/>
    <w:rsid w:val="009D7609"/>
    <w:rsid w:val="009E0CCE"/>
    <w:rsid w:val="009E217D"/>
    <w:rsid w:val="009E344E"/>
    <w:rsid w:val="009E4094"/>
    <w:rsid w:val="009E4A0E"/>
    <w:rsid w:val="009F0951"/>
    <w:rsid w:val="009F1EED"/>
    <w:rsid w:val="009F48E2"/>
    <w:rsid w:val="009F5F29"/>
    <w:rsid w:val="009F600E"/>
    <w:rsid w:val="009F6B2E"/>
    <w:rsid w:val="009F6E8B"/>
    <w:rsid w:val="00A00044"/>
    <w:rsid w:val="00A03B12"/>
    <w:rsid w:val="00A04C9D"/>
    <w:rsid w:val="00A11E09"/>
    <w:rsid w:val="00A140D4"/>
    <w:rsid w:val="00A16088"/>
    <w:rsid w:val="00A16476"/>
    <w:rsid w:val="00A171F2"/>
    <w:rsid w:val="00A20AAF"/>
    <w:rsid w:val="00A23F90"/>
    <w:rsid w:val="00A246C5"/>
    <w:rsid w:val="00A273D3"/>
    <w:rsid w:val="00A30986"/>
    <w:rsid w:val="00A30E05"/>
    <w:rsid w:val="00A41FF5"/>
    <w:rsid w:val="00A43166"/>
    <w:rsid w:val="00A4554C"/>
    <w:rsid w:val="00A54FB2"/>
    <w:rsid w:val="00A600B5"/>
    <w:rsid w:val="00A61559"/>
    <w:rsid w:val="00A62992"/>
    <w:rsid w:val="00A64268"/>
    <w:rsid w:val="00A6602F"/>
    <w:rsid w:val="00A70725"/>
    <w:rsid w:val="00A73BFB"/>
    <w:rsid w:val="00A751A4"/>
    <w:rsid w:val="00A81C26"/>
    <w:rsid w:val="00A82C87"/>
    <w:rsid w:val="00A83B47"/>
    <w:rsid w:val="00A85A8C"/>
    <w:rsid w:val="00A92283"/>
    <w:rsid w:val="00A95A53"/>
    <w:rsid w:val="00AA0D06"/>
    <w:rsid w:val="00AB084B"/>
    <w:rsid w:val="00AB0F6B"/>
    <w:rsid w:val="00AB278A"/>
    <w:rsid w:val="00AB4C17"/>
    <w:rsid w:val="00AB4D4B"/>
    <w:rsid w:val="00AB630C"/>
    <w:rsid w:val="00AB75FE"/>
    <w:rsid w:val="00AC07AB"/>
    <w:rsid w:val="00AC27D9"/>
    <w:rsid w:val="00AC3097"/>
    <w:rsid w:val="00AC4E73"/>
    <w:rsid w:val="00AC6427"/>
    <w:rsid w:val="00AC6DF3"/>
    <w:rsid w:val="00AD28BC"/>
    <w:rsid w:val="00AD5638"/>
    <w:rsid w:val="00AD577F"/>
    <w:rsid w:val="00AD7F26"/>
    <w:rsid w:val="00AE0D89"/>
    <w:rsid w:val="00AE21E9"/>
    <w:rsid w:val="00AE3DF8"/>
    <w:rsid w:val="00AE4358"/>
    <w:rsid w:val="00AE58FA"/>
    <w:rsid w:val="00AE66F1"/>
    <w:rsid w:val="00AE6F15"/>
    <w:rsid w:val="00AF0782"/>
    <w:rsid w:val="00AF0D6F"/>
    <w:rsid w:val="00AF43AA"/>
    <w:rsid w:val="00B02A87"/>
    <w:rsid w:val="00B05946"/>
    <w:rsid w:val="00B12099"/>
    <w:rsid w:val="00B12F57"/>
    <w:rsid w:val="00B12F68"/>
    <w:rsid w:val="00B17595"/>
    <w:rsid w:val="00B227F6"/>
    <w:rsid w:val="00B23E36"/>
    <w:rsid w:val="00B24BE3"/>
    <w:rsid w:val="00B254E6"/>
    <w:rsid w:val="00B25A40"/>
    <w:rsid w:val="00B26A87"/>
    <w:rsid w:val="00B26C44"/>
    <w:rsid w:val="00B31770"/>
    <w:rsid w:val="00B31997"/>
    <w:rsid w:val="00B36DF7"/>
    <w:rsid w:val="00B43685"/>
    <w:rsid w:val="00B43C7A"/>
    <w:rsid w:val="00B444AC"/>
    <w:rsid w:val="00B4539E"/>
    <w:rsid w:val="00B53922"/>
    <w:rsid w:val="00B53C37"/>
    <w:rsid w:val="00B55E9B"/>
    <w:rsid w:val="00B62008"/>
    <w:rsid w:val="00B62540"/>
    <w:rsid w:val="00B653B3"/>
    <w:rsid w:val="00B65BA1"/>
    <w:rsid w:val="00B667D8"/>
    <w:rsid w:val="00B7104D"/>
    <w:rsid w:val="00B7555D"/>
    <w:rsid w:val="00B83DFC"/>
    <w:rsid w:val="00B844F6"/>
    <w:rsid w:val="00B859ED"/>
    <w:rsid w:val="00B92B7B"/>
    <w:rsid w:val="00B97A17"/>
    <w:rsid w:val="00BA122F"/>
    <w:rsid w:val="00BA146B"/>
    <w:rsid w:val="00BA1A16"/>
    <w:rsid w:val="00BA275A"/>
    <w:rsid w:val="00BA31C5"/>
    <w:rsid w:val="00BA4CF0"/>
    <w:rsid w:val="00BA588C"/>
    <w:rsid w:val="00BA7CA7"/>
    <w:rsid w:val="00BB04D4"/>
    <w:rsid w:val="00BB45FA"/>
    <w:rsid w:val="00BB4987"/>
    <w:rsid w:val="00BC09BA"/>
    <w:rsid w:val="00BC1023"/>
    <w:rsid w:val="00BC1A94"/>
    <w:rsid w:val="00BC22B2"/>
    <w:rsid w:val="00BC64AD"/>
    <w:rsid w:val="00BC71A1"/>
    <w:rsid w:val="00BD0477"/>
    <w:rsid w:val="00BD3F1D"/>
    <w:rsid w:val="00BE05A0"/>
    <w:rsid w:val="00BE324D"/>
    <w:rsid w:val="00BE684D"/>
    <w:rsid w:val="00BE6A93"/>
    <w:rsid w:val="00BF3D20"/>
    <w:rsid w:val="00BF73D1"/>
    <w:rsid w:val="00C03EDF"/>
    <w:rsid w:val="00C0416C"/>
    <w:rsid w:val="00C056AA"/>
    <w:rsid w:val="00C05C76"/>
    <w:rsid w:val="00C07D29"/>
    <w:rsid w:val="00C1228C"/>
    <w:rsid w:val="00C12744"/>
    <w:rsid w:val="00C134AA"/>
    <w:rsid w:val="00C13FE6"/>
    <w:rsid w:val="00C14D98"/>
    <w:rsid w:val="00C22F4C"/>
    <w:rsid w:val="00C2431D"/>
    <w:rsid w:val="00C261E3"/>
    <w:rsid w:val="00C266F2"/>
    <w:rsid w:val="00C26C9C"/>
    <w:rsid w:val="00C26DBD"/>
    <w:rsid w:val="00C3775F"/>
    <w:rsid w:val="00C41F5D"/>
    <w:rsid w:val="00C45330"/>
    <w:rsid w:val="00C45359"/>
    <w:rsid w:val="00C45EAC"/>
    <w:rsid w:val="00C50C7E"/>
    <w:rsid w:val="00C52723"/>
    <w:rsid w:val="00C632DC"/>
    <w:rsid w:val="00C64ADA"/>
    <w:rsid w:val="00C650BC"/>
    <w:rsid w:val="00C65125"/>
    <w:rsid w:val="00C65B85"/>
    <w:rsid w:val="00C666EE"/>
    <w:rsid w:val="00C67352"/>
    <w:rsid w:val="00C67D42"/>
    <w:rsid w:val="00C67F0F"/>
    <w:rsid w:val="00C70912"/>
    <w:rsid w:val="00C71CBD"/>
    <w:rsid w:val="00C80326"/>
    <w:rsid w:val="00C83BAB"/>
    <w:rsid w:val="00C84936"/>
    <w:rsid w:val="00C901E9"/>
    <w:rsid w:val="00C90F83"/>
    <w:rsid w:val="00C91BEA"/>
    <w:rsid w:val="00C94034"/>
    <w:rsid w:val="00C94A90"/>
    <w:rsid w:val="00C96194"/>
    <w:rsid w:val="00CA0787"/>
    <w:rsid w:val="00CA1275"/>
    <w:rsid w:val="00CA7551"/>
    <w:rsid w:val="00CA77CC"/>
    <w:rsid w:val="00CB1943"/>
    <w:rsid w:val="00CB267B"/>
    <w:rsid w:val="00CB5BC4"/>
    <w:rsid w:val="00CC0A1A"/>
    <w:rsid w:val="00CC0ABE"/>
    <w:rsid w:val="00CC11C5"/>
    <w:rsid w:val="00CC181D"/>
    <w:rsid w:val="00CC2AC6"/>
    <w:rsid w:val="00CC3DF4"/>
    <w:rsid w:val="00CC45AE"/>
    <w:rsid w:val="00CC5897"/>
    <w:rsid w:val="00CC658F"/>
    <w:rsid w:val="00CC76D4"/>
    <w:rsid w:val="00CC7976"/>
    <w:rsid w:val="00CD2458"/>
    <w:rsid w:val="00CD2DD1"/>
    <w:rsid w:val="00CD4497"/>
    <w:rsid w:val="00CD5545"/>
    <w:rsid w:val="00CD5D57"/>
    <w:rsid w:val="00CD6ABC"/>
    <w:rsid w:val="00CE03EB"/>
    <w:rsid w:val="00CE2AC6"/>
    <w:rsid w:val="00CF41A0"/>
    <w:rsid w:val="00CF4669"/>
    <w:rsid w:val="00CF581B"/>
    <w:rsid w:val="00CF6740"/>
    <w:rsid w:val="00CF6D8C"/>
    <w:rsid w:val="00D01322"/>
    <w:rsid w:val="00D05F74"/>
    <w:rsid w:val="00D07B11"/>
    <w:rsid w:val="00D07E5B"/>
    <w:rsid w:val="00D10ABC"/>
    <w:rsid w:val="00D13454"/>
    <w:rsid w:val="00D15811"/>
    <w:rsid w:val="00D1694A"/>
    <w:rsid w:val="00D20816"/>
    <w:rsid w:val="00D21A21"/>
    <w:rsid w:val="00D23A24"/>
    <w:rsid w:val="00D242EE"/>
    <w:rsid w:val="00D25743"/>
    <w:rsid w:val="00D2594B"/>
    <w:rsid w:val="00D365B7"/>
    <w:rsid w:val="00D43C2F"/>
    <w:rsid w:val="00D44337"/>
    <w:rsid w:val="00D62DB0"/>
    <w:rsid w:val="00D63261"/>
    <w:rsid w:val="00D6357E"/>
    <w:rsid w:val="00D709EC"/>
    <w:rsid w:val="00D722D2"/>
    <w:rsid w:val="00D7277C"/>
    <w:rsid w:val="00D748D6"/>
    <w:rsid w:val="00D812F7"/>
    <w:rsid w:val="00D901AF"/>
    <w:rsid w:val="00D90814"/>
    <w:rsid w:val="00D910DC"/>
    <w:rsid w:val="00D92A68"/>
    <w:rsid w:val="00D94269"/>
    <w:rsid w:val="00DA3B27"/>
    <w:rsid w:val="00DA7D8D"/>
    <w:rsid w:val="00DB2040"/>
    <w:rsid w:val="00DB260F"/>
    <w:rsid w:val="00DB4DDE"/>
    <w:rsid w:val="00DB674B"/>
    <w:rsid w:val="00DC2264"/>
    <w:rsid w:val="00DC41F7"/>
    <w:rsid w:val="00DD17FE"/>
    <w:rsid w:val="00DD25F3"/>
    <w:rsid w:val="00DD4900"/>
    <w:rsid w:val="00DD5EEA"/>
    <w:rsid w:val="00DD6ED3"/>
    <w:rsid w:val="00DD7F8B"/>
    <w:rsid w:val="00DE1D69"/>
    <w:rsid w:val="00DE2812"/>
    <w:rsid w:val="00DE2B17"/>
    <w:rsid w:val="00DF19EC"/>
    <w:rsid w:val="00DF502C"/>
    <w:rsid w:val="00DF7B70"/>
    <w:rsid w:val="00E02173"/>
    <w:rsid w:val="00E02217"/>
    <w:rsid w:val="00E04294"/>
    <w:rsid w:val="00E23562"/>
    <w:rsid w:val="00E240F9"/>
    <w:rsid w:val="00E24562"/>
    <w:rsid w:val="00E2509C"/>
    <w:rsid w:val="00E2566F"/>
    <w:rsid w:val="00E25D7D"/>
    <w:rsid w:val="00E27435"/>
    <w:rsid w:val="00E422C9"/>
    <w:rsid w:val="00E429A5"/>
    <w:rsid w:val="00E43433"/>
    <w:rsid w:val="00E43B41"/>
    <w:rsid w:val="00E52691"/>
    <w:rsid w:val="00E526B1"/>
    <w:rsid w:val="00E55963"/>
    <w:rsid w:val="00E57990"/>
    <w:rsid w:val="00E60BA0"/>
    <w:rsid w:val="00E626DE"/>
    <w:rsid w:val="00E66260"/>
    <w:rsid w:val="00E66511"/>
    <w:rsid w:val="00E66888"/>
    <w:rsid w:val="00E6745F"/>
    <w:rsid w:val="00E70BEC"/>
    <w:rsid w:val="00E75475"/>
    <w:rsid w:val="00E7764A"/>
    <w:rsid w:val="00E779F8"/>
    <w:rsid w:val="00E86A49"/>
    <w:rsid w:val="00E90377"/>
    <w:rsid w:val="00E93CE0"/>
    <w:rsid w:val="00E965B4"/>
    <w:rsid w:val="00E96AFF"/>
    <w:rsid w:val="00E971F7"/>
    <w:rsid w:val="00E97A70"/>
    <w:rsid w:val="00EA25E8"/>
    <w:rsid w:val="00EA53C2"/>
    <w:rsid w:val="00EA6EEF"/>
    <w:rsid w:val="00EB2E98"/>
    <w:rsid w:val="00EB35F6"/>
    <w:rsid w:val="00EB64A0"/>
    <w:rsid w:val="00EB7A70"/>
    <w:rsid w:val="00EC1F06"/>
    <w:rsid w:val="00ED1B22"/>
    <w:rsid w:val="00ED203B"/>
    <w:rsid w:val="00ED2106"/>
    <w:rsid w:val="00ED27A0"/>
    <w:rsid w:val="00ED443F"/>
    <w:rsid w:val="00ED49C1"/>
    <w:rsid w:val="00ED6F19"/>
    <w:rsid w:val="00ED7F68"/>
    <w:rsid w:val="00EE6673"/>
    <w:rsid w:val="00EF0D0F"/>
    <w:rsid w:val="00EF2F25"/>
    <w:rsid w:val="00EF5D92"/>
    <w:rsid w:val="00EF7950"/>
    <w:rsid w:val="00F0093C"/>
    <w:rsid w:val="00F02C07"/>
    <w:rsid w:val="00F03D93"/>
    <w:rsid w:val="00F04208"/>
    <w:rsid w:val="00F12060"/>
    <w:rsid w:val="00F12320"/>
    <w:rsid w:val="00F14C16"/>
    <w:rsid w:val="00F1695C"/>
    <w:rsid w:val="00F16AA8"/>
    <w:rsid w:val="00F17753"/>
    <w:rsid w:val="00F17A14"/>
    <w:rsid w:val="00F26DB2"/>
    <w:rsid w:val="00F30848"/>
    <w:rsid w:val="00F30B86"/>
    <w:rsid w:val="00F30FFD"/>
    <w:rsid w:val="00F33771"/>
    <w:rsid w:val="00F34B87"/>
    <w:rsid w:val="00F34BBA"/>
    <w:rsid w:val="00F355B9"/>
    <w:rsid w:val="00F377AC"/>
    <w:rsid w:val="00F44F8F"/>
    <w:rsid w:val="00F50B54"/>
    <w:rsid w:val="00F534B4"/>
    <w:rsid w:val="00F54538"/>
    <w:rsid w:val="00F56E1D"/>
    <w:rsid w:val="00F60760"/>
    <w:rsid w:val="00F60901"/>
    <w:rsid w:val="00F61A08"/>
    <w:rsid w:val="00F61C69"/>
    <w:rsid w:val="00F641FA"/>
    <w:rsid w:val="00F67C90"/>
    <w:rsid w:val="00F71A51"/>
    <w:rsid w:val="00F73F61"/>
    <w:rsid w:val="00F74CB2"/>
    <w:rsid w:val="00F77336"/>
    <w:rsid w:val="00F81A92"/>
    <w:rsid w:val="00F82CA9"/>
    <w:rsid w:val="00F8524D"/>
    <w:rsid w:val="00F87911"/>
    <w:rsid w:val="00F87F74"/>
    <w:rsid w:val="00F920DA"/>
    <w:rsid w:val="00F9538F"/>
    <w:rsid w:val="00F95989"/>
    <w:rsid w:val="00FA044B"/>
    <w:rsid w:val="00FA64D4"/>
    <w:rsid w:val="00FB3605"/>
    <w:rsid w:val="00FB3C91"/>
    <w:rsid w:val="00FB55E9"/>
    <w:rsid w:val="00FB5D26"/>
    <w:rsid w:val="00FC1977"/>
    <w:rsid w:val="00FC344B"/>
    <w:rsid w:val="00FC51CF"/>
    <w:rsid w:val="00FC6267"/>
    <w:rsid w:val="00FD5D2B"/>
    <w:rsid w:val="00FD7144"/>
    <w:rsid w:val="00FD7F78"/>
    <w:rsid w:val="00FE0267"/>
    <w:rsid w:val="00FE0974"/>
    <w:rsid w:val="00FE3BAB"/>
    <w:rsid w:val="00FE724D"/>
    <w:rsid w:val="00FF4B70"/>
    <w:rsid w:val="00FF501F"/>
    <w:rsid w:val="00FF59A5"/>
    <w:rsid w:val="00FF6281"/>
    <w:rsid w:val="00FF697E"/>
    <w:rsid w:val="00FF6D61"/>
    <w:rsid w:val="01113D6B"/>
    <w:rsid w:val="016C71F3"/>
    <w:rsid w:val="01722330"/>
    <w:rsid w:val="01787946"/>
    <w:rsid w:val="019F1377"/>
    <w:rsid w:val="01C56903"/>
    <w:rsid w:val="01F42D45"/>
    <w:rsid w:val="020B07BA"/>
    <w:rsid w:val="02385327"/>
    <w:rsid w:val="024E68F9"/>
    <w:rsid w:val="02F54FC6"/>
    <w:rsid w:val="033F6241"/>
    <w:rsid w:val="03A26EFC"/>
    <w:rsid w:val="03E70DB3"/>
    <w:rsid w:val="04AC1DA1"/>
    <w:rsid w:val="04E011FB"/>
    <w:rsid w:val="04EE6171"/>
    <w:rsid w:val="051C2CDE"/>
    <w:rsid w:val="052132CD"/>
    <w:rsid w:val="055204AE"/>
    <w:rsid w:val="057E5747"/>
    <w:rsid w:val="05900FD6"/>
    <w:rsid w:val="059E2F85"/>
    <w:rsid w:val="05AC22B4"/>
    <w:rsid w:val="05E27A84"/>
    <w:rsid w:val="061B2F96"/>
    <w:rsid w:val="062A4F87"/>
    <w:rsid w:val="06316315"/>
    <w:rsid w:val="06587D46"/>
    <w:rsid w:val="069B7C96"/>
    <w:rsid w:val="06D53145"/>
    <w:rsid w:val="06DA4BFF"/>
    <w:rsid w:val="072145DC"/>
    <w:rsid w:val="077E558A"/>
    <w:rsid w:val="07D72EEC"/>
    <w:rsid w:val="07E8334B"/>
    <w:rsid w:val="0808754A"/>
    <w:rsid w:val="080D690E"/>
    <w:rsid w:val="082425D6"/>
    <w:rsid w:val="08640C24"/>
    <w:rsid w:val="08847D2B"/>
    <w:rsid w:val="08D130F7"/>
    <w:rsid w:val="093323A4"/>
    <w:rsid w:val="099C43EE"/>
    <w:rsid w:val="09B305E8"/>
    <w:rsid w:val="0A2368BD"/>
    <w:rsid w:val="0A454A85"/>
    <w:rsid w:val="0A4800D1"/>
    <w:rsid w:val="0A8455AD"/>
    <w:rsid w:val="0A856D93"/>
    <w:rsid w:val="0A911A78"/>
    <w:rsid w:val="0AF50259"/>
    <w:rsid w:val="0BEB6F66"/>
    <w:rsid w:val="0C564D28"/>
    <w:rsid w:val="0C580AA0"/>
    <w:rsid w:val="0CC021A1"/>
    <w:rsid w:val="0CC638F0"/>
    <w:rsid w:val="0D10137A"/>
    <w:rsid w:val="0D2546FA"/>
    <w:rsid w:val="0D2B2DB0"/>
    <w:rsid w:val="0D593367"/>
    <w:rsid w:val="0DAE649D"/>
    <w:rsid w:val="0DB25F8E"/>
    <w:rsid w:val="0E342E47"/>
    <w:rsid w:val="0E4702C9"/>
    <w:rsid w:val="0E6F3E7F"/>
    <w:rsid w:val="0EAC6E81"/>
    <w:rsid w:val="0F31382A"/>
    <w:rsid w:val="0FC401FA"/>
    <w:rsid w:val="0FD146C5"/>
    <w:rsid w:val="0FFA00C0"/>
    <w:rsid w:val="101E67A1"/>
    <w:rsid w:val="10404244"/>
    <w:rsid w:val="1040494A"/>
    <w:rsid w:val="10947BCD"/>
    <w:rsid w:val="10B97633"/>
    <w:rsid w:val="10EE19D3"/>
    <w:rsid w:val="110A4333"/>
    <w:rsid w:val="11140D0D"/>
    <w:rsid w:val="113A4C18"/>
    <w:rsid w:val="114535BD"/>
    <w:rsid w:val="11AB78C4"/>
    <w:rsid w:val="120E39AF"/>
    <w:rsid w:val="122E4051"/>
    <w:rsid w:val="12837EF9"/>
    <w:rsid w:val="12891287"/>
    <w:rsid w:val="129739A4"/>
    <w:rsid w:val="12A762DD"/>
    <w:rsid w:val="12AC38F3"/>
    <w:rsid w:val="12B75DF4"/>
    <w:rsid w:val="12D1335A"/>
    <w:rsid w:val="12D20E80"/>
    <w:rsid w:val="132711CC"/>
    <w:rsid w:val="13655850"/>
    <w:rsid w:val="13737F6D"/>
    <w:rsid w:val="138A3509"/>
    <w:rsid w:val="138E2FF9"/>
    <w:rsid w:val="13A66595"/>
    <w:rsid w:val="13D34EB0"/>
    <w:rsid w:val="13E96481"/>
    <w:rsid w:val="143F60A1"/>
    <w:rsid w:val="145F4995"/>
    <w:rsid w:val="14C52A4A"/>
    <w:rsid w:val="15015A4D"/>
    <w:rsid w:val="151632A6"/>
    <w:rsid w:val="15437E13"/>
    <w:rsid w:val="1555211A"/>
    <w:rsid w:val="157D3325"/>
    <w:rsid w:val="158C2D9C"/>
    <w:rsid w:val="15A85EC8"/>
    <w:rsid w:val="15CE3B81"/>
    <w:rsid w:val="15F44823"/>
    <w:rsid w:val="161A5018"/>
    <w:rsid w:val="163A2FC4"/>
    <w:rsid w:val="165A5414"/>
    <w:rsid w:val="16637E52"/>
    <w:rsid w:val="168626AD"/>
    <w:rsid w:val="169528F0"/>
    <w:rsid w:val="16D90A2F"/>
    <w:rsid w:val="177469AA"/>
    <w:rsid w:val="17A871CC"/>
    <w:rsid w:val="17AD77C6"/>
    <w:rsid w:val="180A4C18"/>
    <w:rsid w:val="18441ED8"/>
    <w:rsid w:val="18561C0B"/>
    <w:rsid w:val="188350F6"/>
    <w:rsid w:val="188B7B07"/>
    <w:rsid w:val="189746FE"/>
    <w:rsid w:val="18C56547"/>
    <w:rsid w:val="19481E9C"/>
    <w:rsid w:val="199155F1"/>
    <w:rsid w:val="19AA220F"/>
    <w:rsid w:val="19C332D1"/>
    <w:rsid w:val="1A310B82"/>
    <w:rsid w:val="1B097409"/>
    <w:rsid w:val="1B5E1503"/>
    <w:rsid w:val="1B610FF3"/>
    <w:rsid w:val="1BC577D4"/>
    <w:rsid w:val="1BDE0896"/>
    <w:rsid w:val="1C406E5A"/>
    <w:rsid w:val="1C534DE0"/>
    <w:rsid w:val="1C84143D"/>
    <w:rsid w:val="1D2E13A9"/>
    <w:rsid w:val="1D3764AF"/>
    <w:rsid w:val="1D5D316B"/>
    <w:rsid w:val="1D641885"/>
    <w:rsid w:val="1D7C0366"/>
    <w:rsid w:val="1DCB0537"/>
    <w:rsid w:val="1DE0470B"/>
    <w:rsid w:val="1DF148B0"/>
    <w:rsid w:val="1DF63C75"/>
    <w:rsid w:val="1EA57449"/>
    <w:rsid w:val="1F234F3D"/>
    <w:rsid w:val="1F382D02"/>
    <w:rsid w:val="1F4153C3"/>
    <w:rsid w:val="1F63358C"/>
    <w:rsid w:val="1F745799"/>
    <w:rsid w:val="1FED554B"/>
    <w:rsid w:val="201A79C2"/>
    <w:rsid w:val="202F04D3"/>
    <w:rsid w:val="20E74481"/>
    <w:rsid w:val="2130749E"/>
    <w:rsid w:val="220B1CB9"/>
    <w:rsid w:val="222C235B"/>
    <w:rsid w:val="22802012"/>
    <w:rsid w:val="228D6B72"/>
    <w:rsid w:val="22947F00"/>
    <w:rsid w:val="22DD430D"/>
    <w:rsid w:val="237A0EA4"/>
    <w:rsid w:val="23947E72"/>
    <w:rsid w:val="23ED1676"/>
    <w:rsid w:val="23FE1AD5"/>
    <w:rsid w:val="23FF75FB"/>
    <w:rsid w:val="243C084F"/>
    <w:rsid w:val="24A51F50"/>
    <w:rsid w:val="24D82326"/>
    <w:rsid w:val="25096983"/>
    <w:rsid w:val="25190E06"/>
    <w:rsid w:val="257007B0"/>
    <w:rsid w:val="258B55EA"/>
    <w:rsid w:val="259F4BF2"/>
    <w:rsid w:val="25EB42DB"/>
    <w:rsid w:val="25F34F3E"/>
    <w:rsid w:val="26061115"/>
    <w:rsid w:val="26557B74"/>
    <w:rsid w:val="265942BD"/>
    <w:rsid w:val="266F6CBA"/>
    <w:rsid w:val="26F31699"/>
    <w:rsid w:val="26F61189"/>
    <w:rsid w:val="274912B9"/>
    <w:rsid w:val="27554102"/>
    <w:rsid w:val="2769195B"/>
    <w:rsid w:val="27912C60"/>
    <w:rsid w:val="27C60B5C"/>
    <w:rsid w:val="27E47234"/>
    <w:rsid w:val="280E42B1"/>
    <w:rsid w:val="28180C8B"/>
    <w:rsid w:val="285223EF"/>
    <w:rsid w:val="28681C13"/>
    <w:rsid w:val="287A1946"/>
    <w:rsid w:val="28884063"/>
    <w:rsid w:val="28D15A0A"/>
    <w:rsid w:val="28DA4193"/>
    <w:rsid w:val="28F65471"/>
    <w:rsid w:val="290443B8"/>
    <w:rsid w:val="293A5AD0"/>
    <w:rsid w:val="295126A7"/>
    <w:rsid w:val="295959FF"/>
    <w:rsid w:val="29802F8C"/>
    <w:rsid w:val="29DA6B40"/>
    <w:rsid w:val="29E81A1F"/>
    <w:rsid w:val="29F3375E"/>
    <w:rsid w:val="29FF0355"/>
    <w:rsid w:val="2A7F3244"/>
    <w:rsid w:val="2AAF5B95"/>
    <w:rsid w:val="2AB7478C"/>
    <w:rsid w:val="2ABB0720"/>
    <w:rsid w:val="2AC375D4"/>
    <w:rsid w:val="2B0100FD"/>
    <w:rsid w:val="2B257DF3"/>
    <w:rsid w:val="2B4767A2"/>
    <w:rsid w:val="2B6E5792"/>
    <w:rsid w:val="2C186231"/>
    <w:rsid w:val="2C31056E"/>
    <w:rsid w:val="2C412EA7"/>
    <w:rsid w:val="2C576226"/>
    <w:rsid w:val="2C8903AA"/>
    <w:rsid w:val="2C9E20A7"/>
    <w:rsid w:val="2CDC2BCF"/>
    <w:rsid w:val="2CDC672B"/>
    <w:rsid w:val="2CE55F57"/>
    <w:rsid w:val="2CE675AA"/>
    <w:rsid w:val="2CED48E5"/>
    <w:rsid w:val="2D157E8F"/>
    <w:rsid w:val="2D6F57F1"/>
    <w:rsid w:val="2DF06932"/>
    <w:rsid w:val="2DF47AA5"/>
    <w:rsid w:val="2E1168A9"/>
    <w:rsid w:val="2E402CEA"/>
    <w:rsid w:val="2E6B5FB9"/>
    <w:rsid w:val="2E7B1F74"/>
    <w:rsid w:val="2FAD43AF"/>
    <w:rsid w:val="2FD44032"/>
    <w:rsid w:val="2FEA5603"/>
    <w:rsid w:val="2FFD70E5"/>
    <w:rsid w:val="30110DE2"/>
    <w:rsid w:val="30182170"/>
    <w:rsid w:val="3058256D"/>
    <w:rsid w:val="305D7B83"/>
    <w:rsid w:val="30F73B34"/>
    <w:rsid w:val="313F372D"/>
    <w:rsid w:val="3167464B"/>
    <w:rsid w:val="3189191F"/>
    <w:rsid w:val="31CF2D03"/>
    <w:rsid w:val="32566F80"/>
    <w:rsid w:val="32B06690"/>
    <w:rsid w:val="32E20814"/>
    <w:rsid w:val="336E3E55"/>
    <w:rsid w:val="33753436"/>
    <w:rsid w:val="339E298D"/>
    <w:rsid w:val="33F64577"/>
    <w:rsid w:val="34143BD3"/>
    <w:rsid w:val="34D0301A"/>
    <w:rsid w:val="34EA39B0"/>
    <w:rsid w:val="34F30AB6"/>
    <w:rsid w:val="35134CB4"/>
    <w:rsid w:val="35777939"/>
    <w:rsid w:val="3583177B"/>
    <w:rsid w:val="35AD5109"/>
    <w:rsid w:val="35C10BB4"/>
    <w:rsid w:val="35C6441D"/>
    <w:rsid w:val="35E1465A"/>
    <w:rsid w:val="35EF74CF"/>
    <w:rsid w:val="3619279E"/>
    <w:rsid w:val="362058DB"/>
    <w:rsid w:val="36914A2B"/>
    <w:rsid w:val="37023232"/>
    <w:rsid w:val="37024FE0"/>
    <w:rsid w:val="373A7660"/>
    <w:rsid w:val="376B75FE"/>
    <w:rsid w:val="37734130"/>
    <w:rsid w:val="37836223"/>
    <w:rsid w:val="37B07132"/>
    <w:rsid w:val="3819684E"/>
    <w:rsid w:val="3848736B"/>
    <w:rsid w:val="386C12AB"/>
    <w:rsid w:val="38710670"/>
    <w:rsid w:val="3911775D"/>
    <w:rsid w:val="3914724D"/>
    <w:rsid w:val="39981C2C"/>
    <w:rsid w:val="399D6127"/>
    <w:rsid w:val="39BC591B"/>
    <w:rsid w:val="39BE1423"/>
    <w:rsid w:val="3A1B6623"/>
    <w:rsid w:val="3A6A7A6C"/>
    <w:rsid w:val="3A8521B0"/>
    <w:rsid w:val="3A960861"/>
    <w:rsid w:val="3AA06FEA"/>
    <w:rsid w:val="3AB95243"/>
    <w:rsid w:val="3AC86541"/>
    <w:rsid w:val="3ACC7DDF"/>
    <w:rsid w:val="3B0A0908"/>
    <w:rsid w:val="3B7346FF"/>
    <w:rsid w:val="3B8E32E7"/>
    <w:rsid w:val="3BBA40DC"/>
    <w:rsid w:val="3BD5124E"/>
    <w:rsid w:val="3C5E0F0B"/>
    <w:rsid w:val="3CC05722"/>
    <w:rsid w:val="3D053A7C"/>
    <w:rsid w:val="3D0A081B"/>
    <w:rsid w:val="3D714C6E"/>
    <w:rsid w:val="3DAC5CA6"/>
    <w:rsid w:val="3DBD4357"/>
    <w:rsid w:val="3E1675C3"/>
    <w:rsid w:val="3EB43064"/>
    <w:rsid w:val="3F2D1069"/>
    <w:rsid w:val="3F422D66"/>
    <w:rsid w:val="3F450160"/>
    <w:rsid w:val="3F52089A"/>
    <w:rsid w:val="3F656A54"/>
    <w:rsid w:val="3F6F342F"/>
    <w:rsid w:val="3F852C53"/>
    <w:rsid w:val="3F854A01"/>
    <w:rsid w:val="3FCF2120"/>
    <w:rsid w:val="3FDF2363"/>
    <w:rsid w:val="405A40DF"/>
    <w:rsid w:val="40EF45C3"/>
    <w:rsid w:val="40F9018D"/>
    <w:rsid w:val="422C1AAB"/>
    <w:rsid w:val="42383FAC"/>
    <w:rsid w:val="4242307D"/>
    <w:rsid w:val="430B6104"/>
    <w:rsid w:val="433230F1"/>
    <w:rsid w:val="435C3CCA"/>
    <w:rsid w:val="43A15B81"/>
    <w:rsid w:val="44206687"/>
    <w:rsid w:val="4440539A"/>
    <w:rsid w:val="445D5F4C"/>
    <w:rsid w:val="44F543D6"/>
    <w:rsid w:val="45A57BAB"/>
    <w:rsid w:val="45D1274E"/>
    <w:rsid w:val="46625A9C"/>
    <w:rsid w:val="4678706D"/>
    <w:rsid w:val="4698770F"/>
    <w:rsid w:val="46CB3641"/>
    <w:rsid w:val="46CC73B9"/>
    <w:rsid w:val="46DD5122"/>
    <w:rsid w:val="46FC7C9E"/>
    <w:rsid w:val="476B6BD2"/>
    <w:rsid w:val="47C14A44"/>
    <w:rsid w:val="47D26C51"/>
    <w:rsid w:val="47E56984"/>
    <w:rsid w:val="486F44A0"/>
    <w:rsid w:val="48822425"/>
    <w:rsid w:val="48965ED0"/>
    <w:rsid w:val="48CE11C6"/>
    <w:rsid w:val="48F52BF7"/>
    <w:rsid w:val="49816239"/>
    <w:rsid w:val="499248EA"/>
    <w:rsid w:val="49CB1BAA"/>
    <w:rsid w:val="49F16172"/>
    <w:rsid w:val="49F64E79"/>
    <w:rsid w:val="49FA168E"/>
    <w:rsid w:val="4AD056CA"/>
    <w:rsid w:val="4B045373"/>
    <w:rsid w:val="4B5005B9"/>
    <w:rsid w:val="4B8B15F1"/>
    <w:rsid w:val="4C4A3198"/>
    <w:rsid w:val="4C891FD4"/>
    <w:rsid w:val="4C9B5863"/>
    <w:rsid w:val="4CCF375F"/>
    <w:rsid w:val="4CD86AB8"/>
    <w:rsid w:val="4CE94821"/>
    <w:rsid w:val="4CFB2909"/>
    <w:rsid w:val="4D044D9B"/>
    <w:rsid w:val="4DD03C33"/>
    <w:rsid w:val="4DDA060D"/>
    <w:rsid w:val="4DDD3C5A"/>
    <w:rsid w:val="4DE66FB2"/>
    <w:rsid w:val="4E2D698F"/>
    <w:rsid w:val="4E546612"/>
    <w:rsid w:val="4E9E163B"/>
    <w:rsid w:val="4EAF55F6"/>
    <w:rsid w:val="4EB3158A"/>
    <w:rsid w:val="4EC310A1"/>
    <w:rsid w:val="4F391364"/>
    <w:rsid w:val="4F5904BD"/>
    <w:rsid w:val="4F6B3C13"/>
    <w:rsid w:val="4FE90FDC"/>
    <w:rsid w:val="4FEA3DDF"/>
    <w:rsid w:val="502B33A2"/>
    <w:rsid w:val="50706D7F"/>
    <w:rsid w:val="507B7E86"/>
    <w:rsid w:val="50D2381E"/>
    <w:rsid w:val="50FE0AB7"/>
    <w:rsid w:val="516A1CA8"/>
    <w:rsid w:val="51990092"/>
    <w:rsid w:val="51EB2DE9"/>
    <w:rsid w:val="52374280"/>
    <w:rsid w:val="526112FD"/>
    <w:rsid w:val="52754DA9"/>
    <w:rsid w:val="52A64F62"/>
    <w:rsid w:val="52AF02BB"/>
    <w:rsid w:val="532A5B93"/>
    <w:rsid w:val="534A7FE3"/>
    <w:rsid w:val="54422A68"/>
    <w:rsid w:val="5455279C"/>
    <w:rsid w:val="54AE468E"/>
    <w:rsid w:val="54D1276A"/>
    <w:rsid w:val="551E7032"/>
    <w:rsid w:val="552F56E3"/>
    <w:rsid w:val="552F5FAC"/>
    <w:rsid w:val="558C043F"/>
    <w:rsid w:val="562B40FC"/>
    <w:rsid w:val="564E7DEA"/>
    <w:rsid w:val="56A91E5A"/>
    <w:rsid w:val="57833AC4"/>
    <w:rsid w:val="578735B4"/>
    <w:rsid w:val="579270B8"/>
    <w:rsid w:val="5797131D"/>
    <w:rsid w:val="57F95B34"/>
    <w:rsid w:val="5809221B"/>
    <w:rsid w:val="589F0489"/>
    <w:rsid w:val="58D345D7"/>
    <w:rsid w:val="58DE7204"/>
    <w:rsid w:val="58E6255C"/>
    <w:rsid w:val="58F45AF8"/>
    <w:rsid w:val="58FC1D80"/>
    <w:rsid w:val="591F15CA"/>
    <w:rsid w:val="59594ADC"/>
    <w:rsid w:val="59AC7302"/>
    <w:rsid w:val="59E20F76"/>
    <w:rsid w:val="5A8D7133"/>
    <w:rsid w:val="5AD22D98"/>
    <w:rsid w:val="5B33135D"/>
    <w:rsid w:val="5B6836FC"/>
    <w:rsid w:val="5B751975"/>
    <w:rsid w:val="5BAF20BF"/>
    <w:rsid w:val="5BCA1CC1"/>
    <w:rsid w:val="5BE2700B"/>
    <w:rsid w:val="5BFD0242"/>
    <w:rsid w:val="5C1318BA"/>
    <w:rsid w:val="5C1A0D10"/>
    <w:rsid w:val="5C1B251D"/>
    <w:rsid w:val="5C5E240A"/>
    <w:rsid w:val="5C9D2F32"/>
    <w:rsid w:val="5D5F28DD"/>
    <w:rsid w:val="5D752101"/>
    <w:rsid w:val="5D7C6FEB"/>
    <w:rsid w:val="5DB9023F"/>
    <w:rsid w:val="5DD5494D"/>
    <w:rsid w:val="5E113E29"/>
    <w:rsid w:val="5E791D45"/>
    <w:rsid w:val="5F08322C"/>
    <w:rsid w:val="5F2D2C93"/>
    <w:rsid w:val="5F5875E4"/>
    <w:rsid w:val="5F601806"/>
    <w:rsid w:val="5FA840C8"/>
    <w:rsid w:val="604858AA"/>
    <w:rsid w:val="60A056E7"/>
    <w:rsid w:val="60A9384E"/>
    <w:rsid w:val="60B2530D"/>
    <w:rsid w:val="60D3786A"/>
    <w:rsid w:val="60E03D35"/>
    <w:rsid w:val="60FD6695"/>
    <w:rsid w:val="610712C2"/>
    <w:rsid w:val="612400C6"/>
    <w:rsid w:val="61357BDD"/>
    <w:rsid w:val="614D13CA"/>
    <w:rsid w:val="619A3EE4"/>
    <w:rsid w:val="61CF0031"/>
    <w:rsid w:val="61D94FD1"/>
    <w:rsid w:val="62682234"/>
    <w:rsid w:val="62BF00A6"/>
    <w:rsid w:val="62FD0BCE"/>
    <w:rsid w:val="634405AB"/>
    <w:rsid w:val="63495BC1"/>
    <w:rsid w:val="635A1B7D"/>
    <w:rsid w:val="637075F2"/>
    <w:rsid w:val="63C17E4E"/>
    <w:rsid w:val="63CD05A1"/>
    <w:rsid w:val="64061D04"/>
    <w:rsid w:val="648124F1"/>
    <w:rsid w:val="6498782D"/>
    <w:rsid w:val="64AD3F2E"/>
    <w:rsid w:val="64DD0CB7"/>
    <w:rsid w:val="657B5DDA"/>
    <w:rsid w:val="65C6799D"/>
    <w:rsid w:val="65C92FEA"/>
    <w:rsid w:val="65FC1204"/>
    <w:rsid w:val="66BD78CB"/>
    <w:rsid w:val="671E1113"/>
    <w:rsid w:val="67236729"/>
    <w:rsid w:val="679338AF"/>
    <w:rsid w:val="67D22629"/>
    <w:rsid w:val="67D31EFE"/>
    <w:rsid w:val="6853303E"/>
    <w:rsid w:val="68650C43"/>
    <w:rsid w:val="68BE670A"/>
    <w:rsid w:val="68D75A1D"/>
    <w:rsid w:val="699658D9"/>
    <w:rsid w:val="69AF0748"/>
    <w:rsid w:val="69F745C9"/>
    <w:rsid w:val="6A415844"/>
    <w:rsid w:val="6A84070E"/>
    <w:rsid w:val="6A8F4802"/>
    <w:rsid w:val="6AF91C7B"/>
    <w:rsid w:val="6B313C98"/>
    <w:rsid w:val="6B317667"/>
    <w:rsid w:val="6C225202"/>
    <w:rsid w:val="6C327B3B"/>
    <w:rsid w:val="6C4B29AA"/>
    <w:rsid w:val="6CA600AB"/>
    <w:rsid w:val="6CBA368C"/>
    <w:rsid w:val="6CDC7D7F"/>
    <w:rsid w:val="6CF9436E"/>
    <w:rsid w:val="6D392803"/>
    <w:rsid w:val="6D6D4BA2"/>
    <w:rsid w:val="6D9263B7"/>
    <w:rsid w:val="6DA71E62"/>
    <w:rsid w:val="6DE60BA0"/>
    <w:rsid w:val="6DF17581"/>
    <w:rsid w:val="6E0C212D"/>
    <w:rsid w:val="6E0E0133"/>
    <w:rsid w:val="6E5A5127"/>
    <w:rsid w:val="6E8977BA"/>
    <w:rsid w:val="6E9817AB"/>
    <w:rsid w:val="6F1C23DC"/>
    <w:rsid w:val="6F20011E"/>
    <w:rsid w:val="6F391788"/>
    <w:rsid w:val="6F4B0F13"/>
    <w:rsid w:val="6F8A1A3C"/>
    <w:rsid w:val="6FA10EE2"/>
    <w:rsid w:val="6FBD4D81"/>
    <w:rsid w:val="6FDE3B35"/>
    <w:rsid w:val="6FF2313D"/>
    <w:rsid w:val="70205EFC"/>
    <w:rsid w:val="706202C3"/>
    <w:rsid w:val="707F2C23"/>
    <w:rsid w:val="70940275"/>
    <w:rsid w:val="70FF5B11"/>
    <w:rsid w:val="716A5681"/>
    <w:rsid w:val="71A87F57"/>
    <w:rsid w:val="71C31235"/>
    <w:rsid w:val="720C3870"/>
    <w:rsid w:val="720F6228"/>
    <w:rsid w:val="721D6B97"/>
    <w:rsid w:val="72565C05"/>
    <w:rsid w:val="729B5D0E"/>
    <w:rsid w:val="72D059B7"/>
    <w:rsid w:val="730B2E93"/>
    <w:rsid w:val="733E2591"/>
    <w:rsid w:val="73685BF0"/>
    <w:rsid w:val="73DB2866"/>
    <w:rsid w:val="74051691"/>
    <w:rsid w:val="74085625"/>
    <w:rsid w:val="740C72C2"/>
    <w:rsid w:val="7463285B"/>
    <w:rsid w:val="74A964C0"/>
    <w:rsid w:val="74E4399C"/>
    <w:rsid w:val="74E51261"/>
    <w:rsid w:val="74EB6AD9"/>
    <w:rsid w:val="752B5127"/>
    <w:rsid w:val="75D05CCE"/>
    <w:rsid w:val="75D457BF"/>
    <w:rsid w:val="764165DE"/>
    <w:rsid w:val="764566BC"/>
    <w:rsid w:val="76524935"/>
    <w:rsid w:val="766D31EE"/>
    <w:rsid w:val="76797FEA"/>
    <w:rsid w:val="768E0063"/>
    <w:rsid w:val="76B31878"/>
    <w:rsid w:val="76FF2D0F"/>
    <w:rsid w:val="77147E3D"/>
    <w:rsid w:val="772207AC"/>
    <w:rsid w:val="77A64F39"/>
    <w:rsid w:val="77E45A61"/>
    <w:rsid w:val="784C4956"/>
    <w:rsid w:val="78591FAB"/>
    <w:rsid w:val="78866B18"/>
    <w:rsid w:val="789D27E0"/>
    <w:rsid w:val="795F5CE7"/>
    <w:rsid w:val="797F5A41"/>
    <w:rsid w:val="79D55FA9"/>
    <w:rsid w:val="79D879DC"/>
    <w:rsid w:val="79F857F4"/>
    <w:rsid w:val="7A1C14E2"/>
    <w:rsid w:val="7A74131E"/>
    <w:rsid w:val="7B0D52CF"/>
    <w:rsid w:val="7B1B3E90"/>
    <w:rsid w:val="7B2014A6"/>
    <w:rsid w:val="7B4927AB"/>
    <w:rsid w:val="7B6770D5"/>
    <w:rsid w:val="7C120DEF"/>
    <w:rsid w:val="7C413482"/>
    <w:rsid w:val="7C4F3DF1"/>
    <w:rsid w:val="7C7E46D6"/>
    <w:rsid w:val="7D364FB1"/>
    <w:rsid w:val="7D6C452F"/>
    <w:rsid w:val="7D7B29C4"/>
    <w:rsid w:val="7DDD367E"/>
    <w:rsid w:val="7DE62533"/>
    <w:rsid w:val="7E7C2E97"/>
    <w:rsid w:val="7EA06B86"/>
    <w:rsid w:val="7EB42631"/>
    <w:rsid w:val="7EC16AFC"/>
    <w:rsid w:val="7EE03426"/>
    <w:rsid w:val="7F08297D"/>
    <w:rsid w:val="7F4B6D8D"/>
    <w:rsid w:val="7FAA7590"/>
    <w:rsid w:val="7FC41B3B"/>
    <w:rsid w:val="7FDF36DE"/>
    <w:rsid w:val="EFDBBAE2"/>
    <w:rsid w:val="FDF5CB6A"/>
    <w:rsid w:val="FF6B2E6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方正仿宋_GBK"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方正仿宋_GBK" w:cs="Times New Roman"/>
      <w:kern w:val="2"/>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7"/>
    <w:semiHidden/>
    <w:unhideWhenUsed/>
    <w:qFormat/>
    <w:uiPriority w:val="99"/>
    <w:rPr>
      <w:sz w:val="18"/>
      <w:szCs w:val="18"/>
    </w:rPr>
  </w:style>
  <w:style w:type="paragraph" w:styleId="3">
    <w:name w:val="footer"/>
    <w:basedOn w:val="1"/>
    <w:link w:val="16"/>
    <w:unhideWhenUsed/>
    <w:qFormat/>
    <w:uiPriority w:val="99"/>
    <w:pPr>
      <w:tabs>
        <w:tab w:val="center" w:pos="4153"/>
        <w:tab w:val="right" w:pos="8306"/>
      </w:tabs>
      <w:snapToGrid w:val="0"/>
      <w:jc w:val="left"/>
    </w:pPr>
    <w:rPr>
      <w:sz w:val="18"/>
      <w:szCs w:val="18"/>
    </w:rPr>
  </w:style>
  <w:style w:type="paragraph" w:styleId="4">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NormalCharacter"/>
    <w:qFormat/>
    <w:uiPriority w:val="0"/>
  </w:style>
  <w:style w:type="table" w:customStyle="1" w:styleId="8">
    <w:name w:val="TableNormal"/>
    <w:qFormat/>
    <w:uiPriority w:val="0"/>
    <w:tblPr>
      <w:tblCellMar>
        <w:top w:w="0" w:type="dxa"/>
        <w:left w:w="0" w:type="dxa"/>
        <w:bottom w:w="0" w:type="dxa"/>
        <w:right w:w="0" w:type="dxa"/>
      </w:tblCellMar>
    </w:tblPr>
  </w:style>
  <w:style w:type="paragraph" w:customStyle="1" w:styleId="9">
    <w:name w:val="Footer"/>
    <w:basedOn w:val="1"/>
    <w:link w:val="14"/>
    <w:qFormat/>
    <w:uiPriority w:val="0"/>
    <w:pPr>
      <w:tabs>
        <w:tab w:val="center" w:pos="4153"/>
        <w:tab w:val="right" w:pos="8306"/>
      </w:tabs>
      <w:snapToGrid w:val="0"/>
      <w:jc w:val="left"/>
    </w:pPr>
    <w:rPr>
      <w:sz w:val="18"/>
    </w:rPr>
  </w:style>
  <w:style w:type="paragraph" w:customStyle="1" w:styleId="10">
    <w:name w:val="Header"/>
    <w:basedOn w:val="1"/>
    <w:link w:val="11"/>
    <w:qFormat/>
    <w:uiPriority w:val="0"/>
    <w:pPr>
      <w:pBdr>
        <w:bottom w:val="single" w:color="000000" w:sz="6" w:space="1"/>
      </w:pBdr>
      <w:tabs>
        <w:tab w:val="center" w:pos="4153"/>
        <w:tab w:val="right" w:pos="8306"/>
      </w:tabs>
      <w:snapToGrid w:val="0"/>
      <w:jc w:val="center"/>
    </w:pPr>
    <w:rPr>
      <w:sz w:val="18"/>
      <w:szCs w:val="18"/>
    </w:rPr>
  </w:style>
  <w:style w:type="character" w:customStyle="1" w:styleId="11">
    <w:name w:val="UserStyle_0"/>
    <w:basedOn w:val="7"/>
    <w:link w:val="10"/>
    <w:qFormat/>
    <w:uiPriority w:val="0"/>
    <w:rPr>
      <w:kern w:val="2"/>
      <w:sz w:val="18"/>
      <w:szCs w:val="18"/>
    </w:rPr>
  </w:style>
  <w:style w:type="paragraph" w:customStyle="1" w:styleId="12">
    <w:name w:val="UserStyle_1"/>
    <w:basedOn w:val="1"/>
    <w:qFormat/>
    <w:uiPriority w:val="0"/>
    <w:pPr>
      <w:spacing w:before="100" w:beforeAutospacing="1" w:after="100" w:afterAutospacing="1"/>
      <w:jc w:val="left"/>
    </w:pPr>
    <w:rPr>
      <w:rFonts w:ascii="宋体" w:hAnsi="宋体" w:eastAsia="宋体"/>
      <w:kern w:val="0"/>
      <w:sz w:val="24"/>
      <w:szCs w:val="24"/>
    </w:rPr>
  </w:style>
  <w:style w:type="paragraph" w:customStyle="1" w:styleId="13">
    <w:name w:val="HtmlNormal"/>
    <w:basedOn w:val="1"/>
    <w:qFormat/>
    <w:uiPriority w:val="0"/>
    <w:pPr>
      <w:spacing w:before="100" w:beforeAutospacing="1" w:after="100" w:afterAutospacing="1"/>
      <w:jc w:val="left"/>
    </w:pPr>
    <w:rPr>
      <w:rFonts w:ascii="宋体" w:hAnsi="宋体" w:eastAsia="宋体"/>
      <w:kern w:val="0"/>
      <w:sz w:val="24"/>
      <w:szCs w:val="24"/>
    </w:rPr>
  </w:style>
  <w:style w:type="character" w:customStyle="1" w:styleId="14">
    <w:name w:val="UserStyle_2"/>
    <w:basedOn w:val="7"/>
    <w:link w:val="9"/>
    <w:qFormat/>
    <w:uiPriority w:val="0"/>
    <w:rPr>
      <w:kern w:val="2"/>
      <w:sz w:val="18"/>
      <w:szCs w:val="32"/>
    </w:rPr>
  </w:style>
  <w:style w:type="character" w:customStyle="1" w:styleId="15">
    <w:name w:val="页眉 Char"/>
    <w:basedOn w:val="6"/>
    <w:link w:val="4"/>
    <w:semiHidden/>
    <w:qFormat/>
    <w:uiPriority w:val="99"/>
    <w:rPr>
      <w:kern w:val="2"/>
      <w:sz w:val="18"/>
      <w:szCs w:val="18"/>
    </w:rPr>
  </w:style>
  <w:style w:type="character" w:customStyle="1" w:styleId="16">
    <w:name w:val="页脚 Char"/>
    <w:basedOn w:val="6"/>
    <w:link w:val="3"/>
    <w:qFormat/>
    <w:uiPriority w:val="99"/>
    <w:rPr>
      <w:kern w:val="2"/>
      <w:sz w:val="18"/>
      <w:szCs w:val="18"/>
    </w:rPr>
  </w:style>
  <w:style w:type="character" w:customStyle="1" w:styleId="17">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8</Pages>
  <Words>4144</Words>
  <Characters>4506</Characters>
  <Lines>36</Lines>
  <Paragraphs>10</Paragraphs>
  <TotalTime>0</TotalTime>
  <ScaleCrop>false</ScaleCrop>
  <LinksUpToDate>false</LinksUpToDate>
  <CharactersWithSpaces>4569</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2021-12-21T03:15:00Z</dcterms:created>
  <dc:creator>Administrator</dc:creator>
  <cp:lastModifiedBy>丁友情</cp:lastModifiedBy>
  <cp:lastPrinted>2023-02-01T01:50:00Z</cp:lastPrinted>
  <dcterms:modified xsi:type="dcterms:W3CDTF">2026-08-11T14:07:31Z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80F5E05E3699458AB301CF1DAA720268_13</vt:lpwstr>
  </property>
  <property fmtid="{D5CDD505-2E9C-101B-9397-08002B2CF9AE}" pid="4" name="KSOTemplateDocerSaveRecord">
    <vt:lpwstr>eyJoZGlkIjoiNzIyYjA0MzIxMjBmY2ViM2UzZmQ2MzJlNTdhNzI2NjkiLCJ1c2VySWQiOiI5NDkzODI1NTkifQ==</vt:lpwstr>
  </property>
</Properties>
</file>