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62AE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城口县北屏乡人民政府</w:t>
      </w:r>
    </w:p>
    <w:p w14:paraId="5F27F64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2019年度部门决算情况说明</w:t>
      </w:r>
    </w:p>
    <w:p w14:paraId="2A671C2F">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方正仿宋_GBK" w:hAnsi="方正仿宋_GBK" w:eastAsia="方正仿宋_GBK" w:cs="方正仿宋_GBK"/>
          <w:sz w:val="32"/>
          <w:szCs w:val="32"/>
        </w:rPr>
      </w:pPr>
    </w:p>
    <w:p w14:paraId="2F64491C">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w:t>
      </w:r>
      <w:r>
        <w:rPr>
          <w:rFonts w:hint="eastAsia" w:ascii="方正黑体_GBK" w:hAnsi="方正黑体_GBK" w:eastAsia="方正黑体_GBK" w:cs="方正黑体_GBK"/>
          <w:sz w:val="32"/>
          <w:szCs w:val="32"/>
        </w:rPr>
        <w:t>一、部门基本情况</w:t>
      </w:r>
    </w:p>
    <w:p w14:paraId="21EE94FC">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（一）职能职责。</w:t>
      </w:r>
    </w:p>
    <w:p w14:paraId="30139D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1.负责贯彻执行党的路线方针、政策和国家法律法规，贯彻执行上级行政机关命令及同级党委的决定和乡人代会决议；</w:t>
      </w:r>
    </w:p>
    <w:p w14:paraId="3F006D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2.对乡人代会和主席团及上级行政机关负责并报告工作； </w:t>
      </w:r>
    </w:p>
    <w:p w14:paraId="42C0D8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3.组织编制和执行本乡国民经济和社会发展计划、编制并执行财政预算； </w:t>
      </w:r>
    </w:p>
    <w:p w14:paraId="6B9423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4.组织制定本乡政府年度工作计划； </w:t>
      </w:r>
    </w:p>
    <w:p w14:paraId="5F1AEF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5.组织实施本行政区域经济和各项社会事业的行政工作； </w:t>
      </w:r>
    </w:p>
    <w:p w14:paraId="156EE0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6.检查政府工作计划、决议的执行情况，按时向上级政府和同级党委、人大报告工作； </w:t>
      </w:r>
    </w:p>
    <w:p w14:paraId="31BC77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7.指导支持和帮助村（居）委会工作。 </w:t>
      </w:r>
    </w:p>
    <w:p w14:paraId="44B561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（二）机构设置。</w:t>
      </w:r>
    </w:p>
    <w:p w14:paraId="52042A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北屏乡政府属独立核算的行政全额拨款预算单位，设有人大机关、政府机关、共产党机关、财政参公、财政事业、文化服务中心、社保所、农服中心8个机构，编制数37人，较上年总数无变化，农服中心与畜牧合并为一个机构。</w:t>
      </w:r>
    </w:p>
    <w:p w14:paraId="38EB4C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（三）单位构成。</w:t>
      </w:r>
    </w:p>
    <w:p w14:paraId="04331D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从预算单位构成看，纳入本部门2019年度决算编制的二级预算单位主要包括：</w:t>
      </w:r>
    </w:p>
    <w:p w14:paraId="686CEB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1.北屏乡人民政府（机关）</w:t>
      </w:r>
    </w:p>
    <w:p w14:paraId="7CBBA9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2.北屏乡人民政府（事业）</w:t>
      </w:r>
    </w:p>
    <w:p w14:paraId="5C0571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（四）机构改革情况。</w:t>
      </w:r>
    </w:p>
    <w:p w14:paraId="599A8AFD">
      <w:pPr>
        <w:pStyle w:val="2"/>
        <w:keepNext w:val="0"/>
        <w:keepLines w:val="0"/>
        <w:pageBreakBefore w:val="0"/>
        <w:kinsoku/>
        <w:wordWrap/>
        <w:overflowPunct/>
        <w:topLinePunct w:val="0"/>
        <w:autoSpaceDE/>
        <w:autoSpaceDN/>
        <w:bidi w:val="0"/>
        <w:adjustRightInd/>
        <w:snapToGrid/>
        <w:spacing w:before="0" w:beforeAutospacing="0" w:afterAutospacing="0" w:line="560" w:lineRule="exact"/>
        <w:ind w:firstLine="640" w:firstLineChars="200"/>
        <w:textAlignment w:val="auto"/>
        <w:outlineLvl w:val="9"/>
        <w:rPr>
          <w:rStyle w:val="5"/>
          <w:rFonts w:hint="eastAsia" w:ascii="方正仿宋_GBK" w:hAnsi="方正仿宋_GBK" w:eastAsia="方正仿宋_GBK" w:cs="方正仿宋_GBK"/>
          <w:b w:val="0"/>
          <w:bCs w:val="0"/>
          <w:sz w:val="32"/>
          <w:szCs w:val="32"/>
          <w:shd w:val="clear" w:color="auto" w:fill="FFFFFF"/>
          <w:lang w:eastAsia="zh-CN"/>
        </w:rPr>
      </w:pPr>
      <w:r>
        <w:rPr>
          <w:rStyle w:val="5"/>
          <w:rFonts w:hint="eastAsia" w:ascii="方正仿宋_GBK" w:hAnsi="方正仿宋_GBK" w:eastAsia="方正仿宋_GBK" w:cs="方正仿宋_GBK"/>
          <w:b w:val="0"/>
          <w:bCs w:val="0"/>
          <w:sz w:val="32"/>
          <w:szCs w:val="32"/>
          <w:shd w:val="clear" w:color="auto" w:fill="FFFFFF"/>
          <w:lang w:eastAsia="zh-CN"/>
        </w:rPr>
        <w:t>本单位不涉及本次党和国家机构改革。</w:t>
      </w:r>
    </w:p>
    <w:p w14:paraId="78533A6C">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 </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二、部门决算情况说明</w:t>
      </w:r>
    </w:p>
    <w:p w14:paraId="712E47B0">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（一）收入支出决算总体情况说明</w:t>
      </w:r>
    </w:p>
    <w:p w14:paraId="4883BC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总体情况。本部门2019年度收入总计1709.85万元，支出总计1709.85万元。收支较上年决算数增加742.12万元、增长76.6%，主要原因是工程项目的增加，因此调整预算下达项目资金较2018年增加。本部分的收入总计包括收入合计、用事业基金弥补收支差额、年初结转和结余，支出总计包括本年支出合计、结余分配、年末结转和结余。</w:t>
      </w:r>
    </w:p>
    <w:p w14:paraId="2ADA5F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2.收入情况。本部门2019年度收入合计1709.85万元，较上年决算数增加742.12万元，增长76.6%，主要原因是本年工程项目的增加。其中：财政拨款收入1709.85万元，占100%。</w:t>
      </w:r>
    </w:p>
    <w:p w14:paraId="595898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3.支出情况。本部门2019年度支出合计1709.85万元，较上年决算数增加742.12万元，增长76.6%，主要原因是工程项目方面的支出增加。其中：基本支出770.32万元，占45.05%；项目支出939.53万元，占54.95%。</w:t>
      </w:r>
    </w:p>
    <w:p w14:paraId="1DBB39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4.结转结余情况。本部门2019年度年末结转和结余0万元。</w:t>
      </w:r>
    </w:p>
    <w:p w14:paraId="1924B5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r>
        <w:rPr>
          <w:rFonts w:hint="eastAsia" w:ascii="方正楷体_GBK" w:hAnsi="方正楷体_GBK" w:eastAsia="方正楷体_GBK" w:cs="方正楷体_GBK"/>
          <w:sz w:val="32"/>
          <w:szCs w:val="32"/>
        </w:rPr>
        <w:t>（二）财政拨款收入支出决算总体情况说明</w:t>
      </w:r>
    </w:p>
    <w:p w14:paraId="788BC9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2019年度财政拨款收、支总计1709.85万元。与2018年相比，财政拨款收、支总计各增加742.12万元，增长76.6%。主要原因是年初预算时主要预算本单位人员经费等一系列基本支出和部分延续性项目支出，预算资金总量较小，年中追加安排了用于保障单位人员经费支出和机关正常运行的经费397.71万元，追加了专项用于各项扶贫项目支出资金676.13万元。</w:t>
      </w:r>
    </w:p>
    <w:p w14:paraId="15D5B4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（三）一般公共预算财政拨款支出决算情况说明</w:t>
      </w:r>
    </w:p>
    <w:p w14:paraId="55F401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收入情况。2019年度一般公共预算财政拨款收入1709.85万元，较上年决算数增加742.12万元，增长76.6%。主要原因是工程项目的增加，因此调整预算下达项目资金较2018年增加。较年初预算数增加1156.88万元，增长209%。主要原因是年中追加单位人员经费支出和机关正常运行的经费397.71万元，安排基础设施建设专项经费支出预算676.13万元。</w:t>
      </w:r>
    </w:p>
    <w:p w14:paraId="3314BD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支出情况。2019年度一般公共预算财政拨款支出1709.85万元，较上年决算数增加742.12万元，增长76.6%。主要原因是工程项目的支出增加。较年初预算数增加1156.88万元，增长209%。主要原因是部分支出年初未申请财政拨款预算，而是按规定通过年中调整预算增加了收入，然后本年对应实施相关项目之后实现支出。</w:t>
      </w:r>
    </w:p>
    <w:p w14:paraId="3F9318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3.结转结余情况。2019年度年末一般公共预算财政拨款结转和结余0万元，较上年决算数减少0万元。</w:t>
      </w:r>
    </w:p>
    <w:p w14:paraId="650B0C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4.比较情况。本部门2019年度一般公共预算财政拨款支出主要用于以下几个方面：</w:t>
      </w:r>
    </w:p>
    <w:p w14:paraId="44FBDE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（1）一般公共服务支出437.63万元，占25.6%，较年初预算数增加208.63万元，增长91.1%，主要原因是年中涉及</w:t>
      </w:r>
      <w:bookmarkStart w:id="0" w:name="_GoBack"/>
      <w:bookmarkEnd w:id="0"/>
      <w:r>
        <w:rPr>
          <w:rFonts w:hint="eastAsia" w:ascii="方正仿宋_GBK" w:hAnsi="方正仿宋_GBK" w:eastAsia="方正仿宋_GBK" w:cs="方正仿宋_GBK"/>
          <w:sz w:val="32"/>
          <w:szCs w:val="32"/>
        </w:rPr>
        <w:t>人员薪资调整以及人员变动，而年初预算时是按照2018年实行的工资标准以及工资统发人员数进行的，因此2019年全年实际支出相对年初预算会有一定的变化；</w:t>
      </w:r>
    </w:p>
    <w:p w14:paraId="6BD807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（2）文化旅游体育与传媒支出19.31万元，占1.13%，较年初预算数增加7.32万元，增长61.05%，主要原因是主要原因是人员待遇保障的调标。</w:t>
      </w:r>
    </w:p>
    <w:p w14:paraId="046B7A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社会保障与就业支出166.29万元，占9.73%，较年初预算数增加66.45万元，增长66.5%，主要原因是主要原因是主要原因是2019年年中涉及人员薪资调整，社保所工作人员的工资薪金支出属于社会保障和就业支出范畴，从而导致年终支出交年初预算增加。</w:t>
      </w:r>
    </w:p>
    <w:p w14:paraId="72564E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（4）卫生健康支出44.15万元，占2.6%，较年初预算数增加14.15万元，增长47.2%，主要原因是年中实际开支的单位职工医疗保险费用等支出决算时纳入医疗卫生与计划生育支出核算。</w:t>
      </w:r>
    </w:p>
    <w:p w14:paraId="7607D3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城乡社区支出0.08万元，占2.1%，较年初预算数减少10.85万元，下降99%，主要原因是年初预算时预算了用于城乡社区环境卫生支出资金46.93万元，实际包含了政府性基金预算财政拨款36万元，用于其他城乡社区支出资金。</w:t>
      </w:r>
    </w:p>
    <w:p w14:paraId="1C48D1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6）农林水支出965.04万元，占56.44%，较年初预算数增加922.54万元，增长2170.68%，主要原因是主要原因是年初预算时农林水支出只预算了属于该范畴的农服中心人员和兽医站人员的工资薪金等基本支出，年中调整预算追加了用于基础设施建设和其他扶贫支出的资金。  </w:t>
      </w:r>
    </w:p>
    <w:p w14:paraId="4013E2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（7）住房保障支出38.45万元，占2.25%，较年初预算数增加18.45万元，增长61.5%，主要原因是2019年年中增加了人员待遇，故住房公积金支出随之增加。  </w:t>
      </w:r>
    </w:p>
    <w:p w14:paraId="2EA12F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（四）一般公共预算财政拨款基本支出决算情况说明</w:t>
      </w:r>
    </w:p>
    <w:p w14:paraId="644644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019年度一般公共财政拨款基本支出770.32万元。其中：人员经费660.77万元，较上年决算数增加101.62万元，增长18.17%，主要原因是当年内有人员增减变动同时2019年按照县人社局文件要求年内涉及人员薪资调整，导致人员经费支出增加，人员经费用途主要包括基本工资、津贴补贴、绩效工资、奖金、社会保障缴费、退休费、生活补助、医疗费、住房公积金和其他对个人和家庭的补助支出。公用经费109.54万元，较上年决算数减少36.47万元，下降24.97%，主要原因是平时在一般性支出方面，压减开支，减少一些不必要的支出。公用经费用途主要包括办公费、印刷费、手续费、水费、电费、邮电费、差旅费、维修（护）费、会议费、培训费、公务接待费、劳务费、公务用车运行维护费、其他交通费用以及其他商品和服务支出。</w:t>
      </w:r>
    </w:p>
    <w:p w14:paraId="1AB469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（五）政府性基金预算收支决算情况说明</w:t>
      </w:r>
    </w:p>
    <w:p w14:paraId="39CB03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2019年度政府性基金预算财政拨款年初结转结余0万元，年末结转结余0万元。本年收入38.9万元，较上年决算数增加35.05万元，增长910.4%，主要原因是年中追加下达的一般性转移支付的资金。本年支出38.9万元，较上年决算数增加35.05万元，增长910.4%，主要原因是本年下达的基金全部实现支出。 </w:t>
      </w:r>
    </w:p>
    <w:p w14:paraId="648E95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 三、“三公”经费情况说明</w:t>
      </w:r>
    </w:p>
    <w:p w14:paraId="705361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 （一）“三公”经费支出总体情况说明</w:t>
      </w:r>
    </w:p>
    <w:p w14:paraId="6305AE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2019年度“三公”经费支出共计28.76万元，较年初预算数增加23.76万元，增长475.2%，主要原因一是虽然在认真贯彻落实</w:t>
      </w:r>
      <w:r>
        <w:rPr>
          <w:rFonts w:hint="eastAsia" w:ascii="方正仿宋_GBK" w:hAnsi="方正仿宋_GBK" w:eastAsia="方正仿宋_GBK" w:cs="方正仿宋_GBK"/>
          <w:sz w:val="32"/>
          <w:szCs w:val="32"/>
          <w:lang w:eastAsia="zh-CN"/>
        </w:rPr>
        <w:t>中央八项规定精神</w:t>
      </w:r>
      <w:r>
        <w:rPr>
          <w:rFonts w:hint="eastAsia" w:ascii="方正仿宋_GBK" w:hAnsi="方正仿宋_GBK" w:eastAsia="方正仿宋_GBK" w:cs="方正仿宋_GBK"/>
          <w:sz w:val="32"/>
          <w:szCs w:val="32"/>
        </w:rPr>
        <w:t xml:space="preserve">和厉行节约要求，但是2019年全年工作任务繁重，开支增多。较上年支出数减少1.44万元，下降4.76%，主要原因是：一是认真贯彻落实中央八项规定精神，按照只减不增的要求从严控制“三公”经费，全年实际支出较预算和决算均有所下降。二是严格落实公车使用规定，公车运行维护成本大幅下降。三是强化公务接待支出管理，严格遵守公务接待开支范围和开支标准，严格控制陪餐人数，对应由接待对象承担的 费用一律由接待对象自行支付，公务接待费大幅下降。  </w:t>
      </w:r>
    </w:p>
    <w:p w14:paraId="7BFA43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（二）“三公”经费分项支出情况</w:t>
      </w:r>
    </w:p>
    <w:p w14:paraId="30984C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2019年度本部门因公出国（境）费用0万元。费用支出较年初预算数增加0万元，增长0%，主要原因是与上年支出数一样都为0万元，因此无增减变动情况。较上年支出数增加0万元，增长0%，主要原因是与上年支出数一样都为0万元，因此无增减变动情况。</w:t>
      </w:r>
    </w:p>
    <w:p w14:paraId="767F17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公务车购置费0万元。费用支出较年初预算数增加0万元，增长0%，主要原因是今年我部门未购置公务用车。较上年支出数减少0万元，下降0%，主要原因是今年我部门未购置公务用车。</w:t>
      </w:r>
    </w:p>
    <w:p w14:paraId="3A1439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务车运行维护费8.55万元，主要用于主要用于机要文件交换、市内因公出行、财政业务检查等工作所需车辆的燃料费、维修费、过桥过路费、保险费等。费用支出较年初预算数增加5.25万元，增长159%，主要原因是后期费用开支增大，年初预算不够，进行了追加。较上年支出数减少0.08万元，下降0.93%，主要原因是严格控制公务用车，减少支出。</w:t>
      </w:r>
    </w:p>
    <w:p w14:paraId="06D892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务接待费20.2万元，主要用于接待接待各相关部门、单位和经济主体到本乡检查指导工作和协调相关事宜时发生的各种接待支出。费用支出较年初预算数增加18.5万元，增长1088%，主要原因是年初预算金额有限，预算不够，后期进行了专项资金追加。较上年支出数减少1.37万元，下降6.3%，主要原因是严格贯彻执行</w:t>
      </w:r>
      <w:r>
        <w:rPr>
          <w:rFonts w:hint="eastAsia" w:ascii="方正仿宋_GBK" w:hAnsi="方正仿宋_GBK" w:eastAsia="方正仿宋_GBK" w:cs="方正仿宋_GBK"/>
          <w:sz w:val="32"/>
          <w:szCs w:val="32"/>
          <w:lang w:eastAsia="zh-CN"/>
        </w:rPr>
        <w:t>中央八项规定精神</w:t>
      </w:r>
      <w:r>
        <w:rPr>
          <w:rFonts w:hint="eastAsia" w:ascii="方正仿宋_GBK" w:hAnsi="方正仿宋_GBK" w:eastAsia="方正仿宋_GBK" w:cs="方正仿宋_GBK"/>
          <w:sz w:val="32"/>
          <w:szCs w:val="32"/>
        </w:rPr>
        <w:t>，本单位在接待过程中进一步严格控制接待标准和相关花费。</w:t>
      </w:r>
    </w:p>
    <w:p w14:paraId="26A112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（三）“三公”经费实物量情况</w:t>
      </w:r>
    </w:p>
    <w:p w14:paraId="21072F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2019年度本部门因公出国（境）共计0个团组，0人；公务用车购置0辆，公务车保有量为2辆；国内公务接待</w:t>
      </w:r>
      <w:r>
        <w:rPr>
          <w:rFonts w:hint="eastAsia" w:ascii="方正仿宋_GBK" w:hAnsi="方正仿宋_GBK" w:eastAsia="方正仿宋_GBK" w:cs="方正仿宋_GBK"/>
          <w:sz w:val="32"/>
          <w:szCs w:val="32"/>
          <w:lang w:val="en-US" w:eastAsia="zh-CN"/>
        </w:rPr>
        <w:t>132</w:t>
      </w:r>
      <w:r>
        <w:rPr>
          <w:rFonts w:hint="eastAsia" w:ascii="方正仿宋_GBK" w:hAnsi="方正仿宋_GBK" w:eastAsia="方正仿宋_GBK" w:cs="方正仿宋_GBK"/>
          <w:sz w:val="32"/>
          <w:szCs w:val="32"/>
        </w:rPr>
        <w:t>批次</w:t>
      </w:r>
      <w:r>
        <w:rPr>
          <w:rFonts w:hint="eastAsia" w:ascii="方正仿宋_GBK" w:hAnsi="方正仿宋_GBK" w:eastAsia="方正仿宋_GBK" w:cs="方正仿宋_GBK"/>
          <w:sz w:val="32"/>
          <w:szCs w:val="32"/>
          <w:lang w:val="en-US" w:eastAsia="zh-CN"/>
        </w:rPr>
        <w:t>1600</w:t>
      </w:r>
      <w:r>
        <w:rPr>
          <w:rFonts w:hint="eastAsia" w:ascii="方正仿宋_GBK" w:hAnsi="方正仿宋_GBK" w:eastAsia="方正仿宋_GBK" w:cs="方正仿宋_GBK"/>
          <w:sz w:val="32"/>
          <w:szCs w:val="32"/>
        </w:rPr>
        <w:t>人， 其中：国内外事接待0批次，0人；国（境）外公务接待0批次，0人。2019年本部门人均接待费100元，车均购置费0万元，车均维护费 4.28万元。</w:t>
      </w:r>
    </w:p>
    <w:p w14:paraId="03EDFA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四、其他需要说明的事项</w:t>
      </w:r>
    </w:p>
    <w:p w14:paraId="0D9BC6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（一）机关运行经费情况说明。</w:t>
      </w:r>
      <w:r>
        <w:rPr>
          <w:rFonts w:hint="eastAsia" w:ascii="方正仿宋_GBK" w:hAnsi="方正仿宋_GBK" w:eastAsia="方正仿宋_GBK" w:cs="方正仿宋_GBK"/>
          <w:sz w:val="32"/>
          <w:szCs w:val="32"/>
        </w:rPr>
        <w:t>2019年度本部门机关运行经费支出109.04万元，机关运行经费主要用于开支主要用于办公费、公务车运行维护费、信息网络购置更新费。机关运行经费较上年决算数减少36.97万元，下降25.3%，主要原因是严格贯彻执行</w:t>
      </w:r>
      <w:r>
        <w:rPr>
          <w:rFonts w:hint="eastAsia" w:ascii="方正仿宋_GBK" w:hAnsi="方正仿宋_GBK" w:eastAsia="方正仿宋_GBK" w:cs="方正仿宋_GBK"/>
          <w:sz w:val="32"/>
          <w:szCs w:val="32"/>
          <w:lang w:eastAsia="zh-CN"/>
        </w:rPr>
        <w:t>中央八项规定精神</w:t>
      </w:r>
      <w:r>
        <w:rPr>
          <w:rFonts w:hint="eastAsia" w:ascii="方正仿宋_GBK" w:hAnsi="方正仿宋_GBK" w:eastAsia="方正仿宋_GBK" w:cs="方正仿宋_GBK"/>
          <w:sz w:val="32"/>
          <w:szCs w:val="32"/>
        </w:rPr>
        <w:t>，厉行节约，压减一些不必要的开支。</w:t>
      </w:r>
    </w:p>
    <w:p w14:paraId="2B4491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此外，本年度一般公共预算财政拨款会议费支出1.42万元，较上年决算数减少1.95万元，下降58%，主要原因是减少开会的次数，节约会议纸张，提倡电脑办公，视频会议等。本年度一般公共预算财政拨款培训费支出0万元，较上年决算数增加0万元，增长0%，主要原因是今年我部门会自行开展相关的培训，未发生支出。</w:t>
      </w:r>
    </w:p>
    <w:p w14:paraId="65F5AC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（二）国有资产占用情况说明。</w:t>
      </w:r>
      <w:r>
        <w:rPr>
          <w:rFonts w:hint="eastAsia" w:ascii="方正仿宋_GBK" w:hAnsi="方正仿宋_GBK" w:eastAsia="方正仿宋_GBK" w:cs="方正仿宋_GBK"/>
          <w:sz w:val="32"/>
          <w:szCs w:val="32"/>
        </w:rPr>
        <w:t>截至2019年12月31日，本部门共有车辆2辆，其中，副部（省）级及以上领导用车0辆、主要领导干部用车0辆、机要通信用车0辆、应急保障用车2辆、执法执勤用车0辆，特种专业技术用车0辆，离退休干部用车0辆，其他用车0辆。单价50万元（含）以上通用设备0台（套），单价100万元（含）以上专用设备0台（套）。</w:t>
      </w:r>
    </w:p>
    <w:p w14:paraId="536801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（三）政府采购支出情况说明</w:t>
      </w:r>
      <w:r>
        <w:rPr>
          <w:rFonts w:hint="eastAsia" w:ascii="方正仿宋_GBK" w:hAnsi="方正仿宋_GBK" w:eastAsia="方正仿宋_GBK" w:cs="方正仿宋_GBK"/>
          <w:sz w:val="32"/>
          <w:szCs w:val="32"/>
        </w:rPr>
        <w:t>。2019年度 本部门政府采购支出总额2.99万元，其中：政府采购货物支出2.99万元、政府采购工程支出0万元、政府采购服务支出0万元。授予中小企业合同金额2.99万元，占政府采购支出总额的100%，其中：授予小微企业合同金额 2.99万元，占政府采购支出总额的100%。主要用于采购采购货物，2019年本单位按照政府采购要求走相关程序采购了一些日常办公所需的办公用品等物资，如：电脑、打印机等。</w:t>
      </w:r>
    </w:p>
    <w:p w14:paraId="5CE58D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五、预算绩效管理情况说明</w:t>
      </w:r>
    </w:p>
    <w:p w14:paraId="6FF093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（一）预算绩效管理工作开展情况</w:t>
      </w:r>
    </w:p>
    <w:p w14:paraId="26BD07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本单位未开展预算绩效管理工作</w:t>
      </w:r>
      <w:r>
        <w:rPr>
          <w:rFonts w:hint="eastAsia" w:ascii="方正仿宋_GBK" w:hAnsi="方正仿宋_GBK" w:eastAsia="方正仿宋_GBK" w:cs="方正仿宋_GBK"/>
          <w:sz w:val="32"/>
          <w:szCs w:val="32"/>
        </w:rPr>
        <w:t xml:space="preserve">  </w:t>
      </w:r>
    </w:p>
    <w:p w14:paraId="522A4D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（二）绩效自评结果</w:t>
      </w:r>
    </w:p>
    <w:p w14:paraId="2A3564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1.绩效目标自评表</w:t>
      </w:r>
    </w:p>
    <w:p w14:paraId="3E5A75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无</w:t>
      </w:r>
    </w:p>
    <w:p w14:paraId="453DC2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2.绩效自评报告或案例</w:t>
      </w:r>
    </w:p>
    <w:p w14:paraId="5027D2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无</w:t>
      </w:r>
    </w:p>
    <w:p w14:paraId="1FB4CD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 （三）重点绩效评价结果</w:t>
      </w:r>
    </w:p>
    <w:p w14:paraId="269109CB">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无</w:t>
      </w:r>
    </w:p>
    <w:p w14:paraId="5C1D54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六、专业名词解释</w:t>
      </w:r>
    </w:p>
    <w:p w14:paraId="4CE95D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（一）财政拨款收入：</w:t>
      </w:r>
      <w:r>
        <w:rPr>
          <w:rFonts w:hint="eastAsia" w:ascii="方正仿宋_GBK" w:hAnsi="方正仿宋_GBK" w:eastAsia="方正仿宋_GBK" w:cs="方正仿宋_GBK"/>
          <w:sz w:val="32"/>
          <w:szCs w:val="32"/>
        </w:rPr>
        <w:t>指本年度从本级财政部门取得的财政拨款，包括一般公共预算财政拨款和政府性基金预算财政拨款。</w:t>
      </w:r>
    </w:p>
    <w:p w14:paraId="3B83F9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（二）事业收入：</w:t>
      </w:r>
      <w:r>
        <w:rPr>
          <w:rFonts w:hint="eastAsia" w:ascii="方正仿宋_GBK" w:hAnsi="方正仿宋_GBK" w:eastAsia="方正仿宋_GBK" w:cs="方正仿宋_GBK"/>
          <w:sz w:val="32"/>
          <w:szCs w:val="32"/>
        </w:rPr>
        <w:t>指事业单位开展专业业务活动及其辅助活动取得的现金流入；事业单位收到的财政专户实际核拨的教育收费等资金在此反映。</w:t>
      </w:r>
    </w:p>
    <w:p w14:paraId="69E76E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（三）经营收入：</w:t>
      </w:r>
      <w:r>
        <w:rPr>
          <w:rFonts w:hint="eastAsia" w:ascii="方正仿宋_GBK" w:hAnsi="方正仿宋_GBK" w:eastAsia="方正仿宋_GBK" w:cs="方正仿宋_GBK"/>
          <w:sz w:val="32"/>
          <w:szCs w:val="32"/>
        </w:rPr>
        <w:t>指事业单位在专业业务活动及其辅助活动之外开展非独立核算经营活动取得的现金流入。</w:t>
      </w:r>
    </w:p>
    <w:p w14:paraId="3EC81C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（四）其他收入：</w:t>
      </w:r>
      <w:r>
        <w:rPr>
          <w:rFonts w:hint="eastAsia" w:ascii="方正仿宋_GBK" w:hAnsi="方正仿宋_GBK" w:eastAsia="方正仿宋_GBK" w:cs="方正仿宋_GBK"/>
          <w:sz w:val="32"/>
          <w:szCs w:val="32"/>
        </w:rPr>
        <w:t>指单位取得的除“财政拨款 收入”、“事业收入”、“经营收入”等以外的收入，包括未纳入财政预算或财政专户管理的投资收益、银行存款利息收入、租金收入、捐赠收入，现金盘盈收入、 存货盘盈收入、收回已核销的应收及预付款项、无法偿付的应付及预收款项等。各单位从本级财政部门以外的同级单位取得的经费、从非本级财政部门取得的经费， 以及行政单位收到的财政专户管理资金反映在本项内。</w:t>
      </w:r>
    </w:p>
    <w:p w14:paraId="2C3338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（五）用事业基金弥补收支差额：</w:t>
      </w:r>
      <w:r>
        <w:rPr>
          <w:rFonts w:hint="eastAsia" w:ascii="方正仿宋_GBK" w:hAnsi="方正仿宋_GBK" w:eastAsia="方正仿宋_GBK" w:cs="方正仿宋_GBK"/>
          <w:sz w:val="32"/>
          <w:szCs w:val="32"/>
        </w:rPr>
        <w:t>指事业单位在当年的“财政拨款收入”、“事业收入”、“经营收入”、“其他收入”等不足以安排当年支出的情况下，使用以前年度积累的事业基金（事业单位当年收支相抵后按国家规定提取、用于弥补以后年度收支差额的基金）弥补本年度收支缺口的资金。</w:t>
      </w:r>
    </w:p>
    <w:p w14:paraId="37547B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（六）年初结转和结余：</w:t>
      </w:r>
      <w:r>
        <w:rPr>
          <w:rFonts w:hint="eastAsia" w:ascii="方正仿宋_GBK" w:hAnsi="方正仿宋_GBK" w:eastAsia="方正仿宋_GBK" w:cs="方正仿宋_GBK"/>
          <w:sz w:val="32"/>
          <w:szCs w:val="32"/>
        </w:rPr>
        <w:t>指单位上年结转本年使用的基本支出结转、项目支出结转和结余、经营结余。</w:t>
      </w:r>
    </w:p>
    <w:p w14:paraId="24EC7A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（七）结余分配：</w:t>
      </w:r>
      <w:r>
        <w:rPr>
          <w:rFonts w:hint="eastAsia" w:ascii="方正仿宋_GBK" w:hAnsi="方正仿宋_GBK" w:eastAsia="方正仿宋_GBK" w:cs="方正仿宋_GBK"/>
          <w:sz w:val="32"/>
          <w:szCs w:val="32"/>
        </w:rPr>
        <w:t>指单位按照国家有关规定，缴纳所得税、提取专用基金、转入事业基金等当年结余的分配情况。</w:t>
      </w:r>
    </w:p>
    <w:p w14:paraId="49459B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（八）年末结转和结余：</w:t>
      </w:r>
      <w:r>
        <w:rPr>
          <w:rFonts w:hint="eastAsia" w:ascii="方正仿宋_GBK" w:hAnsi="方正仿宋_GBK" w:eastAsia="方正仿宋_GBK" w:cs="方正仿宋_GBK"/>
          <w:sz w:val="32"/>
          <w:szCs w:val="32"/>
        </w:rPr>
        <w:t>指单位结转下年的基本支出结转、项目支出结转和结余、经营结余。</w:t>
      </w:r>
    </w:p>
    <w:p w14:paraId="1BDA18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（九）基本支出：</w:t>
      </w:r>
      <w:r>
        <w:rPr>
          <w:rFonts w:hint="eastAsia" w:ascii="方正仿宋_GBK" w:hAnsi="方正仿宋_GBK" w:eastAsia="方正仿宋_GBK" w:cs="方正仿宋_GBK"/>
          <w:sz w:val="32"/>
          <w:szCs w:val="32"/>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088220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（十）项目支出：</w:t>
      </w:r>
      <w:r>
        <w:rPr>
          <w:rFonts w:hint="eastAsia" w:ascii="方正仿宋_GBK" w:hAnsi="方正仿宋_GBK" w:eastAsia="方正仿宋_GBK" w:cs="方正仿宋_GBK"/>
          <w:sz w:val="32"/>
          <w:szCs w:val="32"/>
        </w:rPr>
        <w:t>指在基本支出之外为完成特定行政任务和事业发展目标所发生的支出。</w:t>
      </w:r>
    </w:p>
    <w:p w14:paraId="5D0368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（十一）经营支出：</w:t>
      </w:r>
      <w:r>
        <w:rPr>
          <w:rFonts w:hint="eastAsia" w:ascii="方正仿宋_GBK" w:hAnsi="方正仿宋_GBK" w:eastAsia="方正仿宋_GBK" w:cs="方正仿宋_GBK"/>
          <w:sz w:val="32"/>
          <w:szCs w:val="32"/>
        </w:rPr>
        <w:t>指事业单位在专业业务活动及其辅助活动之外开展非独立核算经营活动发生的支出。</w:t>
      </w:r>
    </w:p>
    <w:p w14:paraId="719494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（十二）“三公”经费：</w:t>
      </w:r>
      <w:r>
        <w:rPr>
          <w:rFonts w:hint="eastAsia" w:ascii="方正仿宋_GBK" w:hAnsi="方正仿宋_GBK" w:eastAsia="方正仿宋_GBK" w:cs="方正仿宋_GBK"/>
          <w:sz w:val="32"/>
          <w:szCs w:val="32"/>
        </w:rPr>
        <w:t xml:space="preserve"> 指用一般公共预算财政拨款安排的因公出国（境）费、公务用车购置及运行维护费、公务接待费。其中，因公出国（境）费反映单位公务出国（境）的国际旅费、国 外城市间交通费、住宿费、伙食费、培训费、公杂费等支出；公务用车购置费反映单位公务用车购置支出（含车辆购置税）；公务用车运行维护费反映单位按规定保 留的公务用车燃料费、维修费、过路过桥费、保险费、安全奖励费用等支出；公务接待费反映单位按规定开支的各类公务接待（含外宾接待）支出。</w:t>
      </w:r>
    </w:p>
    <w:p w14:paraId="6D20FC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（十三）机关运行经费：</w:t>
      </w:r>
      <w:r>
        <w:rPr>
          <w:rFonts w:hint="eastAsia" w:ascii="方正仿宋_GBK" w:hAnsi="方正仿宋_GBK" w:eastAsia="方正仿宋_GBK" w:cs="方正仿宋_GBK"/>
          <w:sz w:val="32"/>
          <w:szCs w:val="32"/>
        </w:rPr>
        <w:t>为保障行政单位（含 参照公务员法管理的事业单位）运行用于购买货物和服务等的各项公用经费，包括办公及印刷费、邮电费、差旅费、会议费、福利费、日常维护费、专用材料及一般 设备购置费、办公用房水电费、办公用房取暖费、办公用房物业管理费、公务用车运行维护费以及其他费用。</w:t>
      </w:r>
    </w:p>
    <w:p w14:paraId="2C38D0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（十四）工资福利支出（支出经济分类科目类级）：</w:t>
      </w:r>
      <w:r>
        <w:rPr>
          <w:rFonts w:hint="eastAsia" w:ascii="方正仿宋_GBK" w:hAnsi="方正仿宋_GBK" w:eastAsia="方正仿宋_GBK" w:cs="方正仿宋_GBK"/>
          <w:sz w:val="32"/>
          <w:szCs w:val="32"/>
        </w:rPr>
        <w:t>反映单位开支的在职职工和编制外长期聘用人员的各类劳动报酬，以及为上述人员缴纳的各项社会保险费等。</w:t>
      </w:r>
    </w:p>
    <w:p w14:paraId="561782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（十五）商品和服务支出（支出经济分类科目类级）：</w:t>
      </w:r>
      <w:r>
        <w:rPr>
          <w:rFonts w:hint="eastAsia" w:ascii="方正仿宋_GBK" w:hAnsi="方正仿宋_GBK" w:eastAsia="方正仿宋_GBK" w:cs="方正仿宋_GBK"/>
          <w:sz w:val="32"/>
          <w:szCs w:val="32"/>
        </w:rPr>
        <w:t>反映单位购买商品和服务的支出（不包括用于购置固定资产的支出、战略性和应急储备支出）。</w:t>
      </w:r>
    </w:p>
    <w:p w14:paraId="5B2EAC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（十六）对个人和家庭的补助（支出经济分类科目类级）：</w:t>
      </w:r>
      <w:r>
        <w:rPr>
          <w:rFonts w:hint="eastAsia" w:ascii="方正仿宋_GBK" w:hAnsi="方正仿宋_GBK" w:eastAsia="方正仿宋_GBK" w:cs="方正仿宋_GBK"/>
          <w:sz w:val="32"/>
          <w:szCs w:val="32"/>
        </w:rPr>
        <w:t>反映用于对个人和家庭的补助支出。</w:t>
      </w:r>
    </w:p>
    <w:p w14:paraId="3696BB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（十七）其他资本性支出（支出经济分类科目类级）：</w:t>
      </w:r>
      <w:r>
        <w:rPr>
          <w:rFonts w:hint="eastAsia" w:ascii="方正仿宋_GBK" w:hAnsi="方正仿宋_GBK" w:eastAsia="方正仿宋_GBK" w:cs="方正仿宋_GBK"/>
          <w:sz w:val="32"/>
          <w:szCs w:val="32"/>
        </w:rPr>
        <w:t>反映非各级发展与改革部门集中安排的用于购置固定资产、战略性和应急性储备、土地和无形资产，以及构建基础设施、大型修缮和财政支持企业更新改造所发生的支出。</w:t>
      </w:r>
    </w:p>
    <w:p w14:paraId="3CC0C1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七、决算公开联系方式及信息反馈渠道</w:t>
      </w:r>
    </w:p>
    <w:p w14:paraId="7AB6A4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本单位决算公开信息反馈和联系方式：城口县北屏乡人民政府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 xml:space="preserve">023-59501000。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 w:name="KSOFD0355493">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4D5CB6"/>
    <w:rsid w:val="038A4CF5"/>
    <w:rsid w:val="03EA048C"/>
    <w:rsid w:val="051143F5"/>
    <w:rsid w:val="054D5CB6"/>
    <w:rsid w:val="056945FF"/>
    <w:rsid w:val="05970219"/>
    <w:rsid w:val="07F411CB"/>
    <w:rsid w:val="10E34143"/>
    <w:rsid w:val="110639A4"/>
    <w:rsid w:val="123C375C"/>
    <w:rsid w:val="1413647B"/>
    <w:rsid w:val="1EA60411"/>
    <w:rsid w:val="22303DAD"/>
    <w:rsid w:val="24233F74"/>
    <w:rsid w:val="266D7B8F"/>
    <w:rsid w:val="27DC4FAF"/>
    <w:rsid w:val="2BD64F51"/>
    <w:rsid w:val="2D1C0FCF"/>
    <w:rsid w:val="2D242362"/>
    <w:rsid w:val="2E9A42A3"/>
    <w:rsid w:val="324A2E3C"/>
    <w:rsid w:val="35840D9D"/>
    <w:rsid w:val="36BF43BE"/>
    <w:rsid w:val="37D407AA"/>
    <w:rsid w:val="44BE3BFF"/>
    <w:rsid w:val="49F272B4"/>
    <w:rsid w:val="4A43428B"/>
    <w:rsid w:val="4AB43827"/>
    <w:rsid w:val="4C520ECD"/>
    <w:rsid w:val="4DA73A28"/>
    <w:rsid w:val="557A76E8"/>
    <w:rsid w:val="56D0732E"/>
    <w:rsid w:val="57551377"/>
    <w:rsid w:val="58333B96"/>
    <w:rsid w:val="59203D18"/>
    <w:rsid w:val="5A8B0D45"/>
    <w:rsid w:val="5A9014D0"/>
    <w:rsid w:val="63F80BEA"/>
    <w:rsid w:val="67250726"/>
    <w:rsid w:val="6C765094"/>
    <w:rsid w:val="6EE9711F"/>
    <w:rsid w:val="6F73472C"/>
    <w:rsid w:val="6FAA1AB5"/>
    <w:rsid w:val="70757A8A"/>
    <w:rsid w:val="71086392"/>
    <w:rsid w:val="795B0FD2"/>
    <w:rsid w:val="79FF056E"/>
    <w:rsid w:val="7C194F5F"/>
    <w:rsid w:val="7C744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 w:type="paragraph" w:customStyle="1" w:styleId="6">
    <w:name w:val="msonormal"/>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styleId="7">
    <w:name w:val="List Paragraph"/>
    <w:basedOn w:val="1"/>
    <w:qFormat/>
    <w:uiPriority w:val="34"/>
    <w:pPr>
      <w:ind w:firstLine="420" w:firstLineChars="200"/>
    </w:pPr>
  </w:style>
  <w:style w:type="paragraph" w:customStyle="1" w:styleId="8">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5580</Words>
  <Characters>6154</Characters>
  <Lines>0</Lines>
  <Paragraphs>0</Paragraphs>
  <TotalTime>0</TotalTime>
  <ScaleCrop>false</ScaleCrop>
  <LinksUpToDate>false</LinksUpToDate>
  <CharactersWithSpaces>9375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2020-08-10T13:44:00Z</dcterms:created>
  <dc:creator>Administrator</dc:creator>
  <cp:lastModifiedBy>安然弱水</cp:lastModifiedBy>
  <dcterms:modified xsi:type="dcterms:W3CDTF">2026-08-19T02:40:46Z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070B77C42B2F420D8BB719736B90CF32_13</vt:lpwstr>
  </property>
  <property fmtid="{D5CDD505-2E9C-101B-9397-08002B2CF9AE}" pid="4" name="KSOTemplateDocerSaveRecord">
    <vt:lpwstr>eyJoZGlkIjoiN2U0N2Q2ZTM2ZDQ4MjgxNDVjNzFiNjJmOWEwODI3OGEiLCJ1c2VySWQiOiIxMzAwNjA3NzU5In0=</vt:lpwstr>
  </property>
</Properties>
</file>