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96" w:lineRule="exact"/>
        <w:ind w:firstLine="720" w:firstLineChars="200"/>
        <w:jc w:val="center"/>
        <w:rPr>
          <w:rFonts w:hint="default" w:ascii="方正小标宋_GBK" w:hAnsi="方正小标宋_GBK" w:eastAsia="方正小标宋_GBK" w:cs="方正小标宋_GBK"/>
          <w:sz w:val="36"/>
          <w:szCs w:val="36"/>
        </w:rPr>
      </w:pP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重庆市</w:t>
      </w:r>
      <w:bookmarkStart w:id="0" w:name="_GoBack"/>
      <w:bookmarkEnd w:id="0"/>
      <w:r>
        <w:rPr>
          <w:rFonts w:ascii="方正小标宋_GBK" w:hAnsi="方正小标宋_GBK" w:eastAsia="方正小标宋_GBK" w:cs="方正小标宋_GBK"/>
          <w:sz w:val="44"/>
          <w:szCs w:val="44"/>
        </w:rPr>
        <w:t>城口县医疗保障局（本级）</w:t>
      </w: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6"/>
        <w:shd w:val="clear" w:color="auto" w:fill="FFFFFF"/>
        <w:adjustRightInd w:val="0"/>
        <w:snapToGrid w:val="0"/>
        <w:spacing w:before="0" w:beforeAutospacing="0" w:after="0" w:afterAutospacing="0" w:line="560" w:lineRule="exact"/>
        <w:ind w:firstLine="643" w:firstLineChars="200"/>
        <w:rPr>
          <w:rStyle w:val="10"/>
          <w:rFonts w:ascii="黑体" w:hAnsi="黑体" w:eastAsia="黑体" w:cs="黑体"/>
          <w:sz w:val="32"/>
          <w:szCs w:val="32"/>
          <w:shd w:val="clear" w:color="auto" w:fill="FFFFFF"/>
        </w:rPr>
      </w:pPr>
    </w:p>
    <w:p>
      <w:pPr>
        <w:pStyle w:val="6"/>
        <w:shd w:val="clear" w:color="auto" w:fill="FFFFFF"/>
        <w:adjustRightInd w:val="0"/>
        <w:snapToGrid w:val="0"/>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3" w:firstLineChars="200"/>
        <w:rPr>
          <w:rFonts w:hint="eastAsia" w:eastAsia="方正仿宋_GBK"/>
          <w:kern w:val="0"/>
          <w:sz w:val="32"/>
          <w:szCs w:val="32"/>
          <w:shd w:val="clear" w:color="auto" w:fill="FFFFFF"/>
        </w:rPr>
      </w:pPr>
      <w:r>
        <w:rPr>
          <w:rStyle w:val="10"/>
          <w:rFonts w:ascii="楷体" w:hAnsi="楷体" w:eastAsia="楷体" w:cs="楷体"/>
          <w:sz w:val="32"/>
          <w:szCs w:val="32"/>
          <w:shd w:val="clear" w:color="auto" w:fill="FFFFFF"/>
        </w:rPr>
        <w:t>（一）职能职责</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1.贯彻执行国家</w:t>
      </w:r>
      <w:r>
        <w:rPr>
          <w:rFonts w:hint="eastAsia" w:eastAsia="方正仿宋_GBK"/>
          <w:kern w:val="0"/>
          <w:sz w:val="32"/>
          <w:szCs w:val="32"/>
          <w:shd w:val="clear" w:color="auto" w:fill="FFFFFF"/>
          <w:lang w:val="en-US" w:eastAsia="zh-CN"/>
        </w:rPr>
        <w:t>，</w:t>
      </w:r>
      <w:r>
        <w:rPr>
          <w:rFonts w:hint="eastAsia" w:eastAsia="方正仿宋_GBK"/>
          <w:kern w:val="0"/>
          <w:sz w:val="32"/>
          <w:szCs w:val="32"/>
          <w:shd w:val="clear" w:color="auto" w:fill="FFFFFF"/>
        </w:rPr>
        <w:t xml:space="preserve">市医疗保险、生育保险、医疗救助等医疗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保障制度的法律法规、政策、规划和标准，加强医疗保险政策宣传。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2.组织实施医疗保障基金监督管理办法，建立健全医疗保障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基金安全防控机制，推进医疗保障基金支付改革。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3.贯彻执行市医疗保障筹资和待遇政策，完善动态调整和区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域调剂平衡机制。组织实施长期护理保险制度改革方案。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4.贯彻执行药品、医用耗材、医疗服务项目、医疗服务设施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等医保目录和支付标准。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5.监督管理全县两定医疗机构药品、医用耗材价格和医疗服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务项目、医疗服务设施收费等政策的执行。推动建立医保支付医药服务价格合理确定和动态调整机制，推动建立市场主导的社会 医药服务价格形成机制，建立价格信息监测和信息发布制度。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6.贯彻执行重庆市药品、医用耗材的招标采购政策，监督管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理医院对药品、医用耗材的招标采购，指导药品、医药耗材的招标采购平台建设。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7.贯彻执行定点医药机构协议和支付管理办法，建立健全医 </w:t>
      </w:r>
    </w:p>
    <w:p>
      <w:pPr>
        <w:pStyle w:val="17"/>
        <w:tabs>
          <w:tab w:val="center" w:pos="4153"/>
          <w:tab w:val="left" w:pos="7275"/>
        </w:tabs>
        <w:adjustRightInd w:val="0"/>
        <w:snapToGrid w:val="0"/>
        <w:spacing w:line="560" w:lineRule="exact"/>
        <w:ind w:firstLine="200" w:firstLineChars="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疗保障信用评价体系和信息披露制度，监督管理全县纳入医保范围内的医疗服务行为和医疗费用，依法查处医疗保障领域违法违规行为。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 xml:space="preserve">8.负责全县医疗保障经办管理、公共服务体系和信息化建设。执行异地就医管理和费用结算政策。建立健全医疗保障关系转移接续制度。 </w:t>
      </w:r>
    </w:p>
    <w:p>
      <w:pPr>
        <w:pStyle w:val="17"/>
        <w:tabs>
          <w:tab w:val="center" w:pos="4153"/>
          <w:tab w:val="left" w:pos="7275"/>
        </w:tabs>
        <w:adjustRightInd w:val="0"/>
        <w:snapToGrid w:val="0"/>
        <w:spacing w:line="560" w:lineRule="exact"/>
        <w:ind w:firstLine="640"/>
        <w:jc w:val="left"/>
        <w:rPr>
          <w:rFonts w:eastAsia="方正仿宋_GBK"/>
          <w:kern w:val="0"/>
          <w:sz w:val="32"/>
          <w:szCs w:val="32"/>
          <w:shd w:val="clear" w:color="auto" w:fill="FFFFFF"/>
        </w:rPr>
      </w:pPr>
      <w:r>
        <w:rPr>
          <w:rFonts w:hint="eastAsia" w:eastAsia="方正仿宋_GBK"/>
          <w:kern w:val="0"/>
          <w:sz w:val="32"/>
          <w:szCs w:val="32"/>
          <w:shd w:val="clear" w:color="auto" w:fill="FFFFFF"/>
        </w:rPr>
        <w:t>9.完成县委、县政府交办的其他任务。</w:t>
      </w:r>
    </w:p>
    <w:p>
      <w:pPr>
        <w:pStyle w:val="6"/>
        <w:shd w:val="clear" w:color="auto" w:fill="FFFFFF"/>
        <w:spacing w:before="0" w:beforeAutospacing="0" w:after="0" w:afterAutospacing="0" w:line="560" w:lineRule="exact"/>
        <w:ind w:firstLine="643" w:firstLineChars="200"/>
        <w:rPr>
          <w:rStyle w:val="10"/>
          <w:rFonts w:ascii="楷体" w:hAnsi="楷体" w:eastAsia="楷体" w:cs="楷体"/>
          <w:sz w:val="32"/>
          <w:szCs w:val="32"/>
          <w:shd w:val="clear" w:color="auto" w:fill="FFFFFF"/>
        </w:rPr>
      </w:pPr>
      <w:r>
        <w:rPr>
          <w:rStyle w:val="10"/>
          <w:rFonts w:ascii="楷体" w:hAnsi="楷体" w:eastAsia="楷体" w:cs="楷体"/>
          <w:sz w:val="32"/>
          <w:szCs w:val="32"/>
          <w:shd w:val="clear" w:color="auto" w:fill="FFFFFF"/>
        </w:rPr>
        <w:t>（二）单位构成</w:t>
      </w:r>
    </w:p>
    <w:p>
      <w:pPr>
        <w:pStyle w:val="17"/>
        <w:tabs>
          <w:tab w:val="center" w:pos="4153"/>
          <w:tab w:val="left" w:pos="7275"/>
        </w:tabs>
        <w:adjustRightInd w:val="0"/>
        <w:snapToGrid w:val="0"/>
        <w:spacing w:line="560" w:lineRule="exact"/>
        <w:ind w:firstLine="640"/>
        <w:jc w:val="left"/>
        <w:rPr>
          <w:rFonts w:eastAsia="方正仿宋_GBK"/>
          <w:sz w:val="32"/>
        </w:rPr>
      </w:pPr>
      <w:r>
        <w:rPr>
          <w:rFonts w:hint="eastAsia" w:eastAsia="方正仿宋_GBK"/>
          <w:sz w:val="32"/>
        </w:rPr>
        <w:t>城口县医疗保障局(本级)</w:t>
      </w:r>
      <w:r>
        <w:rPr>
          <w:rFonts w:eastAsia="方正仿宋_GBK"/>
          <w:sz w:val="32"/>
        </w:rPr>
        <w:t>内设</w:t>
      </w:r>
      <w:r>
        <w:rPr>
          <w:rFonts w:hint="eastAsia" w:eastAsia="方正仿宋_GBK"/>
          <w:sz w:val="32"/>
        </w:rPr>
        <w:t>4</w:t>
      </w:r>
      <w:r>
        <w:rPr>
          <w:rFonts w:eastAsia="方正仿宋_GBK"/>
          <w:sz w:val="32"/>
        </w:rPr>
        <w:t>个机构</w:t>
      </w:r>
      <w:r>
        <w:rPr>
          <w:rFonts w:hint="eastAsia" w:eastAsia="方正仿宋_GBK"/>
          <w:sz w:val="32"/>
          <w:lang w:eastAsia="zh-CN"/>
        </w:rPr>
        <w:t>科</w:t>
      </w:r>
      <w:r>
        <w:rPr>
          <w:rFonts w:eastAsia="方正仿宋_GBK"/>
          <w:sz w:val="32"/>
        </w:rPr>
        <w:t>室，分别是</w:t>
      </w:r>
      <w:r>
        <w:rPr>
          <w:rFonts w:hint="eastAsia" w:eastAsia="方正仿宋_GBK"/>
          <w:sz w:val="32"/>
        </w:rPr>
        <w:t>办公室、基金监管科、医药价格和招标采购科、待遇保障科</w:t>
      </w:r>
      <w:r>
        <w:rPr>
          <w:rFonts w:eastAsia="方正仿宋_GBK"/>
          <w:sz w:val="32"/>
        </w:rPr>
        <w:t>。</w:t>
      </w:r>
    </w:p>
    <w:p>
      <w:pPr>
        <w:pStyle w:val="6"/>
        <w:shd w:val="clear" w:color="auto" w:fill="FFFFFF"/>
        <w:adjustRightInd w:val="0"/>
        <w:snapToGrid w:val="0"/>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二、部门决算收支情况说明</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2024年度收、支总计均为463.48万元。收、支与2023年度相比，减少189.71万元，下降29.0%，主要原因是2024年度本局下属事业单位及参公单位从本级中分离。</w:t>
      </w:r>
    </w:p>
    <w:p>
      <w:pPr>
        <w:pStyle w:val="6"/>
        <w:shd w:val="clear" w:color="auto" w:fill="FFFFFF"/>
        <w:adjustRightInd w:val="0"/>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收入合计457.03万元，与2023年度相比，减少189.71万元，下降29.3%，主要原因是2024年度本局下属事业单位及参公单位从本级中分离，其中：财政拨款收入457.03万元，占100.0%；事业收入0.00万元，占0.0%；经营收入0.00万元，占0.0%；其他收入0.00万元，占0.0%。此外，使用非财政拨款结余（含专用结余）0.00万元，年初结转和结余6.45万元。</w:t>
      </w:r>
    </w:p>
    <w:p>
      <w:pPr>
        <w:pStyle w:val="6"/>
        <w:shd w:val="clear" w:color="auto" w:fill="FFFFFF"/>
        <w:adjustRightInd w:val="0"/>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2024年度支出合计457.03万元，与2023年度相比，减少182.71万元，下降28.6%，主要原因是2024年度本局下属事业单位及参公单位从本级中分离，其中：基本支出356.02万元，占77.9%；项目支出101.01万元，占22.1%；经营支出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adjustRightInd w:val="0"/>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2024年度年末结转和结余6.45万元，与2023年度相比，减少7.00万元，下降52.0%，主要原因是</w:t>
      </w:r>
      <w:r>
        <w:rPr>
          <w:rFonts w:hint="default" w:ascii="Times New Roman" w:hAnsi="Times New Roman" w:eastAsia="仿宋_GB2312" w:cs="Times New Roman"/>
          <w:color w:val="000000"/>
          <w:sz w:val="32"/>
          <w:szCs w:val="32"/>
        </w:rPr>
        <w:t>属于非财政拨款结转的7万元，根据本年度财政口径要求，不再计入结转结余。</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hd w:val="clear" w:color="auto" w:fill="FFFFFF"/>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463.48</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财政拨款收、支总计各减少153.87万元，下降24.9%</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2024年度本局下属事业单位及参公单位从本级中分离。</w:t>
      </w:r>
    </w:p>
    <w:p>
      <w:pPr>
        <w:pStyle w:val="6"/>
        <w:adjustRightInd w:val="0"/>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（三）一般公共预算财政拨款收入支出决算情况说明</w:t>
      </w:r>
    </w:p>
    <w:p>
      <w:pPr>
        <w:pStyle w:val="6"/>
        <w:shd w:val="clear" w:color="auto" w:fill="FFFFFF"/>
        <w:adjustRightInd w:val="0"/>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default"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457.03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与2023年度相比，减少153.87万元，下降25.2%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年初预算数减少241.28万元，下降34.6%</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6.45</w:t>
      </w:r>
      <w:r>
        <w:rPr>
          <w:rFonts w:ascii="方正仿宋_GBK" w:hAnsi="方正仿宋_GBK" w:eastAsia="方正仿宋_GBK" w:cs="方正仿宋_GBK"/>
          <w:sz w:val="32"/>
          <w:szCs w:val="32"/>
          <w:shd w:val="clear" w:color="auto" w:fill="FFFFFF"/>
        </w:rPr>
        <w:t>万元。</w:t>
      </w:r>
    </w:p>
    <w:p>
      <w:pPr>
        <w:pStyle w:val="6"/>
        <w:shd w:val="clear" w:color="auto" w:fill="FFFFFF"/>
        <w:adjustRightInd w:val="0"/>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457.03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与2023年度相比，减少153.87万元，下降25.2%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较年初预算数减少241.28万元，下降34.6%</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r>
        <w:rPr>
          <w:rFonts w:hint="default" w:ascii="Times New Roman" w:hAnsi="Times New Roman" w:eastAsia="方正仿宋_GBK"/>
          <w:sz w:val="32"/>
          <w:szCs w:val="32"/>
          <w:shd w:val="clear" w:color="auto" w:fill="FFFFFF"/>
        </w:rPr>
        <w:t xml:space="preserve"> </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1.81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较年初预算数减少0.26万元，下降12.6%</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85.95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18.8%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较年初预算数减少4.58万元，下降5.1%</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335.85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73.5%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较年初预算数减少232.31万元，下降40.9%</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33.42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较年初预算数减少4.14万元，下降11.0%</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2024年5月本局下属事业单位及参公单位从本级中分离。</w:t>
      </w:r>
    </w:p>
    <w:p>
      <w:pPr>
        <w:pStyle w:val="6"/>
        <w:adjustRightInd w:val="0"/>
        <w:snapToGrid w:val="0"/>
        <w:spacing w:before="0" w:beforeAutospacing="0" w:after="0" w:afterAutospacing="0" w:line="560"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0"/>
          <w:rFonts w:hint="default" w:ascii="Times New Roman" w:hAnsi="Times New Roman" w:eastAsia="方正仿宋_GBK"/>
          <w:sz w:val="32"/>
          <w:szCs w:val="32"/>
          <w:shd w:val="clear" w:color="auto" w:fill="FFFFFF"/>
        </w:rPr>
        <w:t xml:space="preserve"> 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6.45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356.02</w:t>
      </w:r>
      <w:r>
        <w:rPr>
          <w:rFonts w:ascii="方正仿宋_GBK" w:hAnsi="方正仿宋_GBK" w:eastAsia="方正仿宋_GBK" w:cs="方正仿宋_GBK"/>
          <w:sz w:val="32"/>
          <w:szCs w:val="32"/>
          <w:shd w:val="clear" w:color="auto" w:fill="FFFFFF"/>
        </w:rPr>
        <w:t>万元。</w:t>
      </w:r>
    </w:p>
    <w:p>
      <w:pPr>
        <w:pStyle w:val="6"/>
        <w:adjustRightInd w:val="0"/>
        <w:snapToGrid w:val="0"/>
        <w:spacing w:before="0" w:beforeAutospacing="0" w:after="0" w:afterAutospacing="0" w:line="560" w:lineRule="exact"/>
        <w:ind w:firstLine="515" w:firstLineChars="161"/>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其中：人员经费</w:t>
      </w:r>
      <w:r>
        <w:rPr>
          <w:rFonts w:hint="default" w:ascii="Times New Roman" w:hAnsi="Times New Roman" w:eastAsia="方正仿宋_GBK"/>
          <w:sz w:val="32"/>
          <w:szCs w:val="32"/>
          <w:shd w:val="clear" w:color="auto" w:fill="FFFFFF"/>
        </w:rPr>
        <w:t>322.58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与2023年度相比，减少170.20万元，下降34.5%</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2024本局下属事业单位及参公单位从本级中分离，</w:t>
      </w:r>
      <w:r>
        <w:rPr>
          <w:rFonts w:ascii="方正仿宋_GBK" w:hAnsi="方正仿宋_GBK" w:eastAsia="方正仿宋_GBK" w:cs="方正仿宋_GBK"/>
          <w:sz w:val="32"/>
          <w:szCs w:val="32"/>
          <w:shd w:val="clear" w:color="auto" w:fill="FFFFFF"/>
        </w:rPr>
        <w:t>人员经费用途主要包括单位开支的在职职工和编外长期聘用人员的各类劳动报酬。公用经费</w:t>
      </w:r>
      <w:r>
        <w:rPr>
          <w:rFonts w:hint="default" w:ascii="Times New Roman" w:hAnsi="Times New Roman" w:eastAsia="方正仿宋_GBK"/>
          <w:sz w:val="32"/>
          <w:szCs w:val="32"/>
          <w:shd w:val="clear" w:color="auto" w:fill="FFFFFF"/>
        </w:rPr>
        <w:t>33.44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与2023年度相比，减少5.15万元，下降13.4%</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2024本局下属事业单位及参公单位从本级中分离，</w:t>
      </w:r>
      <w:r>
        <w:rPr>
          <w:rFonts w:ascii="方正仿宋_GBK" w:hAnsi="方正仿宋_GBK" w:eastAsia="方正仿宋_GBK" w:cs="方正仿宋_GBK"/>
          <w:sz w:val="32"/>
          <w:szCs w:val="32"/>
          <w:shd w:val="clear" w:color="auto" w:fill="FFFFFF"/>
        </w:rPr>
        <w:t>公用经费用途主要包括办公及印刷费、邮电费、差旅费、会议费、福利费、日常维护费、专用材料及一般设备购置费、办公用房水电费、办公用房取暖费、办公用房物业管理费、公务用车运行维护费以及其他费用。</w:t>
      </w:r>
    </w:p>
    <w:p>
      <w:pPr>
        <w:pStyle w:val="6"/>
        <w:adjustRightInd w:val="0"/>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（五）政府性基金预算收支决算情况说明</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年度政府性基金预算财政拨款年初结转结余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万元，年末结转结余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万元。本年收入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，本年支出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年度无政府性基金预算财政拨款收支。</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年度国有资本经营预算财政拨款支出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万元，基本支出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万元，项目支出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年度无国有资本经营预算财政拨款支出。</w:t>
      </w:r>
    </w:p>
    <w:p>
      <w:pPr>
        <w:pStyle w:val="6"/>
        <w:shd w:val="clear" w:color="auto" w:fill="FFFFFF"/>
        <w:adjustRightInd w:val="0"/>
        <w:snapToGrid w:val="0"/>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三、财政拨款“三公”经费情况说明</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adjustRightInd w:val="0"/>
        <w:snapToGrid w:val="0"/>
        <w:spacing w:before="0" w:beforeAutospacing="0" w:after="0" w:afterAutospacing="0" w:line="560" w:lineRule="exact"/>
        <w:ind w:firstLine="640" w:firstLineChars="200"/>
        <w:jc w:val="both"/>
        <w:rPr>
          <w:rFonts w:hint="default" w:ascii="仿宋_GB2312" w:hAnsi="仿宋" w:eastAsia="仿宋_GB2312" w:cs="仿宋"/>
          <w:color w:val="000000"/>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4.38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较年初预算数增加0.38万元，增长9.5%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较上年支出数增加0.76万元，增长21.0%</w:t>
      </w:r>
      <w:r>
        <w:rPr>
          <w:rFonts w:ascii="方正仿宋_GBK" w:hAnsi="方正仿宋_GBK" w:eastAsia="方正仿宋_GBK" w:cs="方正仿宋_GBK"/>
          <w:sz w:val="32"/>
          <w:szCs w:val="32"/>
          <w:shd w:val="clear" w:color="auto" w:fill="FFFFFF"/>
        </w:rPr>
        <w:t>，主要原因是</w:t>
      </w:r>
      <w:r>
        <w:rPr>
          <w:rFonts w:ascii="仿宋_GB2312" w:hAnsi="仿宋" w:eastAsia="仿宋_GB2312" w:cs="仿宋"/>
          <w:color w:val="000000"/>
          <w:sz w:val="32"/>
          <w:szCs w:val="32"/>
        </w:rPr>
        <w:t>本年度公务接待费用较上年增加0.77万元，较年初预算数增加0.39万元，公务车运行维护费较上年减少0.01万元。</w:t>
      </w:r>
      <w:r>
        <w:rPr>
          <w:rFonts w:hint="default" w:ascii="仿宋_GB2312" w:hAnsi="仿宋" w:eastAsia="仿宋_GB2312" w:cs="仿宋"/>
          <w:color w:val="000000"/>
          <w:sz w:val="32"/>
          <w:szCs w:val="32"/>
        </w:rPr>
        <w:t xml:space="preserve"> </w:t>
      </w:r>
    </w:p>
    <w:p>
      <w:pPr>
        <w:pStyle w:val="6"/>
        <w:adjustRightInd w:val="0"/>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（二）“三公”经费分项支出情况</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较上年支出数无增减</w:t>
      </w:r>
      <w:r>
        <w:rPr>
          <w:rFonts w:ascii="Times New Roman" w:hAnsi="Times New Roman" w:eastAsia="方正仿宋_GBK"/>
          <w:sz w:val="32"/>
          <w:szCs w:val="32"/>
          <w:shd w:val="clear" w:color="auto" w:fill="FFFFFF"/>
        </w:rPr>
        <w:t>。</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公务用车购置费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2.49</w:t>
      </w:r>
      <w:r>
        <w:rPr>
          <w:rFonts w:ascii="方正仿宋_GBK" w:hAnsi="方正仿宋_GBK" w:eastAsia="方正仿宋_GBK" w:cs="方正仿宋_GBK"/>
          <w:sz w:val="32"/>
          <w:szCs w:val="32"/>
          <w:shd w:val="clear" w:color="auto" w:fill="FFFFFF"/>
        </w:rPr>
        <w:t>万元，主要用于油费、过路费、维修维护费、保险费等，费用支出</w:t>
      </w:r>
      <w:r>
        <w:rPr>
          <w:rFonts w:hint="default" w:ascii="Times New Roman" w:hAnsi="Times New Roman" w:eastAsia="方正仿宋_GBK"/>
          <w:sz w:val="32"/>
          <w:szCs w:val="32"/>
          <w:shd w:val="clear" w:color="auto" w:fill="FFFFFF"/>
        </w:rPr>
        <w:t>较年初预算数减少0.01万元，下降0.4%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较上年支出数减少0.01万元，下降0.4%</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rPr>
        <w:t>严格执行《城口县医疗保障局公务用车管理办法》，加强公务用车管理，减少公务用车支出。</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1.89</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较年初预算数增加0.39万元，增长26.0%</w:t>
      </w:r>
      <w:r>
        <w:rPr>
          <w:rFonts w:ascii="仿宋_GB2312" w:hAnsi="仿宋" w:eastAsia="仿宋_GB2312" w:cs="仿宋"/>
          <w:color w:val="000000"/>
          <w:sz w:val="32"/>
          <w:szCs w:val="32"/>
        </w:rPr>
        <w:t>，</w:t>
      </w:r>
      <w:r>
        <w:rPr>
          <w:rFonts w:hint="default" w:ascii="Times New Roman" w:hAnsi="Times New Roman" w:eastAsia="方正仿宋_GBK"/>
          <w:sz w:val="32"/>
          <w:szCs w:val="32"/>
          <w:shd w:val="clear" w:color="auto" w:fill="FFFFFF"/>
        </w:rPr>
        <w:t>较上年支出数增加0.77万元，增长68.8%</w:t>
      </w:r>
      <w:r>
        <w:rPr>
          <w:rFonts w:ascii="方正仿宋_GBK" w:hAnsi="方正仿宋_GBK" w:eastAsia="方正仿宋_GBK" w:cs="方正仿宋_GBK"/>
          <w:sz w:val="32"/>
          <w:szCs w:val="32"/>
          <w:shd w:val="clear" w:color="auto" w:fill="FFFFFF"/>
        </w:rPr>
        <w:t>，主要原因是用于接待市医保局调研组、市医保事务中心检查组、市飞行检查组接待费用</w:t>
      </w:r>
      <w:r>
        <w:rPr>
          <w:rFonts w:ascii="仿宋_GB2312" w:hAnsi="仿宋" w:eastAsia="仿宋_GB2312" w:cs="仿宋"/>
          <w:color w:val="000000"/>
          <w:sz w:val="32"/>
          <w:szCs w:val="32"/>
        </w:rPr>
        <w:t>。</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30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252</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年本部门人均接待费</w:t>
      </w:r>
      <w:r>
        <w:rPr>
          <w:rFonts w:hint="default" w:ascii="Times New Roman" w:hAnsi="Times New Roman" w:eastAsia="方正仿宋_GBK"/>
          <w:sz w:val="32"/>
          <w:szCs w:val="32"/>
          <w:shd w:val="clear" w:color="auto" w:fill="FFFFFF"/>
        </w:rPr>
        <w:t>74.91</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2.49</w:t>
      </w:r>
      <w:r>
        <w:rPr>
          <w:rFonts w:ascii="方正仿宋_GBK" w:hAnsi="方正仿宋_GBK" w:eastAsia="方正仿宋_GBK" w:cs="方正仿宋_GBK"/>
          <w:sz w:val="32"/>
          <w:szCs w:val="32"/>
          <w:shd w:val="clear" w:color="auto" w:fill="FFFFFF"/>
        </w:rPr>
        <w:t>万元。</w:t>
      </w:r>
    </w:p>
    <w:p>
      <w:pPr>
        <w:pStyle w:val="6"/>
        <w:numPr>
          <w:ilvl w:val="0"/>
          <w:numId w:val="1"/>
        </w:numPr>
        <w:shd w:val="clear" w:color="auto" w:fill="FFFFFF"/>
        <w:adjustRightInd w:val="0"/>
        <w:snapToGrid w:val="0"/>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其他需要说明的事项</w:t>
      </w:r>
    </w:p>
    <w:p>
      <w:pPr>
        <w:pStyle w:val="6"/>
        <w:shd w:val="clear" w:color="auto" w:fill="FFFFFF"/>
        <w:adjustRightInd w:val="0"/>
        <w:snapToGrid w:val="0"/>
        <w:spacing w:before="0" w:beforeAutospacing="0" w:after="0" w:afterAutospacing="0" w:line="560" w:lineRule="exact"/>
        <w:ind w:firstLine="315" w:firstLineChars="98"/>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 xml:space="preserve"> （一）财政拨款会议费、培训费和差旅费情况说明</w:t>
      </w:r>
    </w:p>
    <w:p>
      <w:pPr>
        <w:widowControl w:val="0"/>
        <w:autoSpaceDE w:val="0"/>
        <w:adjustRightInd w:val="0"/>
        <w:snapToGrid w:val="0"/>
        <w:spacing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5.08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与2023年度相比，增加4.91万元，增长2888.2%</w:t>
      </w:r>
      <w:r>
        <w:rPr>
          <w:rFonts w:ascii="方正仿宋_GBK" w:hAnsi="方正仿宋_GBK" w:eastAsia="方正仿宋_GBK" w:cs="方正仿宋_GBK"/>
          <w:sz w:val="32"/>
          <w:szCs w:val="32"/>
          <w:shd w:val="clear" w:color="auto" w:fill="FFFFFF"/>
        </w:rPr>
        <w:t>，主要原因是</w:t>
      </w:r>
      <w:r>
        <w:rPr>
          <w:rFonts w:ascii="仿宋_GB2312" w:hAnsi="仿宋" w:eastAsia="仿宋_GB2312" w:cs="仿宋"/>
          <w:color w:val="000000"/>
          <w:sz w:val="32"/>
          <w:szCs w:val="32"/>
        </w:rPr>
        <w:t>本年度举行奉巫巫城医保高质量发展协同推进会，会议规模较大，因此发生会议费较上年增加。</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与2023年度相比，减少1.00万元，下降100.0%</w:t>
      </w:r>
      <w:r>
        <w:rPr>
          <w:rFonts w:ascii="方正仿宋_GBK" w:hAnsi="方正仿宋_GBK" w:eastAsia="方正仿宋_GBK" w:cs="方正仿宋_GBK"/>
          <w:sz w:val="32"/>
          <w:szCs w:val="32"/>
          <w:shd w:val="clear" w:color="auto" w:fill="FFFFFF"/>
        </w:rPr>
        <w:t>，主要原因是</w:t>
      </w:r>
      <w:r>
        <w:rPr>
          <w:rFonts w:ascii="仿宋_GB2312" w:hAnsi="仿宋" w:eastAsia="仿宋_GB2312" w:cs="仿宋"/>
          <w:color w:val="000000"/>
          <w:sz w:val="32"/>
          <w:szCs w:val="32"/>
        </w:rPr>
        <w:t>本年度未展开培训，因此未发生培训费用。</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5.16</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与2023年度相比，增加2.01万元，增长63.8%</w:t>
      </w:r>
      <w:r>
        <w:rPr>
          <w:rFonts w:ascii="方正仿宋_GBK" w:hAnsi="方正仿宋_GBK" w:eastAsia="方正仿宋_GBK" w:cs="方正仿宋_GBK"/>
          <w:sz w:val="32"/>
          <w:szCs w:val="32"/>
          <w:shd w:val="clear" w:color="auto" w:fill="FFFFFF"/>
        </w:rPr>
        <w:t>，主要原因是本年本单位外出学习、培训次数增多。</w:t>
      </w:r>
    </w:p>
    <w:p>
      <w:pPr>
        <w:widowControl w:val="0"/>
        <w:autoSpaceDE w:val="0"/>
        <w:adjustRightInd w:val="0"/>
        <w:snapToGrid w:val="0"/>
        <w:spacing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机关运行经费情况说明</w:t>
      </w:r>
    </w:p>
    <w:p>
      <w:pPr>
        <w:pStyle w:val="17"/>
        <w:adjustRightInd w:val="0"/>
        <w:snapToGrid w:val="0"/>
        <w:spacing w:line="560" w:lineRule="exact"/>
        <w:ind w:left="161" w:leftChars="67" w:firstLine="480" w:firstLineChars="150"/>
        <w:rPr>
          <w:rFonts w:ascii="仿宋_GB2312" w:hAnsi="仿宋" w:eastAsia="仿宋_GB2312" w:cs="仿宋"/>
          <w:color w:val="000000"/>
          <w:sz w:val="32"/>
          <w:szCs w:val="32"/>
        </w:rPr>
      </w:pPr>
      <w:r>
        <w:rPr>
          <w:rFonts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年度本部门机关运行经费支出</w:t>
      </w:r>
      <w:r>
        <w:rPr>
          <w:rFonts w:eastAsia="方正仿宋_GBK"/>
          <w:sz w:val="32"/>
          <w:szCs w:val="32"/>
          <w:shd w:val="clear" w:color="auto" w:fill="FFFFFF"/>
        </w:rPr>
        <w:t>33.44</w:t>
      </w:r>
      <w:r>
        <w:rPr>
          <w:rFonts w:ascii="方正仿宋_GBK" w:hAnsi="方正仿宋_GBK" w:eastAsia="方正仿宋_GBK" w:cs="方正仿宋_GBK"/>
          <w:sz w:val="32"/>
          <w:szCs w:val="32"/>
          <w:shd w:val="clear" w:color="auto" w:fill="FFFFFF"/>
        </w:rPr>
        <w:t>万元，机关运行经费主要用于开支办公费、水电费、劳务费、公务车运行维护费等。机关运行经费</w:t>
      </w:r>
      <w:r>
        <w:rPr>
          <w:rFonts w:eastAsia="方正仿宋_GBK"/>
          <w:sz w:val="32"/>
          <w:szCs w:val="32"/>
          <w:shd w:val="clear" w:color="auto" w:fill="FFFFFF"/>
        </w:rPr>
        <w:t>较上年支出数减少5.15万元，下降13.4%</w:t>
      </w:r>
      <w:r>
        <w:rPr>
          <w:rFonts w:ascii="方正仿宋_GBK" w:hAnsi="方正仿宋_GBK" w:eastAsia="方正仿宋_GBK" w:cs="方正仿宋_GBK"/>
          <w:sz w:val="32"/>
          <w:szCs w:val="32"/>
          <w:shd w:val="clear" w:color="auto" w:fill="FFFFFF"/>
        </w:rPr>
        <w:t>，主要原因是</w:t>
      </w:r>
      <w:r>
        <w:rPr>
          <w:rFonts w:hint="eastAsia" w:ascii="仿宋_GB2312" w:hAnsi="仿宋" w:eastAsia="仿宋_GB2312" w:cs="仿宋"/>
          <w:color w:val="000000"/>
          <w:sz w:val="32"/>
          <w:szCs w:val="32"/>
        </w:rPr>
        <w:t>2024年５月本单位下属事业及参公单位从本级内分离。</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日，本部门共有车辆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1"/>
        <w:autoSpaceDE w:val="0"/>
        <w:adjustRightInd w:val="0"/>
        <w:snapToGrid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年度本部门政府采购支出总额</w:t>
      </w:r>
      <w:r>
        <w:rPr>
          <w:rFonts w:hint="default" w:ascii="Times New Roman" w:hAnsi="Times New Roman" w:eastAsia="方正仿宋_GBK"/>
          <w:sz w:val="32"/>
          <w:szCs w:val="32"/>
          <w:shd w:val="clear" w:color="auto" w:fill="FFFFFF"/>
        </w:rPr>
        <w:t>53.43</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24.30</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29.13</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50.56</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94.6%</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50.56</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94.6 %</w:t>
      </w:r>
      <w:r>
        <w:rPr>
          <w:rFonts w:ascii="方正仿宋_GBK" w:hAnsi="方正仿宋_GBK" w:eastAsia="方正仿宋_GBK" w:cs="方正仿宋_GBK"/>
          <w:sz w:val="32"/>
          <w:szCs w:val="32"/>
          <w:shd w:val="clear" w:color="auto" w:fill="FFFFFF"/>
        </w:rPr>
        <w:t>。主要用于采购医保宣传品、办公设备等。</w:t>
      </w:r>
    </w:p>
    <w:p>
      <w:pPr>
        <w:pStyle w:val="12"/>
        <w:adjustRightInd w:val="0"/>
        <w:snapToGrid w:val="0"/>
        <w:spacing w:before="0" w:beforeAutospacing="0" w:after="0" w:afterAutospacing="0" w:line="560"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五、2024年度预算绩效管理情况说明</w:t>
      </w:r>
    </w:p>
    <w:p>
      <w:pPr>
        <w:pStyle w:val="12"/>
        <w:autoSpaceDE w:val="0"/>
        <w:adjustRightInd w:val="0"/>
        <w:snapToGrid w:val="0"/>
        <w:spacing w:before="0" w:beforeAutospacing="0" w:after="0" w:afterAutospacing="0" w:line="560"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adjustRightInd w:val="0"/>
        <w:snapToGrid w:val="0"/>
        <w:spacing w:before="0" w:beforeAutospacing="0" w:after="0" w:afterAutospacing="0" w:line="560" w:lineRule="exact"/>
        <w:ind w:firstLine="800" w:firstLineChars="25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根据预算绩效管理要求，我部门（单位）对部门整体和0个一级项目、5个二级项目开展了绩效自评，涉及财政拨款项目支出资金111.01万元。</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部门整体绩效自评表</w:t>
      </w:r>
    </w:p>
    <w:p>
      <w:pPr>
        <w:pStyle w:val="12"/>
        <w:adjustRightInd w:val="0"/>
        <w:snapToGrid w:val="0"/>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本单位为城口县医疗保障局下属单位，本年度无部门整体绩效自评表。</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项目支出绩效自评表（一级项目）</w:t>
      </w:r>
    </w:p>
    <w:p>
      <w:pPr>
        <w:pStyle w:val="12"/>
        <w:autoSpaceDE w:val="0"/>
        <w:adjustRightInd w:val="0"/>
        <w:snapToGrid w:val="0"/>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项目支出绩效自评表详情见附件。</w:t>
      </w:r>
    </w:p>
    <w:p>
      <w:pPr>
        <w:pStyle w:val="12"/>
        <w:autoSpaceDE w:val="0"/>
        <w:adjustRightInd w:val="0"/>
        <w:snapToGrid w:val="0"/>
        <w:spacing w:before="0" w:beforeAutospacing="0" w:after="0" w:afterAutospacing="0" w:line="560"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pPr>
        <w:pStyle w:val="16"/>
        <w:autoSpaceDE w:val="0"/>
        <w:adjustRightInd w:val="0"/>
        <w:snapToGrid w:val="0"/>
        <w:spacing w:line="560" w:lineRule="exact"/>
        <w:ind w:firstLine="800" w:firstLineChars="25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我部门未组织开展绩效评价</w:t>
      </w:r>
      <w:r>
        <w:rPr>
          <w:rFonts w:ascii="Times New Roman" w:hAnsi="Times New Roman" w:eastAsia="方正仿宋_GBK"/>
          <w:sz w:val="32"/>
          <w:szCs w:val="32"/>
          <w:shd w:val="clear" w:color="auto" w:fill="FFFFFF"/>
        </w:rPr>
        <w:t>。</w:t>
      </w:r>
    </w:p>
    <w:p>
      <w:pPr>
        <w:pStyle w:val="16"/>
        <w:autoSpaceDE w:val="0"/>
        <w:adjustRightInd w:val="0"/>
        <w:snapToGrid w:val="0"/>
        <w:spacing w:line="560" w:lineRule="exact"/>
        <w:ind w:firstLine="729" w:firstLineChars="227"/>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（三）财政绩效评价情况</w:t>
      </w:r>
    </w:p>
    <w:p>
      <w:pPr>
        <w:pStyle w:val="11"/>
        <w:autoSpaceDE w:val="0"/>
        <w:adjustRightInd w:val="0"/>
        <w:snapToGrid w:val="0"/>
        <w:spacing w:line="560" w:lineRule="exact"/>
        <w:ind w:firstLine="732" w:firstLineChars="229"/>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市财政局未委托第三方对我部门开展绩效评价。</w:t>
      </w:r>
    </w:p>
    <w:p>
      <w:pPr>
        <w:pStyle w:val="12"/>
        <w:autoSpaceDE w:val="0"/>
        <w:adjustRightInd w:val="0"/>
        <w:snapToGrid w:val="0"/>
        <w:spacing w:before="0" w:beforeAutospacing="0" w:after="0" w:afterAutospacing="0" w:line="560" w:lineRule="exact"/>
        <w:ind w:firstLine="790" w:firstLineChars="246"/>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六、专业名词解释</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2"/>
        <w:adjustRightInd w:val="0"/>
        <w:snapToGrid w:val="0"/>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七、决算公开联系方式及信息反馈渠道</w:t>
      </w:r>
    </w:p>
    <w:p>
      <w:pPr>
        <w:pStyle w:val="12"/>
        <w:adjustRightInd w:val="0"/>
        <w:snapToGrid w:val="0"/>
        <w:spacing w:before="0" w:beforeAutospacing="0" w:after="0" w:afterAutospacing="0"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本单位决算公开信息反馈和联系方式：</w:t>
      </w:r>
    </w:p>
    <w:p>
      <w:pPr>
        <w:pStyle w:val="12"/>
        <w:adjustRightInd w:val="0"/>
        <w:snapToGrid w:val="0"/>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经办人：张钰林        单位负责人：曾军辉</w:t>
      </w:r>
    </w:p>
    <w:p>
      <w:pPr>
        <w:pStyle w:val="12"/>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eastAsia="zh-CN"/>
        </w:rPr>
        <w:t>经办电话：</w:t>
      </w:r>
      <w:r>
        <w:rPr>
          <w:rFonts w:hint="default" w:ascii="Times New Roman" w:hAnsi="Times New Roman" w:eastAsia="方正仿宋_GBK" w:cs="Times New Roman"/>
          <w:sz w:val="32"/>
          <w:szCs w:val="32"/>
          <w:shd w:val="clear" w:color="auto" w:fill="FFFFFF"/>
        </w:rPr>
        <w:t>023-59229</w:t>
      </w:r>
      <w:r>
        <w:rPr>
          <w:rFonts w:hint="default" w:ascii="Times New Roman" w:hAnsi="Times New Roman" w:eastAsia="方正仿宋_GBK" w:cs="Times New Roman"/>
          <w:sz w:val="32"/>
          <w:szCs w:val="32"/>
          <w:shd w:val="clear" w:color="auto" w:fill="FFFFFF"/>
          <w:lang w:val="en-US" w:eastAsia="zh-CN"/>
        </w:rPr>
        <w:t>590</w:t>
      </w:r>
    </w:p>
    <w:p>
      <w:pPr>
        <w:pStyle w:val="12"/>
        <w:spacing w:before="0" w:beforeAutospacing="0" w:after="0" w:afterAutospacing="0" w:line="560" w:lineRule="exact"/>
        <w:rPr>
          <w:rFonts w:hint="default" w:ascii="方正仿宋_GBK" w:hAnsi="方正仿宋_GBK" w:eastAsia="方正仿宋_GBK" w:cs="方正仿宋_GBK"/>
          <w:sz w:val="32"/>
          <w:szCs w:val="32"/>
          <w:shd w:val="clear" w:color="auto" w:fill="FFFFFF"/>
          <w:lang w:val="en-US" w:eastAsia="zh-CN"/>
        </w:rPr>
        <w:sectPr>
          <w:footerReference r:id="rId3" w:type="default"/>
          <w:pgSz w:w="11915" w:h="16840"/>
          <w:pgMar w:top="2098" w:right="1474" w:bottom="1985" w:left="1588" w:header="851" w:footer="992" w:gutter="0"/>
          <w:pgNumType w:fmt="numberInDash"/>
          <w:cols w:space="720" w:num="1"/>
          <w:docGrid w:type="lines" w:linePitch="312" w:charSpace="0"/>
        </w:sectPr>
      </w:pPr>
    </w:p>
    <w:p>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sz w:val="20"/>
              </w:rPr>
              <w:t>城口县医疗保障局（本级）</w:t>
            </w: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457.03</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457.03</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85.95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85.95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36.68</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36.68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18.34</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335.85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335.85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25.74</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25.74</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310.11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310.11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217.03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217.03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33.42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33.42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城口县医疗保障局（本级）</w:t>
            </w: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457.03</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356.02</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101.01</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85.95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36.68</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36.68</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18.34</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18.34</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335.85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242.78</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25.74</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25.74</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4.13</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310.11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217.03</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217.03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217.03</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33.42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33.42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rPr>
          <w:rFonts w:hint="default"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城口县医疗保障局（本级）</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457.03</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85.95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85.95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335.85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335.85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33.42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33.42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457.03</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457.03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457.03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463.48</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463.48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463.48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bl>
    <w:p>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城口县医疗保障局（本级）</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457.03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356.02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101.01</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85.95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36.68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36.68</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18.34</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335.85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242.78</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25.74</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21.61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21.61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4.13</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310.11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217.03</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217.03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217.03</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93.07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33.42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33.42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33.42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33.42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33.42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33.42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城口县医疗保障局（本级）</w:t>
            </w: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299.58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33.04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0.39</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61.78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5.99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97.86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0.39</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25.77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36.68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21.61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33.42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4.85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10.57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322.58</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33.44</w:t>
            </w:r>
          </w:p>
        </w:tc>
      </w:tr>
    </w:tbl>
    <w:p>
      <w:pPr>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城口县医疗保障局（本级）</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cs="宋体"/>
                <w:sz w:val="20"/>
                <w:szCs w:val="20"/>
              </w:rPr>
              <w:t>部门</w:t>
            </w:r>
            <w:r>
              <w:rPr>
                <w:rFonts w:cs="宋体"/>
                <w:color w:val="000000"/>
                <w:kern w:val="2"/>
                <w:sz w:val="20"/>
                <w:szCs w:val="20"/>
              </w:rPr>
              <w:t>：</w:t>
            </w:r>
            <w:r>
              <w:rPr>
                <w:color w:val="000000"/>
                <w:sz w:val="20"/>
              </w:rPr>
              <w:t>城口县医疗保障局（本级）</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33.44</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4.38</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4.38</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33.44</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30</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53.43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24.30</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252</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29.13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50.56</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50.56</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5.08</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5.16</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sz w:val="16"/>
                <w:szCs w:val="16"/>
              </w:rPr>
            </w:pPr>
          </w:p>
        </w:tc>
      </w:tr>
    </w:tbl>
    <w:p>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- 9 -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25 -</w:t>
                </w:r>
                <w:r>
                  <w:rPr>
                    <w:rFonts w:hint="default"/>
                  </w:rPr>
                  <w:fldChar w:fldCharType="end"/>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111A8"/>
    <w:multiLevelType w:val="multilevel"/>
    <w:tmpl w:val="1DD111A8"/>
    <w:lvl w:ilvl="0" w:tentative="0">
      <w:start w:val="4"/>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02C04"/>
    <w:rsid w:val="000142CA"/>
    <w:rsid w:val="000630EC"/>
    <w:rsid w:val="000C01CC"/>
    <w:rsid w:val="000D7702"/>
    <w:rsid w:val="000F6721"/>
    <w:rsid w:val="001632EC"/>
    <w:rsid w:val="001762F2"/>
    <w:rsid w:val="001B0BB9"/>
    <w:rsid w:val="001C744E"/>
    <w:rsid w:val="001D2B7F"/>
    <w:rsid w:val="001F26DA"/>
    <w:rsid w:val="00261065"/>
    <w:rsid w:val="002C3978"/>
    <w:rsid w:val="002D0E5A"/>
    <w:rsid w:val="002D4A86"/>
    <w:rsid w:val="002D71F4"/>
    <w:rsid w:val="002E5443"/>
    <w:rsid w:val="0032196C"/>
    <w:rsid w:val="003A2E4B"/>
    <w:rsid w:val="003C2B2B"/>
    <w:rsid w:val="003F78C4"/>
    <w:rsid w:val="004852DA"/>
    <w:rsid w:val="004901B6"/>
    <w:rsid w:val="00497DE0"/>
    <w:rsid w:val="004A3075"/>
    <w:rsid w:val="004C12FF"/>
    <w:rsid w:val="004D0390"/>
    <w:rsid w:val="005025F7"/>
    <w:rsid w:val="00507729"/>
    <w:rsid w:val="00550ABE"/>
    <w:rsid w:val="005B023C"/>
    <w:rsid w:val="005E7F85"/>
    <w:rsid w:val="00600322"/>
    <w:rsid w:val="0060798F"/>
    <w:rsid w:val="006137D7"/>
    <w:rsid w:val="00634FA8"/>
    <w:rsid w:val="0063613A"/>
    <w:rsid w:val="00646C31"/>
    <w:rsid w:val="0068170B"/>
    <w:rsid w:val="006E2034"/>
    <w:rsid w:val="00732392"/>
    <w:rsid w:val="007648B3"/>
    <w:rsid w:val="00792285"/>
    <w:rsid w:val="007A0D2E"/>
    <w:rsid w:val="007A3314"/>
    <w:rsid w:val="007B419D"/>
    <w:rsid w:val="007B602E"/>
    <w:rsid w:val="007C5C5B"/>
    <w:rsid w:val="00810F13"/>
    <w:rsid w:val="00826B47"/>
    <w:rsid w:val="0084644A"/>
    <w:rsid w:val="008611EE"/>
    <w:rsid w:val="00893689"/>
    <w:rsid w:val="008C5EB3"/>
    <w:rsid w:val="00940231"/>
    <w:rsid w:val="00944711"/>
    <w:rsid w:val="00950685"/>
    <w:rsid w:val="009574D5"/>
    <w:rsid w:val="009600AD"/>
    <w:rsid w:val="009821E3"/>
    <w:rsid w:val="00984852"/>
    <w:rsid w:val="009B37A6"/>
    <w:rsid w:val="009B67B8"/>
    <w:rsid w:val="00A03B1E"/>
    <w:rsid w:val="00A67739"/>
    <w:rsid w:val="00A820B7"/>
    <w:rsid w:val="00A830E1"/>
    <w:rsid w:val="00A86C44"/>
    <w:rsid w:val="00AA0877"/>
    <w:rsid w:val="00AC5566"/>
    <w:rsid w:val="00B03CCD"/>
    <w:rsid w:val="00B0729B"/>
    <w:rsid w:val="00B104B0"/>
    <w:rsid w:val="00B40138"/>
    <w:rsid w:val="00B546E2"/>
    <w:rsid w:val="00B6458D"/>
    <w:rsid w:val="00BC1145"/>
    <w:rsid w:val="00BF493C"/>
    <w:rsid w:val="00BF5A85"/>
    <w:rsid w:val="00C307F6"/>
    <w:rsid w:val="00C93447"/>
    <w:rsid w:val="00C96B11"/>
    <w:rsid w:val="00C97747"/>
    <w:rsid w:val="00CC4FEE"/>
    <w:rsid w:val="00CC6B99"/>
    <w:rsid w:val="00CE7CB9"/>
    <w:rsid w:val="00D1060C"/>
    <w:rsid w:val="00D12873"/>
    <w:rsid w:val="00D80DDD"/>
    <w:rsid w:val="00DF7706"/>
    <w:rsid w:val="00E05175"/>
    <w:rsid w:val="00E27D91"/>
    <w:rsid w:val="00E61D0A"/>
    <w:rsid w:val="00E654E2"/>
    <w:rsid w:val="00E76362"/>
    <w:rsid w:val="00E86B80"/>
    <w:rsid w:val="00F137D3"/>
    <w:rsid w:val="00F13C36"/>
    <w:rsid w:val="00F23C68"/>
    <w:rsid w:val="00F32C53"/>
    <w:rsid w:val="00F73F90"/>
    <w:rsid w:val="00F7623D"/>
    <w:rsid w:val="00F8598B"/>
    <w:rsid w:val="00F94164"/>
    <w:rsid w:val="00FA0819"/>
    <w:rsid w:val="00FB7EF0"/>
    <w:rsid w:val="00FD51BA"/>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97337E7"/>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29B5411"/>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DEA40B8"/>
    <w:rsid w:val="6EFD1324"/>
    <w:rsid w:val="6F5A53AC"/>
    <w:rsid w:val="6FAC003D"/>
    <w:rsid w:val="6FE55E12"/>
    <w:rsid w:val="6FFB2E76"/>
    <w:rsid w:val="708F6F7F"/>
    <w:rsid w:val="70D94BD3"/>
    <w:rsid w:val="71B7676A"/>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 w:val="B733F524"/>
    <w:rsid w:val="BFE7AB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 w:type="paragraph" w:styleId="17">
    <w:name w:val="List Paragraph"/>
    <w:basedOn w:val="1"/>
    <w:qFormat/>
    <w:uiPriority w:val="99"/>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23</Pages>
  <Words>8768</Words>
  <Characters>11519</Characters>
  <Lines>102</Lines>
  <Paragraphs>28</Paragraphs>
  <TotalTime>4</TotalTime>
  <ScaleCrop>false</ScaleCrop>
  <LinksUpToDate>false</LinksUpToDate>
  <CharactersWithSpaces>11953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2025-11-06T06:40:00Z</dcterms:created>
  <dc:creator>Administrator</dc:creator>
  <cp:lastModifiedBy>县医疗保障局管理员</cp:lastModifiedBy>
  <dcterms:modified xsi:type="dcterms:W3CDTF">2025-11-11T02:19:10Z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BB46EABDBB2749749395447164B066B3_12</vt:lpwstr>
  </property>
  <property fmtid="{D5CDD505-2E9C-101B-9397-08002B2CF9AE}" pid="4" name="KSOTemplateDocerSaveRecord">
    <vt:lpwstr>eyJoZGlkIjoiM2NkM2MwN2VlMWM1ZjFlY2FmODA0YWIwNTc5OTI5NGUifQ==</vt:lpwstr>
  </property>
</Properties>
</file>