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重庆市城口县咸宜镇卫生院</w:t>
      </w:r>
    </w:p>
    <w:p>
      <w:pPr>
        <w:pStyle w:val="9"/>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hint="default" w:ascii="方正小标宋_GBK" w:hAnsi="方正小标宋_GBK" w:eastAsia="方正小标宋_GBK" w:cs="方正小标宋_GBK"/>
          <w:sz w:val="44"/>
          <w:szCs w:val="44"/>
          <w:shd w:val="clear" w:color="auto" w:fill="FFFFFF"/>
        </w:rPr>
      </w:pPr>
      <w:r>
        <w:rPr>
          <w:rFonts w:hint="default" w:ascii="Times New Roman" w:hAnsi="Times New Roman" w:eastAsia="方正小标宋_GBK" w:cs="Times New Roman"/>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p>
      <w:pPr>
        <w:pStyle w:val="9"/>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0" w:beforeAutospacing="0" w:after="0" w:afterAutospacing="0" w:line="596" w:lineRule="exact"/>
        <w:textAlignment w:val="auto"/>
        <w:rPr>
          <w:rStyle w:val="13"/>
          <w:rFonts w:ascii="黑体" w:hAnsi="黑体" w:eastAsia="黑体" w:cs="黑体"/>
          <w:sz w:val="32"/>
          <w:szCs w:val="32"/>
          <w:shd w:val="clear" w:color="auto" w:fill="FFFFFF"/>
        </w:rPr>
      </w:pPr>
      <w:r>
        <w:rPr>
          <w:rStyle w:val="13"/>
          <w:rFonts w:hint="eastAsia" w:ascii="黑体" w:hAnsi="黑体" w:eastAsia="黑体" w:cs="黑体"/>
          <w:sz w:val="32"/>
          <w:szCs w:val="32"/>
          <w:shd w:val="clear" w:color="auto" w:fill="FFFFFF"/>
          <w:lang w:eastAsia="zh-CN"/>
        </w:rPr>
        <w:t>单位</w:t>
      </w:r>
      <w:r>
        <w:rPr>
          <w:rStyle w:val="13"/>
          <w:rFonts w:ascii="黑体" w:hAnsi="黑体" w:eastAsia="黑体" w:cs="黑体"/>
          <w:sz w:val="32"/>
          <w:szCs w:val="32"/>
          <w:shd w:val="clear" w:color="auto" w:fill="FFFFFF"/>
        </w:rPr>
        <w:t>基本情况</w:t>
      </w:r>
    </w:p>
    <w:p>
      <w:pPr>
        <w:pStyle w:val="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96" w:lineRule="exact"/>
        <w:ind w:firstLine="321" w:firstLineChars="100"/>
        <w:textAlignment w:val="auto"/>
        <w:rPr>
          <w:rStyle w:val="13"/>
          <w:rFonts w:ascii="楷体" w:hAnsi="楷体" w:eastAsia="楷体" w:cs="楷体"/>
          <w:sz w:val="32"/>
          <w:szCs w:val="32"/>
          <w:shd w:val="clear" w:color="auto" w:fill="FFFFFF"/>
        </w:rPr>
      </w:pPr>
      <w:r>
        <w:rPr>
          <w:rStyle w:val="13"/>
          <w:rFonts w:hint="eastAsia" w:ascii="楷体" w:hAnsi="楷体" w:eastAsia="楷体" w:cs="楷体"/>
          <w:sz w:val="32"/>
          <w:szCs w:val="32"/>
          <w:shd w:val="clear" w:color="auto" w:fill="FFFFFF"/>
          <w:lang w:val="en-US" w:eastAsia="zh-CN"/>
        </w:rPr>
        <w:t>（一）</w:t>
      </w:r>
      <w:r>
        <w:rPr>
          <w:rStyle w:val="13"/>
          <w:rFonts w:ascii="楷体" w:hAnsi="楷体" w:eastAsia="楷体" w:cs="楷体"/>
          <w:sz w:val="32"/>
          <w:szCs w:val="32"/>
          <w:shd w:val="clear" w:color="auto" w:fill="FFFFFF"/>
        </w:rPr>
        <w:t>职能职责</w:t>
      </w:r>
    </w:p>
    <w:p>
      <w:pPr>
        <w:pStyle w:val="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jc w:val="left"/>
        <w:textAlignment w:val="auto"/>
        <w:rPr>
          <w:rFonts w:hint="eastAsia" w:ascii="Times New Roman" w:hAnsi="Times New Roman" w:eastAsia="方正仿宋_GBK" w:cs="Times New Roman"/>
          <w:kern w:val="0"/>
          <w:sz w:val="32"/>
          <w:szCs w:val="32"/>
          <w:lang w:val="en-US" w:eastAsia="zh-CN" w:bidi="ar"/>
        </w:rPr>
      </w:pPr>
      <w:r>
        <w:rPr>
          <w:rFonts w:hint="eastAsia" w:ascii="Times New Roman" w:hAnsi="Times New Roman" w:eastAsia="方正仿宋_GBK" w:cs="Times New Roman"/>
          <w:kern w:val="0"/>
          <w:sz w:val="32"/>
          <w:szCs w:val="32"/>
          <w:lang w:val="en-US" w:eastAsia="zh-CN" w:bidi="ar"/>
        </w:rPr>
        <w:t>1、负责本乡镇的卫生工作法律、法规、政策的贯彻，社会公共卫生工作的组织和实施。</w:t>
      </w:r>
    </w:p>
    <w:p>
      <w:pPr>
        <w:pStyle w:val="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jc w:val="left"/>
        <w:textAlignment w:val="auto"/>
        <w:rPr>
          <w:rFonts w:hint="eastAsia" w:ascii="Times New Roman" w:hAnsi="Times New Roman" w:eastAsia="方正仿宋_GBK" w:cs="Times New Roman"/>
          <w:kern w:val="0"/>
          <w:sz w:val="32"/>
          <w:szCs w:val="32"/>
          <w:lang w:val="en-US" w:eastAsia="zh-CN" w:bidi="ar"/>
        </w:rPr>
      </w:pPr>
      <w:r>
        <w:rPr>
          <w:rFonts w:hint="eastAsia" w:ascii="Times New Roman" w:hAnsi="Times New Roman" w:eastAsia="方正仿宋_GBK" w:cs="Times New Roman"/>
          <w:kern w:val="0"/>
          <w:sz w:val="32"/>
          <w:szCs w:val="32"/>
          <w:lang w:val="en-US" w:eastAsia="zh-CN" w:bidi="ar"/>
        </w:rPr>
        <w:t>2、负责本乡镇的基本医疗服务。</w:t>
      </w:r>
    </w:p>
    <w:p>
      <w:pPr>
        <w:pStyle w:val="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jc w:val="left"/>
        <w:textAlignment w:val="auto"/>
        <w:rPr>
          <w:rFonts w:hint="eastAsia" w:ascii="Times New Roman" w:hAnsi="Times New Roman" w:eastAsia="方正仿宋_GBK" w:cs="Times New Roman"/>
          <w:kern w:val="0"/>
          <w:sz w:val="32"/>
          <w:szCs w:val="32"/>
          <w:lang w:val="en-US" w:eastAsia="zh-CN" w:bidi="ar"/>
        </w:rPr>
      </w:pPr>
      <w:r>
        <w:rPr>
          <w:rFonts w:hint="eastAsia" w:ascii="Times New Roman" w:hAnsi="Times New Roman" w:eastAsia="方正仿宋_GBK" w:cs="Times New Roman"/>
          <w:kern w:val="0"/>
          <w:sz w:val="32"/>
          <w:szCs w:val="32"/>
          <w:lang w:val="en-US" w:eastAsia="zh-CN" w:bidi="ar"/>
        </w:rPr>
        <w:t>3、承担本镇农村居民健康档案规范建档指导、管理及公共卫生服务。</w:t>
      </w:r>
    </w:p>
    <w:p>
      <w:pPr>
        <w:pStyle w:val="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jc w:val="left"/>
        <w:textAlignment w:val="auto"/>
        <w:rPr>
          <w:rFonts w:hint="eastAsia" w:ascii="Times New Roman" w:hAnsi="Times New Roman" w:eastAsia="方正仿宋_GBK" w:cs="Times New Roman"/>
          <w:kern w:val="0"/>
          <w:sz w:val="32"/>
          <w:szCs w:val="32"/>
          <w:lang w:val="en-US" w:eastAsia="zh-CN" w:bidi="ar"/>
        </w:rPr>
      </w:pPr>
      <w:r>
        <w:rPr>
          <w:rFonts w:hint="eastAsia" w:ascii="Times New Roman" w:hAnsi="Times New Roman" w:eastAsia="方正仿宋_GBK" w:cs="Times New Roman"/>
          <w:kern w:val="0"/>
          <w:sz w:val="32"/>
          <w:szCs w:val="32"/>
          <w:lang w:val="en-US" w:eastAsia="zh-CN" w:bidi="ar"/>
        </w:rPr>
        <w:t>4、负责本乡镇突发公共卫生事件的报告，并依据上级部门要求组织实施处置。</w:t>
      </w:r>
    </w:p>
    <w:p>
      <w:pPr>
        <w:pStyle w:val="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jc w:val="left"/>
        <w:textAlignment w:val="auto"/>
        <w:rPr>
          <w:rFonts w:hint="eastAsia" w:ascii="Times New Roman" w:hAnsi="Times New Roman" w:eastAsia="方正仿宋_GBK" w:cs="Times New Roman"/>
          <w:kern w:val="0"/>
          <w:sz w:val="32"/>
          <w:szCs w:val="32"/>
          <w:lang w:val="en-US" w:eastAsia="zh-CN" w:bidi="ar"/>
        </w:rPr>
      </w:pPr>
      <w:r>
        <w:rPr>
          <w:rFonts w:hint="eastAsia" w:ascii="Times New Roman" w:hAnsi="Times New Roman" w:eastAsia="方正仿宋_GBK" w:cs="Times New Roman"/>
          <w:kern w:val="0"/>
          <w:sz w:val="32"/>
          <w:szCs w:val="32"/>
          <w:lang w:val="en-US" w:eastAsia="zh-CN" w:bidi="ar"/>
        </w:rPr>
        <w:t>5、负责本乡镇辖区内的卫生信息统计、分析、上报。</w:t>
      </w:r>
    </w:p>
    <w:p>
      <w:pPr>
        <w:pStyle w:val="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jc w:val="left"/>
        <w:textAlignment w:val="auto"/>
        <w:rPr>
          <w:rFonts w:hint="eastAsia" w:ascii="Times New Roman" w:hAnsi="Times New Roman" w:eastAsia="方正仿宋_GBK" w:cs="Times New Roman"/>
          <w:kern w:val="0"/>
          <w:sz w:val="32"/>
          <w:szCs w:val="32"/>
          <w:lang w:val="en-US" w:eastAsia="zh-CN" w:bidi="ar"/>
        </w:rPr>
      </w:pPr>
      <w:r>
        <w:rPr>
          <w:rFonts w:hint="eastAsia" w:ascii="Times New Roman" w:hAnsi="Times New Roman" w:eastAsia="方正仿宋_GBK" w:cs="Times New Roman"/>
          <w:kern w:val="0"/>
          <w:sz w:val="32"/>
          <w:szCs w:val="32"/>
          <w:lang w:val="en-US" w:eastAsia="zh-CN" w:bidi="ar"/>
        </w:rPr>
        <w:t>6、负责对本乡镇辖区内村级卫生组织和乡村医生的业务指导和培训。</w:t>
      </w:r>
    </w:p>
    <w:p>
      <w:pPr>
        <w:pStyle w:val="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default" w:ascii="楷体" w:hAnsi="楷体" w:eastAsia="楷体" w:cs="楷体"/>
          <w:sz w:val="32"/>
          <w:szCs w:val="32"/>
        </w:rPr>
      </w:pPr>
      <w:r>
        <w:rPr>
          <w:rFonts w:hint="eastAsia" w:ascii="Times New Roman" w:hAnsi="Times New Roman" w:eastAsia="方正仿宋_GBK" w:cs="Times New Roman"/>
          <w:kern w:val="0"/>
          <w:sz w:val="32"/>
          <w:szCs w:val="32"/>
          <w:lang w:val="en-US" w:eastAsia="zh-CN" w:bidi="ar"/>
        </w:rPr>
        <w:t>7、负责承办政府卫生行政部门委托的相关业务或事项;负责上级卫生行政部门下达的其他工作。</w:t>
      </w:r>
    </w:p>
    <w:p>
      <w:pPr>
        <w:pStyle w:val="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96" w:lineRule="exact"/>
        <w:ind w:leftChars="0"/>
        <w:textAlignment w:val="auto"/>
        <w:rPr>
          <w:rStyle w:val="13"/>
          <w:rFonts w:ascii="楷体" w:hAnsi="楷体" w:eastAsia="楷体" w:cs="楷体"/>
          <w:sz w:val="32"/>
          <w:szCs w:val="32"/>
          <w:shd w:val="clear" w:color="auto" w:fill="FFFFFF"/>
        </w:rPr>
      </w:pPr>
      <w:r>
        <w:rPr>
          <w:rStyle w:val="13"/>
          <w:rFonts w:hint="eastAsia" w:ascii="楷体" w:hAnsi="楷体" w:eastAsia="楷体" w:cs="楷体"/>
          <w:sz w:val="32"/>
          <w:szCs w:val="32"/>
          <w:shd w:val="clear" w:color="auto" w:fill="FFFFFF"/>
          <w:lang w:val="en-US" w:eastAsia="zh-CN"/>
        </w:rPr>
        <w:t xml:space="preserve">  （二）</w:t>
      </w:r>
      <w:r>
        <w:rPr>
          <w:rStyle w:val="13"/>
          <w:rFonts w:ascii="楷体" w:hAnsi="楷体" w:eastAsia="楷体" w:cs="楷体"/>
          <w:sz w:val="32"/>
          <w:szCs w:val="32"/>
          <w:shd w:val="clear" w:color="auto" w:fill="FFFFFF"/>
        </w:rPr>
        <w:t>机构设置</w:t>
      </w:r>
    </w:p>
    <w:p>
      <w:pPr>
        <w:pStyle w:val="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96" w:lineRule="exact"/>
        <w:ind w:leftChars="0" w:firstLine="640" w:firstLineChars="200"/>
        <w:textAlignment w:val="auto"/>
        <w:rPr>
          <w:rFonts w:hint="default" w:ascii="Times New Roman" w:hAnsi="Times New Roman" w:eastAsia="方正仿宋_GBK" w:cs="Times New Roman"/>
          <w:kern w:val="0"/>
          <w:sz w:val="32"/>
          <w:szCs w:val="32"/>
          <w:lang w:val="en-US" w:eastAsia="zh-CN" w:bidi="ar"/>
        </w:rPr>
      </w:pPr>
      <w:r>
        <w:rPr>
          <w:rFonts w:hint="eastAsia" w:ascii="Times New Roman" w:hAnsi="Times New Roman" w:eastAsia="方正仿宋_GBK" w:cs="Times New Roman"/>
          <w:kern w:val="0"/>
          <w:sz w:val="32"/>
          <w:szCs w:val="32"/>
          <w:lang w:val="en-US" w:eastAsia="zh-CN" w:bidi="ar"/>
        </w:rPr>
        <w:t>本单位设立12个职能科室：内科、外科、妇科、儿科、中医科、公共卫生科、护理部、放射科、检验科、功能辅助检查室、办公室、财务室。</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二、</w:t>
      </w:r>
      <w:r>
        <w:rPr>
          <w:rStyle w:val="13"/>
          <w:rFonts w:hint="eastAsia" w:ascii="黑体" w:hAnsi="黑体" w:eastAsia="黑体" w:cs="黑体"/>
          <w:sz w:val="32"/>
          <w:szCs w:val="32"/>
          <w:shd w:val="clear" w:color="auto" w:fill="FFFFFF"/>
          <w:lang w:eastAsia="zh-CN"/>
        </w:rPr>
        <w:t>单位</w:t>
      </w:r>
      <w:r>
        <w:rPr>
          <w:rStyle w:val="13"/>
          <w:rFonts w:ascii="黑体" w:hAnsi="黑体" w:eastAsia="黑体" w:cs="黑体"/>
          <w:sz w:val="32"/>
          <w:szCs w:val="32"/>
          <w:shd w:val="clear" w:color="auto" w:fill="FFFFFF"/>
        </w:rPr>
        <w:t>决算</w:t>
      </w:r>
      <w:r>
        <w:rPr>
          <w:rStyle w:val="13"/>
          <w:rFonts w:hint="eastAsia" w:ascii="黑体" w:hAnsi="黑体" w:eastAsia="黑体" w:cs="黑体"/>
          <w:sz w:val="32"/>
          <w:szCs w:val="32"/>
          <w:shd w:val="clear" w:color="auto" w:fill="FFFFFF"/>
          <w:lang w:eastAsia="zh-CN"/>
        </w:rPr>
        <w:t>收支</w:t>
      </w:r>
      <w:r>
        <w:rPr>
          <w:rStyle w:val="13"/>
          <w:rFonts w:ascii="黑体" w:hAnsi="黑体" w:eastAsia="黑体" w:cs="黑体"/>
          <w:sz w:val="32"/>
          <w:szCs w:val="32"/>
          <w:shd w:val="clear" w:color="auto" w:fill="FFFFFF"/>
        </w:rPr>
        <w:t>情况说明</w:t>
      </w:r>
    </w:p>
    <w:p>
      <w:pPr>
        <w:pStyle w:val="14"/>
        <w:keepNext w:val="0"/>
        <w:keepLines w:val="0"/>
        <w:pageBreakBefore w:val="0"/>
        <w:widowControl/>
        <w:kinsoku/>
        <w:wordWrap/>
        <w:overflowPunct/>
        <w:topLinePunct w:val="0"/>
        <w:autoSpaceDE w:val="0"/>
        <w:autoSpaceDN/>
        <w:bidi w:val="0"/>
        <w:adjustRightInd/>
        <w:snapToGrid/>
        <w:spacing w:line="596" w:lineRule="exact"/>
        <w:ind w:left="0" w:leftChars="0" w:firstLine="321" w:firstLineChars="1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（一）收入支出决算总体情况说明</w:t>
      </w:r>
    </w:p>
    <w:p>
      <w:pPr>
        <w:pStyle w:val="9"/>
        <w:shd w:val="clear" w:color="auto" w:fill="FFFFFF"/>
        <w:spacing w:before="0" w:beforeAutospacing="0" w:after="0" w:afterAutospacing="0" w:line="596" w:lineRule="exact"/>
        <w:ind w:firstLine="640" w:firstLineChars="200"/>
        <w:jc w:val="both"/>
        <w:rPr>
          <w:rFonts w:hint="default" w:ascii="方正仿宋_GBK" w:hAnsi="方正仿宋_GBK" w:eastAsia="方正仿宋_GBK" w:cs="方正仿宋_GBK"/>
          <w:color w:val="FF0000"/>
          <w:sz w:val="32"/>
          <w:szCs w:val="32"/>
          <w:shd w:val="clear" w:color="auto" w:fill="FFFFFF"/>
          <w:lang w:val="en-US" w:eastAsia="zh-CN"/>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年度收</w:t>
      </w:r>
      <w:r>
        <w:rPr>
          <w:rFonts w:hint="eastAsia" w:ascii="方正仿宋_GBK" w:hAnsi="方正仿宋_GBK" w:eastAsia="方正仿宋_GBK" w:cs="方正仿宋_GBK"/>
          <w:sz w:val="32"/>
          <w:szCs w:val="32"/>
          <w:shd w:val="clear" w:color="auto" w:fill="FFFFFF"/>
          <w:lang w:eastAsia="zh-CN"/>
        </w:rPr>
        <w:t>、支</w:t>
      </w:r>
      <w:r>
        <w:rPr>
          <w:rFonts w:ascii="方正仿宋_GBK" w:hAnsi="方正仿宋_GBK" w:eastAsia="方正仿宋_GBK" w:cs="方正仿宋_GBK"/>
          <w:sz w:val="32"/>
          <w:szCs w:val="32"/>
          <w:shd w:val="clear" w:color="auto" w:fill="FFFFFF"/>
        </w:rPr>
        <w:t>总计</w:t>
      </w:r>
      <w:r>
        <w:rPr>
          <w:rFonts w:hint="eastAsia" w:ascii="方正仿宋_GBK" w:hAnsi="方正仿宋_GBK" w:eastAsia="方正仿宋_GBK" w:cs="方正仿宋_GBK"/>
          <w:sz w:val="32"/>
          <w:szCs w:val="32"/>
          <w:shd w:val="clear" w:color="auto" w:fill="FFFFFF"/>
          <w:lang w:eastAsia="zh-CN"/>
        </w:rPr>
        <w:t>均为</w:t>
      </w:r>
      <w:r>
        <w:rPr>
          <w:rFonts w:hint="default" w:ascii="Times New Roman" w:hAnsi="Times New Roman" w:eastAsia="方正仿宋_GBK"/>
          <w:sz w:val="32"/>
          <w:szCs w:val="32"/>
          <w:shd w:val="clear" w:color="auto" w:fill="FFFFFF"/>
        </w:rPr>
        <w:t>566.76</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收、支与2023年度相比，减少701.83万元，下降55.3%</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2023年我院年中预算追加医保服务能力提升、鲁渝协作省级援助资金医疗设备采购项目资金，以及新建院区工程建设项目其他收入和支出，2024年无以上项目收入和费用支出。</w:t>
      </w:r>
    </w:p>
    <w:p>
      <w:pPr>
        <w:pStyle w:val="9"/>
        <w:shd w:val="clear" w:color="auto" w:fill="FFFFFF"/>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shd w:val="clear" w:color="auto" w:fill="FFFFFF"/>
        </w:rPr>
      </w:pPr>
      <w:r>
        <w:rPr>
          <w:rStyle w:val="13"/>
          <w:rFonts w:hint="eastAsia" w:ascii="Times New Roman" w:hAnsi="Times New Roman" w:eastAsia="方正仿宋_GBK"/>
          <w:sz w:val="32"/>
          <w:szCs w:val="32"/>
          <w:shd w:val="clear" w:color="auto" w:fill="FFFFFF"/>
          <w:lang w:val="en-US" w:eastAsia="zh-CN"/>
        </w:rPr>
        <w:t>1</w:t>
      </w:r>
      <w:r>
        <w:rPr>
          <w:rStyle w:val="13"/>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年度收入合计</w:t>
      </w:r>
      <w:r>
        <w:rPr>
          <w:rFonts w:hint="default" w:ascii="Times New Roman" w:hAnsi="Times New Roman" w:eastAsia="方正仿宋_GBK"/>
          <w:sz w:val="32"/>
          <w:szCs w:val="32"/>
          <w:shd w:val="clear" w:color="auto" w:fill="FFFFFF"/>
        </w:rPr>
        <w:t>566.76</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与2023年度相比，减少701.83万元，下降55.3%</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2023年我院年中预算追加医保服务能力提升、鲁渝协作省级援助资金医疗设备采购项目资金，以及新建院区工程建设项目其他收入，2024年无以上项目资金收入。</w:t>
      </w:r>
      <w:r>
        <w:rPr>
          <w:rFonts w:ascii="方正仿宋_GBK" w:hAnsi="方正仿宋_GBK" w:eastAsia="方正仿宋_GBK" w:cs="方正仿宋_GBK"/>
          <w:sz w:val="32"/>
          <w:szCs w:val="32"/>
          <w:shd w:val="clear" w:color="auto" w:fill="FFFFFF"/>
        </w:rPr>
        <w:t>其中：财政拨款收入</w:t>
      </w:r>
      <w:r>
        <w:rPr>
          <w:rFonts w:hint="default" w:ascii="Times New Roman" w:hAnsi="Times New Roman" w:eastAsia="方正仿宋_GBK"/>
          <w:sz w:val="32"/>
          <w:szCs w:val="32"/>
          <w:shd w:val="clear" w:color="auto" w:fill="FFFFFF"/>
        </w:rPr>
        <w:t>166.69</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29.4%</w:t>
      </w:r>
      <w:r>
        <w:rPr>
          <w:rFonts w:ascii="方正仿宋_GBK" w:hAnsi="方正仿宋_GBK" w:eastAsia="方正仿宋_GBK" w:cs="方正仿宋_GBK"/>
          <w:sz w:val="32"/>
          <w:szCs w:val="32"/>
          <w:shd w:val="clear" w:color="auto" w:fill="FFFFFF"/>
        </w:rPr>
        <w:t>；事业收入</w:t>
      </w:r>
      <w:r>
        <w:rPr>
          <w:rFonts w:hint="default" w:ascii="Times New Roman" w:hAnsi="Times New Roman" w:eastAsia="方正仿宋_GBK"/>
          <w:sz w:val="32"/>
          <w:szCs w:val="32"/>
          <w:shd w:val="clear" w:color="auto" w:fill="FFFFFF"/>
        </w:rPr>
        <w:t>400.05</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70.6%</w:t>
      </w:r>
      <w:r>
        <w:rPr>
          <w:rFonts w:ascii="方正仿宋_GBK" w:hAnsi="方正仿宋_GBK" w:eastAsia="方正仿宋_GBK" w:cs="方正仿宋_GBK"/>
          <w:sz w:val="32"/>
          <w:szCs w:val="32"/>
          <w:shd w:val="clear" w:color="auto" w:fill="FFFFFF"/>
        </w:rPr>
        <w:t>；经营收入</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；其他收入</w:t>
      </w:r>
      <w:r>
        <w:rPr>
          <w:rFonts w:hint="default" w:ascii="Times New Roman" w:hAnsi="Times New Roman" w:eastAsia="方正仿宋_GBK"/>
          <w:sz w:val="32"/>
          <w:szCs w:val="32"/>
          <w:shd w:val="clear" w:color="auto" w:fill="FFFFFF"/>
        </w:rPr>
        <w:t>0.02</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。此外，</w:t>
      </w:r>
      <w:r>
        <w:rPr>
          <w:rFonts w:hint="eastAsia" w:ascii="方正仿宋_GBK" w:hAnsi="方正仿宋_GBK" w:eastAsia="方正仿宋_GBK" w:cs="方正仿宋_GBK"/>
          <w:sz w:val="32"/>
          <w:szCs w:val="32"/>
          <w:shd w:val="clear" w:color="auto" w:fill="FFFFFF"/>
        </w:rPr>
        <w:t>使用非财政拨款结余（含专用结余）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万元，年初结转和结余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shd w:val="clear" w:color="auto" w:fill="FFFFFF"/>
        </w:rPr>
      </w:pPr>
      <w:r>
        <w:rPr>
          <w:rStyle w:val="13"/>
          <w:rFonts w:hint="eastAsia" w:ascii="Times New Roman" w:hAnsi="Times New Roman" w:eastAsia="方正仿宋_GBK"/>
          <w:sz w:val="32"/>
          <w:szCs w:val="32"/>
          <w:shd w:val="clear" w:color="auto" w:fill="FFFFFF"/>
          <w:lang w:val="en-US" w:eastAsia="zh-CN"/>
        </w:rPr>
        <w:t>2</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年度支出合计</w:t>
      </w:r>
      <w:r>
        <w:rPr>
          <w:rFonts w:hint="default" w:ascii="Times New Roman" w:hAnsi="Times New Roman" w:eastAsia="方正仿宋_GBK"/>
          <w:sz w:val="32"/>
          <w:szCs w:val="32"/>
          <w:shd w:val="clear" w:color="auto" w:fill="FFFFFF"/>
        </w:rPr>
        <w:t>566.76</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与2023年度相比，减少701.83万元，下降55.3%</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2023年我院完成医保服务能力提升、鲁渝协作省级援助资金医疗设备采购项目资金，以及新建院区工程建设项目款项支出，2024年度无以上项目费用支出。</w:t>
      </w:r>
      <w:r>
        <w:rPr>
          <w:rFonts w:ascii="方正仿宋_GBK" w:hAnsi="方正仿宋_GBK" w:eastAsia="方正仿宋_GBK" w:cs="方正仿宋_GBK"/>
          <w:sz w:val="32"/>
          <w:szCs w:val="32"/>
          <w:shd w:val="clear" w:color="auto" w:fill="FFFFFF"/>
        </w:rPr>
        <w:t>其中：基本支出</w:t>
      </w:r>
      <w:r>
        <w:rPr>
          <w:rFonts w:hint="default" w:ascii="Times New Roman" w:hAnsi="Times New Roman" w:eastAsia="方正仿宋_GBK"/>
          <w:sz w:val="32"/>
          <w:szCs w:val="32"/>
          <w:shd w:val="clear" w:color="auto" w:fill="FFFFFF"/>
        </w:rPr>
        <w:t>499.60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88.2%</w:t>
      </w:r>
      <w:r>
        <w:rPr>
          <w:rFonts w:ascii="方正仿宋_GBK" w:hAnsi="方正仿宋_GBK" w:eastAsia="方正仿宋_GBK" w:cs="方正仿宋_GBK"/>
          <w:sz w:val="32"/>
          <w:szCs w:val="32"/>
          <w:shd w:val="clear" w:color="auto" w:fill="FFFFFF"/>
        </w:rPr>
        <w:t>；项目支出</w:t>
      </w:r>
      <w:r>
        <w:rPr>
          <w:rFonts w:hint="default" w:ascii="Times New Roman" w:hAnsi="Times New Roman" w:eastAsia="方正仿宋_GBK"/>
          <w:sz w:val="32"/>
          <w:szCs w:val="32"/>
          <w:shd w:val="clear" w:color="auto" w:fill="FFFFFF"/>
        </w:rPr>
        <w:t>67.16</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11.9%</w:t>
      </w:r>
      <w:r>
        <w:rPr>
          <w:rFonts w:ascii="方正仿宋_GBK" w:hAnsi="方正仿宋_GBK" w:eastAsia="方正仿宋_GBK" w:cs="方正仿宋_GBK"/>
          <w:sz w:val="32"/>
          <w:szCs w:val="32"/>
          <w:shd w:val="clear" w:color="auto" w:fill="FFFFFF"/>
        </w:rPr>
        <w:t>；经营支出</w:t>
      </w:r>
      <w:r>
        <w:rPr>
          <w:rFonts w:hint="default" w:ascii="Times New Roman" w:hAnsi="Times New Roman" w:eastAsia="方正仿宋_GBK"/>
          <w:sz w:val="32"/>
          <w:szCs w:val="32"/>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。此外，结余分配</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Style w:val="13"/>
          <w:rFonts w:hint="eastAsia" w:ascii="Times New Roman" w:hAnsi="Times New Roman" w:eastAsia="方正仿宋_GBK"/>
          <w:sz w:val="32"/>
          <w:szCs w:val="32"/>
          <w:shd w:val="clear" w:color="auto" w:fill="FFFFFF"/>
          <w:lang w:val="en-US" w:eastAsia="zh-CN"/>
        </w:rPr>
        <w:t>3</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年度年末结转和结余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hint="eastAsia" w:ascii="方正仿宋_GBK" w:hAnsi="方正仿宋_GBK" w:eastAsia="方正仿宋_GBK" w:cs="方正仿宋_GBK"/>
          <w:sz w:val="32"/>
          <w:szCs w:val="32"/>
          <w:shd w:val="clear" w:color="auto" w:fill="FFFFFF"/>
          <w:lang w:eastAsia="zh-CN"/>
        </w:rPr>
        <w:t>。</w:t>
      </w:r>
    </w:p>
    <w:p>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（二）财政拨款收入支出决算总体情况说明</w:t>
      </w:r>
    </w:p>
    <w:p>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lang w:val="en-US"/>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年度财政拨款收、支总计均为</w:t>
      </w:r>
      <w:r>
        <w:rPr>
          <w:rFonts w:hint="default" w:ascii="Times New Roman" w:hAnsi="Times New Roman" w:eastAsia="方正仿宋_GBK"/>
          <w:sz w:val="32"/>
          <w:szCs w:val="32"/>
          <w:shd w:val="clear" w:color="auto" w:fill="FFFFFF"/>
        </w:rPr>
        <w:t>166.69</w:t>
      </w:r>
      <w:r>
        <w:rPr>
          <w:rFonts w:ascii="方正仿宋_GBK" w:hAnsi="方正仿宋_GBK" w:eastAsia="方正仿宋_GBK" w:cs="方正仿宋_GBK"/>
          <w:sz w:val="32"/>
          <w:szCs w:val="32"/>
          <w:shd w:val="clear" w:color="auto" w:fill="FFFFFF"/>
        </w:rPr>
        <w:t>万元。与</w:t>
      </w:r>
      <w:r>
        <w:rPr>
          <w:rFonts w:hint="default" w:ascii="Times New Roman" w:hAnsi="Times New Roman" w:eastAsia="方正仿宋_GBK"/>
          <w:sz w:val="32"/>
          <w:szCs w:val="32"/>
          <w:shd w:val="clear" w:color="auto" w:fill="FFFFFF"/>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eastAsia="zh-CN"/>
        </w:rPr>
        <w:t>度</w:t>
      </w:r>
      <w:r>
        <w:rPr>
          <w:rFonts w:ascii="方正仿宋_GBK" w:hAnsi="方正仿宋_GBK" w:eastAsia="方正仿宋_GBK" w:cs="方正仿宋_GBK"/>
          <w:sz w:val="32"/>
          <w:szCs w:val="32"/>
          <w:shd w:val="clear" w:color="auto" w:fill="FFFFFF"/>
        </w:rPr>
        <w:t>相比，</w:t>
      </w:r>
      <w:r>
        <w:rPr>
          <w:rFonts w:hint="default" w:ascii="Times New Roman" w:hAnsi="Times New Roman" w:eastAsia="方正仿宋_GBK"/>
          <w:sz w:val="32"/>
          <w:szCs w:val="32"/>
          <w:shd w:val="clear" w:color="auto" w:fill="FFFFFF"/>
        </w:rPr>
        <w:t>财政拨款收、支总计各减少406.73万元，下降70.9%</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2023年我院年中预算追加医保服务能力提升、鲁渝协作省级援助资金医疗设备采购项目资金并实现支出，2024年度无以上项目预算收入和费用支出。</w:t>
      </w:r>
    </w:p>
    <w:p>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（三）一般公共预算财政拨款收入支出决算情况说明</w:t>
      </w:r>
    </w:p>
    <w:p>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Style w:val="13"/>
          <w:rFonts w:hint="default" w:ascii="Times New Roman" w:hAnsi="Times New Roman" w:eastAsia="方正仿宋_GBK"/>
          <w:sz w:val="32"/>
          <w:szCs w:val="32"/>
          <w:shd w:val="clear" w:color="auto" w:fill="FFFFFF"/>
        </w:rPr>
        <w:t>1</w:t>
      </w:r>
      <w:r>
        <w:rPr>
          <w:rStyle w:val="13"/>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年度一般公共预算财政拨款收入</w:t>
      </w:r>
      <w:r>
        <w:rPr>
          <w:rFonts w:hint="default" w:ascii="Times New Roman" w:hAnsi="Times New Roman" w:eastAsia="方正仿宋_GBK"/>
          <w:sz w:val="32"/>
          <w:szCs w:val="32"/>
          <w:shd w:val="clear" w:color="auto" w:fill="FFFFFF"/>
        </w:rPr>
        <w:t>166.69</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与2023年度相比，减少406.73万元，下降70.9%</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2023年我院年中预算追加医保服务能力提升、鲁渝协作省级援助资金医疗设备采购项目资金，2024年度无以上项目预算收入。</w:t>
      </w:r>
      <w:r>
        <w:rPr>
          <w:rFonts w:hint="default" w:ascii="Times New Roman" w:hAnsi="Times New Roman" w:eastAsia="方正仿宋_GBK"/>
          <w:sz w:val="32"/>
          <w:szCs w:val="32"/>
          <w:shd w:val="clear" w:color="auto" w:fill="FFFFFF"/>
        </w:rPr>
        <w:t>较年初预算数增加26.30万元，增长18.7%</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年中调整预算追加三支一扶人员生活补助、在编员工薪级晋升增资部分、公共卫生服务项目补助资金，主要用于保障人员工资福利待遇及完成公共卫生服务项目工作年度绩效目标任务。</w:t>
      </w:r>
      <w:r>
        <w:rPr>
          <w:rFonts w:ascii="方正仿宋_GBK" w:hAnsi="方正仿宋_GBK" w:eastAsia="方正仿宋_GBK" w:cs="方正仿宋_GBK"/>
          <w:sz w:val="32"/>
          <w:szCs w:val="32"/>
          <w:shd w:val="clear" w:color="auto" w:fill="FFFFFF"/>
        </w:rPr>
        <w:t>此外，年初财政拨款结转和结余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FF0000"/>
          <w:sz w:val="32"/>
          <w:szCs w:val="32"/>
          <w:shd w:val="clear" w:color="auto" w:fill="FFFFFF"/>
          <w:lang w:val="en-US"/>
        </w:rPr>
      </w:pPr>
      <w:r>
        <w:rPr>
          <w:rStyle w:val="13"/>
          <w:rFonts w:hint="default" w:ascii="Times New Roman" w:hAnsi="Times New Roman" w:eastAsia="方正仿宋_GBK"/>
          <w:sz w:val="32"/>
          <w:szCs w:val="32"/>
          <w:shd w:val="clear" w:color="auto" w:fill="FFFFFF"/>
        </w:rPr>
        <w:t>2</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年度一般公共预算财政拨款支出</w:t>
      </w:r>
      <w:r>
        <w:rPr>
          <w:rFonts w:hint="default" w:ascii="Times New Roman" w:hAnsi="Times New Roman" w:eastAsia="方正仿宋_GBK"/>
          <w:sz w:val="32"/>
          <w:szCs w:val="32"/>
          <w:shd w:val="clear" w:color="auto" w:fill="FFFFFF"/>
        </w:rPr>
        <w:t>166.69</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与2023年度相比，减少406.73万元，下降70.9%</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2023年我院完成医保服务能力提升、鲁渝协作省级援助资金医疗设备采购项目资金的支出，2024年度无以上项目费用支出。</w:t>
      </w:r>
      <w:r>
        <w:rPr>
          <w:rFonts w:hint="default" w:ascii="Times New Roman" w:hAnsi="Times New Roman" w:eastAsia="方正仿宋_GBK"/>
          <w:sz w:val="32"/>
          <w:szCs w:val="32"/>
          <w:shd w:val="clear" w:color="auto" w:fill="FFFFFF"/>
        </w:rPr>
        <w:t>较年初预算数增加26.30万元，增长18.7%</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实现年中调整预算追加三支一扶人员生活补助、在编员工薪级晋升增资部分、公共卫生服务项目补助资金的支出，保障人员工资福利待遇及完成公共卫生服务项目工作年度绩效目标任务。</w:t>
      </w:r>
    </w:p>
    <w:p>
      <w:pPr>
        <w:pStyle w:val="9"/>
        <w:keepNext w:val="0"/>
        <w:keepLines w:val="0"/>
        <w:pageBreakBefore w:val="0"/>
        <w:widowControl/>
        <w:kinsoku/>
        <w:wordWrap/>
        <w:overflowPunct/>
        <w:topLinePunct w:val="0"/>
        <w:autoSpaceDE/>
        <w:autoSpaceDN/>
        <w:bidi w:val="0"/>
        <w:adjustRightInd/>
        <w:snapToGrid w:val="0"/>
        <w:spacing w:before="0" w:beforeAutospacing="0" w:after="0" w:afterAutospacing="0" w:line="596" w:lineRule="exact"/>
        <w:ind w:firstLine="640" w:firstLineChars="200"/>
        <w:jc w:val="both"/>
        <w:textAlignment w:val="auto"/>
        <w:rPr>
          <w:rFonts w:ascii="方正仿宋_GBK" w:hAnsi="方正仿宋_GBK" w:eastAsia="方正仿宋_GBK" w:cs="方正仿宋_GBK"/>
          <w:sz w:val="32"/>
          <w:szCs w:val="32"/>
          <w:highlight w:val="none"/>
          <w:shd w:val="clear" w:color="auto" w:fill="FFFFFF"/>
        </w:rPr>
      </w:pPr>
      <w:r>
        <w:rPr>
          <w:rFonts w:ascii="方正仿宋_GBK" w:hAnsi="方正仿宋_GBK" w:eastAsia="方正仿宋_GBK" w:cs="方正仿宋_GBK"/>
          <w:sz w:val="32"/>
          <w:szCs w:val="32"/>
          <w:highlight w:val="none"/>
          <w:shd w:val="clear" w:color="auto" w:fill="FFFFFF"/>
        </w:rPr>
        <w:t>一般公共预算财政拨款支出主要</w:t>
      </w:r>
      <w:r>
        <w:rPr>
          <w:rFonts w:hint="eastAsia" w:ascii="方正仿宋_GBK" w:hAnsi="方正仿宋_GBK" w:eastAsia="方正仿宋_GBK" w:cs="方正仿宋_GBK"/>
          <w:sz w:val="32"/>
          <w:szCs w:val="32"/>
          <w:highlight w:val="none"/>
          <w:shd w:val="clear" w:color="auto" w:fill="FFFFFF"/>
          <w:lang w:eastAsia="zh-CN"/>
        </w:rPr>
        <w:t>用途如下</w:t>
      </w:r>
      <w:r>
        <w:rPr>
          <w:rFonts w:ascii="方正仿宋_GBK" w:hAnsi="方正仿宋_GBK" w:eastAsia="方正仿宋_GBK" w:cs="方正仿宋_GBK"/>
          <w:sz w:val="32"/>
          <w:szCs w:val="32"/>
          <w:highlight w:val="none"/>
          <w:shd w:val="clear" w:color="auto" w:fill="FFFFFF"/>
        </w:rPr>
        <w:t>：</w:t>
      </w:r>
    </w:p>
    <w:p>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1</w:t>
      </w:r>
      <w:r>
        <w:rPr>
          <w:rFonts w:ascii="方正仿宋_GBK" w:hAnsi="方正仿宋_GBK" w:eastAsia="方正仿宋_GBK" w:cs="方正仿宋_GBK"/>
          <w:sz w:val="32"/>
          <w:szCs w:val="32"/>
          <w:shd w:val="clear" w:color="auto" w:fill="FFFFFF"/>
        </w:rPr>
        <w:t>）一般公共服务支出</w:t>
      </w:r>
      <w:r>
        <w:rPr>
          <w:rFonts w:hint="default" w:ascii="Times New Roman" w:hAnsi="Times New Roman" w:eastAsia="方正仿宋_GBK"/>
          <w:sz w:val="32"/>
          <w:szCs w:val="32"/>
          <w:shd w:val="clear" w:color="auto" w:fill="FFFFFF"/>
        </w:rPr>
        <w:t>0.42</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0.3%</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方正仿宋_GBK" w:hAnsi="方正仿宋_GBK" w:eastAsia="方正仿宋_GBK" w:cs="方正仿宋_GBK"/>
          <w:sz w:val="32"/>
          <w:szCs w:val="32"/>
          <w:shd w:val="clear" w:color="auto" w:fill="FFFFFF"/>
          <w:lang w:eastAsia="zh-CN"/>
        </w:rPr>
        <w:t>。</w:t>
      </w:r>
    </w:p>
    <w:p>
      <w:pPr>
        <w:pStyle w:val="9"/>
        <w:snapToGrid w:val="0"/>
        <w:spacing w:before="0" w:beforeAutospacing="0" w:after="0" w:afterAutospacing="0" w:line="596" w:lineRule="exact"/>
        <w:ind w:firstLine="640" w:firstLineChars="200"/>
        <w:jc w:val="both"/>
        <w:rPr>
          <w:rFonts w:hint="eastAsia" w:ascii="Times New Roman" w:hAnsi="Times New Roman" w:eastAsia="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sz w:val="32"/>
          <w:szCs w:val="32"/>
          <w:shd w:val="clear" w:color="auto" w:fill="FFFFFF"/>
          <w:lang w:val="en-US" w:eastAsia="zh-CN"/>
        </w:rPr>
        <w:t>2</w:t>
      </w:r>
      <w:r>
        <w:rPr>
          <w:rFonts w:ascii="方正仿宋_GBK" w:hAnsi="方正仿宋_GBK" w:eastAsia="方正仿宋_GBK" w:cs="方正仿宋_GBK"/>
          <w:sz w:val="32"/>
          <w:szCs w:val="32"/>
          <w:shd w:val="clear" w:color="auto" w:fill="FFFFFF"/>
        </w:rPr>
        <w:t>）社会保障</w:t>
      </w:r>
      <w:r>
        <w:rPr>
          <w:rFonts w:hint="eastAsia" w:ascii="方正仿宋_GBK" w:hAnsi="方正仿宋_GBK" w:eastAsia="方正仿宋_GBK" w:cs="方正仿宋_GBK"/>
          <w:sz w:val="32"/>
          <w:szCs w:val="32"/>
          <w:shd w:val="clear" w:color="auto" w:fill="FFFFFF"/>
          <w:lang w:eastAsia="zh-CN"/>
        </w:rPr>
        <w:t>和</w:t>
      </w:r>
      <w:r>
        <w:rPr>
          <w:rFonts w:ascii="方正仿宋_GBK" w:hAnsi="方正仿宋_GBK" w:eastAsia="方正仿宋_GBK" w:cs="方正仿宋_GBK"/>
          <w:sz w:val="32"/>
          <w:szCs w:val="32"/>
          <w:shd w:val="clear" w:color="auto" w:fill="FFFFFF"/>
        </w:rPr>
        <w:t>就业支出</w:t>
      </w:r>
      <w:r>
        <w:rPr>
          <w:rFonts w:hint="default" w:ascii="Times New Roman" w:hAnsi="Times New Roman" w:eastAsia="方正仿宋_GBK"/>
          <w:sz w:val="32"/>
          <w:szCs w:val="32"/>
          <w:shd w:val="clear" w:color="auto" w:fill="FFFFFF"/>
        </w:rPr>
        <w:t>17.85</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10.7%</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shd w:val="clear" w:color="auto" w:fill="FFFFFF"/>
          <w:lang w:val="en-US" w:eastAsia="zh-CN"/>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sz w:val="32"/>
          <w:szCs w:val="32"/>
          <w:shd w:val="clear" w:color="auto" w:fill="FFFFFF"/>
          <w:lang w:val="en-US" w:eastAsia="zh-CN"/>
        </w:rPr>
        <w:t>3</w:t>
      </w:r>
      <w:r>
        <w:rPr>
          <w:rFonts w:ascii="方正仿宋_GBK" w:hAnsi="方正仿宋_GBK" w:eastAsia="方正仿宋_GBK" w:cs="方正仿宋_GBK"/>
          <w:sz w:val="32"/>
          <w:szCs w:val="32"/>
          <w:shd w:val="clear" w:color="auto" w:fill="FFFFFF"/>
        </w:rPr>
        <w:t>）卫生健康支出</w:t>
      </w:r>
      <w:r>
        <w:rPr>
          <w:rFonts w:hint="default" w:ascii="Times New Roman" w:hAnsi="Times New Roman" w:eastAsia="方正仿宋_GBK"/>
          <w:sz w:val="32"/>
          <w:szCs w:val="32"/>
          <w:shd w:val="clear" w:color="auto" w:fill="FFFFFF"/>
        </w:rPr>
        <w:t>142.95</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85.8%</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较年初预算数增加26.29万元，增长22.5%</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年中追加公共卫生服务项目补助资金、调整预算三支一扶人员生活补助、在编员工待遇调整并实现支出。</w:t>
      </w:r>
    </w:p>
    <w:p>
      <w:pPr>
        <w:spacing w:line="596" w:lineRule="exact"/>
        <w:ind w:firstLine="640" w:firstLineChars="200"/>
        <w:jc w:val="both"/>
        <w:rPr>
          <w:rFonts w:hint="eastAsia" w:ascii="方正仿宋_GBK" w:hAnsi="方正仿宋_GBK" w:eastAsia="方正仿宋_GBK" w:cs="方正仿宋_GBK"/>
          <w:color w:val="FF0000"/>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住房保障支出</w:t>
      </w:r>
      <w:r>
        <w:rPr>
          <w:rFonts w:hint="default" w:ascii="Times New Roman" w:hAnsi="Times New Roman" w:eastAsia="方正仿宋_GBK"/>
          <w:sz w:val="32"/>
          <w:szCs w:val="32"/>
          <w:shd w:val="clear" w:color="auto" w:fill="FFFFFF"/>
        </w:rPr>
        <w:t>5.47</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3.3%</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Style w:val="13"/>
          <w:rFonts w:hint="default" w:ascii="Times New Roman" w:hAnsi="Times New Roman" w:eastAsia="方正仿宋_GBK"/>
          <w:sz w:val="32"/>
          <w:szCs w:val="32"/>
          <w:shd w:val="clear" w:color="auto" w:fill="FFFFFF"/>
        </w:rPr>
        <w:t>3</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年度年末一般公共预算财政拨款结转和结余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hint="eastAsia" w:ascii="方正仿宋_GBK" w:hAnsi="方正仿宋_GBK" w:eastAsia="方正仿宋_GBK" w:cs="方正仿宋_GBK"/>
          <w:sz w:val="32"/>
          <w:szCs w:val="32"/>
          <w:shd w:val="clear" w:color="auto" w:fill="FFFFFF"/>
          <w:lang w:eastAsia="zh-CN"/>
        </w:rPr>
        <w:t>。</w:t>
      </w:r>
    </w:p>
    <w:p>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（四）一般公共预算财政拨款基本支出决算情况说明</w:t>
      </w:r>
    </w:p>
    <w:p>
      <w:pPr>
        <w:pStyle w:val="9"/>
        <w:snapToGrid w:val="0"/>
        <w:spacing w:before="0" w:beforeAutospacing="0" w:after="0" w:afterAutospacing="0" w:line="596" w:lineRule="exact"/>
        <w:ind w:firstLine="640" w:firstLineChars="200"/>
        <w:jc w:val="both"/>
        <w:rPr>
          <w:rFonts w:ascii="方正仿宋_GBK" w:hAnsi="方正仿宋_GBK" w:eastAsia="方正仿宋_GBK" w:cs="方正仿宋_GBK"/>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年度一般公共财政拨款基本支出</w:t>
      </w:r>
      <w:r>
        <w:rPr>
          <w:rFonts w:hint="default" w:ascii="Times New Roman" w:hAnsi="Times New Roman" w:eastAsia="方正仿宋_GBK"/>
          <w:sz w:val="32"/>
          <w:szCs w:val="32"/>
          <w:shd w:val="clear" w:color="auto" w:fill="FFFFFF"/>
        </w:rPr>
        <w:t>102.41</w:t>
      </w:r>
      <w:r>
        <w:rPr>
          <w:rFonts w:ascii="方正仿宋_GBK" w:hAnsi="方正仿宋_GBK" w:eastAsia="方正仿宋_GBK" w:cs="方正仿宋_GBK"/>
          <w:sz w:val="32"/>
          <w:szCs w:val="32"/>
          <w:shd w:val="clear" w:color="auto" w:fill="FFFFFF"/>
        </w:rPr>
        <w:t>万元。</w:t>
      </w:r>
    </w:p>
    <w:p>
      <w:pPr>
        <w:pStyle w:val="9"/>
        <w:keepNext w:val="0"/>
        <w:keepLines w:val="0"/>
        <w:pageBreakBefore w:val="0"/>
        <w:widowControl/>
        <w:kinsoku/>
        <w:wordWrap/>
        <w:overflowPunct/>
        <w:topLinePunct w:val="0"/>
        <w:autoSpaceDE/>
        <w:autoSpaceDN/>
        <w:bidi w:val="0"/>
        <w:adjustRightInd/>
        <w:snapToGrid w:val="0"/>
        <w:spacing w:before="0" w:beforeAutospacing="0" w:after="0" w:afterAutospacing="0" w:line="596" w:lineRule="exact"/>
        <w:ind w:firstLine="0" w:firstLineChars="0"/>
        <w:jc w:val="both"/>
        <w:textAlignment w:val="auto"/>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其中：</w:t>
      </w:r>
    </w:p>
    <w:p>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shd w:val="clear" w:color="auto" w:fill="FFFFFF"/>
          <w:lang w:val="en-US" w:eastAsia="zh-CN"/>
        </w:rPr>
      </w:pPr>
      <w:r>
        <w:rPr>
          <w:rFonts w:ascii="方正仿宋_GBK" w:hAnsi="方正仿宋_GBK" w:eastAsia="方正仿宋_GBK" w:cs="方正仿宋_GBK"/>
          <w:sz w:val="32"/>
          <w:szCs w:val="32"/>
          <w:shd w:val="clear" w:color="auto" w:fill="FFFFFF"/>
        </w:rPr>
        <w:t>人员经费</w:t>
      </w:r>
      <w:r>
        <w:rPr>
          <w:rFonts w:hint="default" w:ascii="Times New Roman" w:hAnsi="Times New Roman" w:eastAsia="方正仿宋_GBK"/>
          <w:sz w:val="32"/>
          <w:szCs w:val="32"/>
          <w:shd w:val="clear" w:color="auto" w:fill="FFFFFF"/>
        </w:rPr>
        <w:t>100.66</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与2023年度相比，减少6.89万元，下降6.4%</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本年度在编员工调出，工资福利支出减少。</w:t>
      </w:r>
      <w:r>
        <w:rPr>
          <w:rFonts w:ascii="方正仿宋_GBK" w:hAnsi="方正仿宋_GBK" w:eastAsia="方正仿宋_GBK" w:cs="方正仿宋_GBK"/>
          <w:sz w:val="32"/>
          <w:szCs w:val="32"/>
          <w:shd w:val="clear" w:color="auto" w:fill="FFFFFF"/>
        </w:rPr>
        <w:t>人员经费用途主要包括</w:t>
      </w:r>
      <w:r>
        <w:rPr>
          <w:rFonts w:hint="eastAsia" w:ascii="方正仿宋_GBK" w:hAnsi="方正仿宋_GBK" w:eastAsia="方正仿宋_GBK" w:cs="方正仿宋_GBK"/>
          <w:sz w:val="32"/>
          <w:szCs w:val="32"/>
          <w:shd w:val="clear" w:color="auto" w:fill="FFFFFF"/>
          <w:lang w:val="en-US" w:eastAsia="zh-CN"/>
        </w:rPr>
        <w:t>基本工资20.91万元、津贴补贴7.65万元、绩效工资42.98万元、基本养老保险7.3万元、职业年金3.65万元、基本医疗保险3.88万元、其他社会保障缴费0.82万元、住房公积金5.47万元、遗属人员生活补助1.1万元、退休人员健康修养费6.9万元。</w:t>
      </w:r>
    </w:p>
    <w:p>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公用经费</w:t>
      </w:r>
      <w:r>
        <w:rPr>
          <w:rFonts w:hint="default" w:ascii="Times New Roman" w:hAnsi="Times New Roman" w:eastAsia="方正仿宋_GBK"/>
          <w:sz w:val="32"/>
          <w:szCs w:val="32"/>
          <w:shd w:val="clear" w:color="auto" w:fill="FFFFFF"/>
        </w:rPr>
        <w:t>1.75</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与2023年度相比，减少12.75万元，下降87.9%</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本年度办公费用财政拨款支出预算减少。</w:t>
      </w:r>
      <w:r>
        <w:rPr>
          <w:rFonts w:ascii="方正仿宋_GBK" w:hAnsi="方正仿宋_GBK" w:eastAsia="方正仿宋_GBK" w:cs="方正仿宋_GBK"/>
          <w:sz w:val="32"/>
          <w:szCs w:val="32"/>
          <w:shd w:val="clear" w:color="auto" w:fill="FFFFFF"/>
        </w:rPr>
        <w:t>公用经费用途主要包括</w:t>
      </w:r>
      <w:r>
        <w:rPr>
          <w:rFonts w:hint="eastAsia" w:ascii="方正仿宋_GBK" w:hAnsi="方正仿宋_GBK" w:eastAsia="方正仿宋_GBK" w:cs="方正仿宋_GBK"/>
          <w:sz w:val="32"/>
          <w:szCs w:val="32"/>
          <w:shd w:val="clear" w:color="auto" w:fill="FFFFFF"/>
          <w:lang w:val="en-US" w:eastAsia="zh-CN"/>
        </w:rPr>
        <w:t>办公费0.42万元、工会经费0.91万元、福利费0.42万元。</w:t>
      </w:r>
    </w:p>
    <w:p>
      <w:pPr>
        <w:pStyle w:val="14"/>
        <w:keepNext w:val="0"/>
        <w:keepLines w:val="0"/>
        <w:pageBreakBefore w:val="0"/>
        <w:widowControl/>
        <w:numPr>
          <w:ilvl w:val="0"/>
          <w:numId w:val="2"/>
        </w:numPr>
        <w:kinsoku/>
        <w:wordWrap/>
        <w:overflowPunct/>
        <w:topLinePunct w:val="0"/>
        <w:autoSpaceDE w:val="0"/>
        <w:autoSpaceDN/>
        <w:bidi w:val="0"/>
        <w:adjustRightInd/>
        <w:snapToGrid/>
        <w:spacing w:line="596" w:lineRule="exact"/>
        <w:ind w:firstLine="643" w:firstLineChars="200"/>
        <w:textAlignment w:val="auto"/>
        <w:rPr>
          <w:rFonts w:hint="eastAsia"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政府性基金预算收支决算情况说明</w:t>
      </w:r>
    </w:p>
    <w:p>
      <w:pPr>
        <w:pStyle w:val="14"/>
        <w:autoSpaceDE w:val="0"/>
        <w:ind w:left="0" w:leftChars="0" w:firstLine="640" w:firstLineChars="200"/>
        <w:rPr>
          <w:rFonts w:hint="eastAsia" w:ascii="微软雅黑 Light" w:hAnsi="微软雅黑 Light" w:eastAsia="微软雅黑 Light" w:cs="微软雅黑 Light"/>
          <w:b w:val="0"/>
          <w:bCs w:val="0"/>
          <w:sz w:val="32"/>
          <w:szCs w:val="32"/>
          <w:shd w:val="clear" w:color="auto" w:fill="FFFFFF"/>
          <w:lang w:val="en-US" w:eastAsia="zh-CN"/>
        </w:rPr>
      </w:pPr>
      <w:r>
        <w:rPr>
          <w:rFonts w:hint="eastAsia" w:ascii="Times New Roman" w:hAnsi="Times New Roman" w:eastAsia="方正仿宋_GBK" w:cs="Times New Roman"/>
          <w:kern w:val="0"/>
          <w:sz w:val="32"/>
          <w:szCs w:val="32"/>
          <w:lang w:val="en-US" w:eastAsia="zh-CN" w:bidi="ar"/>
        </w:rPr>
        <w:t>本单位2024年度无政府性基金预算财政拨款收支。</w:t>
      </w:r>
    </w:p>
    <w:p>
      <w:pPr>
        <w:pStyle w:val="14"/>
        <w:keepNext w:val="0"/>
        <w:keepLines w:val="0"/>
        <w:pageBreakBefore w:val="0"/>
        <w:widowControl/>
        <w:numPr>
          <w:ilvl w:val="0"/>
          <w:numId w:val="2"/>
        </w:numPr>
        <w:kinsoku/>
        <w:wordWrap/>
        <w:overflowPunct/>
        <w:topLinePunct w:val="0"/>
        <w:autoSpaceDE w:val="0"/>
        <w:autoSpaceDN/>
        <w:bidi w:val="0"/>
        <w:adjustRightInd/>
        <w:snapToGrid/>
        <w:spacing w:line="596" w:lineRule="exact"/>
        <w:ind w:left="0" w:leftChars="0" w:firstLine="643" w:firstLineChars="200"/>
        <w:textAlignment w:val="auto"/>
        <w:rPr>
          <w:rFonts w:hint="eastAsia"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国有资本经营预算财政拨款支出决算情况说明</w:t>
      </w:r>
    </w:p>
    <w:p>
      <w:pPr>
        <w:pStyle w:val="14"/>
        <w:autoSpaceDE w:val="0"/>
        <w:ind w:firstLine="643"/>
        <w:rPr>
          <w:rFonts w:hint="default" w:ascii="Times New Roman" w:hAnsi="Times New Roman" w:eastAsia="方正仿宋_GBK" w:cs="Times New Roman"/>
          <w:kern w:val="0"/>
          <w:sz w:val="32"/>
          <w:szCs w:val="32"/>
          <w:lang w:val="en-US" w:eastAsia="zh-CN" w:bidi="ar"/>
        </w:rPr>
      </w:pPr>
      <w:r>
        <w:rPr>
          <w:rFonts w:hint="eastAsia" w:ascii="Times New Roman" w:hAnsi="Times New Roman" w:eastAsia="方正仿宋_GBK" w:cs="Times New Roman"/>
          <w:kern w:val="0"/>
          <w:sz w:val="32"/>
          <w:szCs w:val="32"/>
          <w:lang w:val="en-US" w:eastAsia="zh-CN" w:bidi="ar"/>
        </w:rPr>
        <w:t>本单位2024年度无国有资本经营预算财政拨款支出。</w:t>
      </w:r>
    </w:p>
    <w:p>
      <w:pPr>
        <w:pStyle w:val="9"/>
        <w:keepNext w:val="0"/>
        <w:keepLines w:val="0"/>
        <w:pageBreakBefore w:val="0"/>
        <w:widowControl/>
        <w:numPr>
          <w:ilvl w:val="0"/>
          <w:numId w:val="3"/>
        </w:numPr>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ascii="黑体" w:hAnsi="黑体" w:eastAsia="黑体" w:cs="黑体"/>
          <w:sz w:val="32"/>
          <w:szCs w:val="32"/>
          <w:shd w:val="clear" w:color="auto" w:fill="FFFFFF"/>
        </w:rPr>
      </w:pPr>
      <w:r>
        <w:rPr>
          <w:rStyle w:val="13"/>
          <w:rFonts w:hint="eastAsia" w:ascii="黑体" w:hAnsi="黑体" w:eastAsia="黑体" w:cs="黑体"/>
          <w:sz w:val="32"/>
          <w:szCs w:val="32"/>
          <w:shd w:val="clear" w:color="auto" w:fill="FFFFFF"/>
          <w:lang w:eastAsia="zh-CN"/>
        </w:rPr>
        <w:t>财政拨款</w:t>
      </w:r>
      <w:r>
        <w:rPr>
          <w:rStyle w:val="13"/>
          <w:rFonts w:ascii="黑体" w:hAnsi="黑体" w:eastAsia="黑体" w:cs="黑体"/>
          <w:sz w:val="32"/>
          <w:szCs w:val="32"/>
          <w:shd w:val="clear" w:color="auto" w:fill="FFFFFF"/>
        </w:rPr>
        <w:t>“三公”经费情况说明</w:t>
      </w:r>
    </w:p>
    <w:p>
      <w:pPr>
        <w:pStyle w:val="14"/>
        <w:autoSpaceDE w:val="0"/>
        <w:ind w:left="0" w:leftChars="0" w:firstLine="643" w:firstLineChars="200"/>
        <w:rPr>
          <w:rStyle w:val="13"/>
          <w:rFonts w:hint="default" w:ascii="黑体" w:hAnsi="黑体" w:eastAsia="黑体" w:cs="黑体"/>
          <w:sz w:val="32"/>
          <w:szCs w:val="32"/>
          <w:shd w:val="clear" w:color="auto" w:fill="FFFFFF"/>
          <w:lang w:val="en-US" w:eastAsia="zh-CN"/>
        </w:rPr>
      </w:pPr>
      <w:r>
        <w:rPr>
          <w:rStyle w:val="13"/>
          <w:rFonts w:hint="eastAsia" w:ascii="黑体" w:hAnsi="黑体" w:eastAsia="黑体" w:cs="黑体"/>
          <w:sz w:val="32"/>
          <w:szCs w:val="32"/>
          <w:shd w:val="clear" w:color="auto" w:fill="FFFFFF"/>
          <w:lang w:val="en-US" w:eastAsia="zh-CN"/>
        </w:rPr>
        <w:t xml:space="preserve"> </w:t>
      </w:r>
      <w:r>
        <w:rPr>
          <w:rFonts w:hint="eastAsia" w:ascii="Times New Roman" w:hAnsi="Times New Roman" w:eastAsia="方正仿宋_GBK" w:cs="Times New Roman"/>
          <w:kern w:val="0"/>
          <w:sz w:val="32"/>
          <w:szCs w:val="32"/>
          <w:lang w:val="en-US" w:eastAsia="zh-CN" w:bidi="ar"/>
        </w:rPr>
        <w:t>我单位属于基层医疗卫生机构，财政未保障我单位“三公”经费。</w:t>
      </w:r>
      <w:r>
        <w:rPr>
          <w:rFonts w:hint="eastAsia" w:ascii="楷体" w:hAnsi="楷体" w:eastAsia="楷体" w:cs="楷体"/>
          <w:b/>
          <w:bCs/>
          <w:sz w:val="32"/>
          <w:szCs w:val="32"/>
          <w:shd w:val="clear" w:color="auto" w:fill="FFFFFF"/>
        </w:rPr>
        <w:t xml:space="preserve"> </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四、其他需要说明的事项</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jc w:val="both"/>
        <w:textAlignment w:val="auto"/>
        <w:rPr>
          <w:rFonts w:ascii="楷体" w:hAnsi="楷体" w:eastAsia="楷体" w:cs="楷体"/>
          <w:b/>
          <w:bCs/>
          <w:sz w:val="32"/>
          <w:szCs w:val="32"/>
          <w:shd w:val="clear" w:color="auto" w:fill="FFFFFF"/>
        </w:rPr>
      </w:pPr>
      <w:r>
        <w:rPr>
          <w:rFonts w:ascii="楷体" w:hAnsi="楷体" w:eastAsia="楷体" w:cs="楷体"/>
          <w:b/>
          <w:bCs/>
          <w:sz w:val="32"/>
          <w:szCs w:val="32"/>
          <w:shd w:val="clear" w:color="auto" w:fill="FFFFFF"/>
        </w:rPr>
        <w:t>（一）财政拨款会议费、培训费和差旅费情况说明</w:t>
      </w:r>
    </w:p>
    <w:p>
      <w:pPr>
        <w:pStyle w:val="9"/>
        <w:snapToGrid w:val="0"/>
        <w:spacing w:before="0" w:beforeAutospacing="0" w:after="0" w:afterAutospacing="0" w:line="600" w:lineRule="exact"/>
        <w:ind w:firstLine="640" w:firstLineChars="200"/>
        <w:jc w:val="both"/>
        <w:rPr>
          <w:rFonts w:hint="default" w:ascii="楷体" w:hAnsi="楷体" w:eastAsia="方正仿宋_GBK" w:cs="楷体"/>
          <w:b/>
          <w:bCs/>
          <w:sz w:val="32"/>
          <w:szCs w:val="32"/>
          <w:shd w:val="clear" w:color="auto" w:fill="FFFFFF"/>
          <w:lang w:val="en-US" w:eastAsia="zh-CN"/>
        </w:rPr>
      </w:pPr>
      <w:r>
        <w:rPr>
          <w:rFonts w:hint="eastAsia" w:ascii="Times New Roman" w:hAnsi="Times New Roman" w:eastAsia="方正仿宋_GBK" w:cs="Times New Roman"/>
          <w:color w:val="000000" w:themeColor="text1"/>
          <w:kern w:val="0"/>
          <w:sz w:val="32"/>
          <w:szCs w:val="32"/>
          <w:lang w:val="en-US" w:eastAsia="zh-CN" w:bidi="ar"/>
          <w14:textFill>
            <w14:solidFill>
              <w14:schemeClr w14:val="tx1"/>
            </w14:solidFill>
          </w14:textFill>
        </w:rPr>
        <w:t>我单位属于基层医疗卫生机构，</w:t>
      </w:r>
      <w:r>
        <w:rPr>
          <w:rFonts w:hint="default" w:ascii="方正仿宋_GBK" w:hAnsi="方正仿宋_GBK" w:eastAsia="方正仿宋_GBK" w:cs="方正仿宋_GBK"/>
          <w:color w:val="000000" w:themeColor="text1"/>
          <w:sz w:val="32"/>
          <w:szCs w:val="32"/>
          <w14:textFill>
            <w14:solidFill>
              <w14:schemeClr w14:val="tx1"/>
            </w14:solidFill>
          </w14:textFill>
        </w:rPr>
        <w:t>财政未保障我单位会议费</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w:t>
      </w:r>
      <w:r>
        <w:rPr>
          <w:rFonts w:hint="default" w:ascii="方正仿宋_GBK" w:hAnsi="方正仿宋_GBK" w:eastAsia="方正仿宋_GBK" w:cs="方正仿宋_GBK"/>
          <w:color w:val="000000" w:themeColor="text1"/>
          <w:sz w:val="32"/>
          <w:szCs w:val="32"/>
          <w14:textFill>
            <w14:solidFill>
              <w14:schemeClr w14:val="tx1"/>
            </w14:solidFill>
          </w14:textFill>
        </w:rPr>
        <w:t>培训费</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和差旅费。</w:t>
      </w:r>
    </w:p>
    <w:p>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hint="eastAsia"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（二）机关运行经费情况说明</w:t>
      </w:r>
    </w:p>
    <w:p>
      <w:pPr>
        <w:pStyle w:val="14"/>
        <w:numPr>
          <w:ilvl w:val="0"/>
          <w:numId w:val="0"/>
        </w:numPr>
        <w:autoSpaceDE w:val="0"/>
        <w:ind w:firstLine="640" w:firstLineChars="200"/>
        <w:rPr>
          <w:rFonts w:hint="eastAsia" w:ascii="楷体" w:hAnsi="楷体" w:eastAsia="楷体" w:cs="楷体"/>
          <w:b/>
          <w:bCs/>
          <w:sz w:val="32"/>
          <w:szCs w:val="32"/>
          <w:shd w:val="clear" w:color="auto" w:fill="FFFFFF"/>
        </w:rPr>
      </w:pPr>
      <w:r>
        <w:rPr>
          <w:rFonts w:hint="eastAsia" w:ascii="Times New Roman" w:hAnsi="Times New Roman" w:eastAsia="方正仿宋_GBK" w:cs="Times New Roman"/>
          <w:kern w:val="0"/>
          <w:sz w:val="32"/>
          <w:szCs w:val="32"/>
          <w:lang w:val="en-US" w:eastAsia="zh-CN" w:bidi="ar"/>
        </w:rPr>
        <w:t>按照部门决算列报口径，我单位不在机关运行经费统计范围之内。</w:t>
      </w:r>
    </w:p>
    <w:p>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（三）国有资产占用情况说明</w:t>
      </w:r>
    </w:p>
    <w:p>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截至</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w:t>
      </w:r>
      <w:r>
        <w:rPr>
          <w:rFonts w:hint="default" w:ascii="Times New Roman" w:hAnsi="Times New Roman" w:eastAsia="方正仿宋_GBK"/>
          <w:sz w:val="32"/>
          <w:szCs w:val="32"/>
          <w:shd w:val="clear" w:color="auto" w:fill="FFFFFF"/>
        </w:rPr>
        <w:t>12</w:t>
      </w:r>
      <w:r>
        <w:rPr>
          <w:rFonts w:ascii="方正仿宋_GBK" w:hAnsi="方正仿宋_GBK" w:eastAsia="方正仿宋_GBK" w:cs="方正仿宋_GBK"/>
          <w:sz w:val="32"/>
          <w:szCs w:val="32"/>
          <w:shd w:val="clear" w:color="auto" w:fill="FFFFFF"/>
        </w:rPr>
        <w:t>月</w:t>
      </w:r>
      <w:r>
        <w:rPr>
          <w:rFonts w:hint="default" w:ascii="Times New Roman" w:hAnsi="Times New Roman" w:eastAsia="方正仿宋_GBK"/>
          <w:sz w:val="32"/>
          <w:szCs w:val="32"/>
          <w:shd w:val="clear" w:color="auto" w:fill="FFFFFF"/>
        </w:rPr>
        <w:t>31</w:t>
      </w:r>
      <w:r>
        <w:rPr>
          <w:rFonts w:ascii="方正仿宋_GBK" w:hAnsi="方正仿宋_GBK" w:eastAsia="方正仿宋_GBK" w:cs="方正仿宋_GBK"/>
          <w:sz w:val="32"/>
          <w:szCs w:val="32"/>
          <w:shd w:val="clear" w:color="auto" w:fill="FFFFFF"/>
        </w:rPr>
        <w:t>日，本</w:t>
      </w:r>
      <w:r>
        <w:rPr>
          <w:rFonts w:hint="eastAsia" w:ascii="方正仿宋_GBK" w:hAnsi="方正仿宋_GBK" w:eastAsia="方正仿宋_GBK" w:cs="方正仿宋_GBK"/>
          <w:sz w:val="32"/>
          <w:szCs w:val="32"/>
          <w:shd w:val="clear" w:color="auto" w:fill="FFFFFF"/>
          <w:lang w:eastAsia="zh-CN"/>
        </w:rPr>
        <w:t>单位</w:t>
      </w:r>
      <w:r>
        <w:rPr>
          <w:rFonts w:ascii="方正仿宋_GBK" w:hAnsi="方正仿宋_GBK" w:eastAsia="方正仿宋_GBK" w:cs="方正仿宋_GBK"/>
          <w:sz w:val="32"/>
          <w:szCs w:val="32"/>
          <w:shd w:val="clear" w:color="auto" w:fill="FFFFFF"/>
        </w:rPr>
        <w:t>共有车辆</w:t>
      </w:r>
      <w:r>
        <w:rPr>
          <w:rFonts w:hint="default" w:ascii="Times New Roman" w:hAnsi="Times New Roman" w:eastAsia="方正仿宋_GBK"/>
          <w:sz w:val="32"/>
          <w:szCs w:val="32"/>
          <w:shd w:val="clear" w:color="auto" w:fill="FFFFFF"/>
        </w:rPr>
        <w:t>2</w:t>
      </w:r>
      <w:r>
        <w:rPr>
          <w:rFonts w:ascii="方正仿宋_GBK" w:hAnsi="方正仿宋_GBK" w:eastAsia="方正仿宋_GBK" w:cs="方正仿宋_GBK"/>
          <w:sz w:val="32"/>
          <w:szCs w:val="32"/>
          <w:shd w:val="clear" w:color="auto" w:fill="FFFFFF"/>
        </w:rPr>
        <w:t>辆，其中，副部（省）级及以上领导用车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辆、主要负责人用车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辆、机要通信用车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辆、应急保障用车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辆、执法执勤用车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辆，特种专业技术用车</w:t>
      </w:r>
      <w:r>
        <w:rPr>
          <w:rFonts w:hint="default" w:ascii="Times New Roman" w:hAnsi="Times New Roman" w:eastAsia="方正仿宋_GBK"/>
          <w:sz w:val="32"/>
          <w:szCs w:val="32"/>
          <w:shd w:val="clear" w:color="auto" w:fill="FFFFFF"/>
        </w:rPr>
        <w:t>2</w:t>
      </w:r>
      <w:r>
        <w:rPr>
          <w:rFonts w:ascii="方正仿宋_GBK" w:hAnsi="方正仿宋_GBK" w:eastAsia="方正仿宋_GBK" w:cs="方正仿宋_GBK"/>
          <w:sz w:val="32"/>
          <w:szCs w:val="32"/>
          <w:shd w:val="clear" w:color="auto" w:fill="FFFFFF"/>
        </w:rPr>
        <w:t>辆，离退休干部用车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辆。单价</w:t>
      </w:r>
      <w:r>
        <w:rPr>
          <w:rFonts w:hint="default" w:ascii="Times New Roman" w:hAnsi="Times New Roman" w:eastAsia="方正仿宋_GBK"/>
          <w:sz w:val="32"/>
          <w:szCs w:val="32"/>
          <w:shd w:val="clear" w:color="auto" w:fill="FFFFFF"/>
        </w:rPr>
        <w:t>100</w:t>
      </w:r>
      <w:r>
        <w:rPr>
          <w:rFonts w:ascii="方正仿宋_GBK" w:hAnsi="方正仿宋_GBK" w:eastAsia="方正仿宋_GBK" w:cs="方正仿宋_GBK"/>
          <w:sz w:val="32"/>
          <w:szCs w:val="32"/>
          <w:shd w:val="clear" w:color="auto" w:fill="FFFFFF"/>
        </w:rPr>
        <w:t>万元（含）以上专用设备</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台（套）。</w:t>
      </w:r>
    </w:p>
    <w:p>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（四）政府采购支出情况说明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96" w:lineRule="exact"/>
        <w:ind w:firstLine="640" w:firstLineChars="200"/>
        <w:jc w:val="both"/>
        <w:textAlignment w:val="auto"/>
        <w:rPr>
          <w:rFonts w:hint="eastAsia" w:ascii="方正仿宋_GBK" w:hAnsi="方正仿宋_GBK" w:eastAsia="方正仿宋_GBK" w:cs="方正仿宋_GBK"/>
          <w:sz w:val="32"/>
          <w:szCs w:val="32"/>
          <w:shd w:val="clear" w:color="auto" w:fill="FFFFFF"/>
          <w:lang w:val="en-US" w:eastAsia="zh-CN"/>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w:t>
      </w:r>
      <w:r>
        <w:rPr>
          <w:rFonts w:hint="eastAsia" w:ascii="方正仿宋_GBK" w:hAnsi="方正仿宋_GBK" w:eastAsia="方正仿宋_GBK" w:cs="方正仿宋_GBK"/>
          <w:sz w:val="32"/>
          <w:szCs w:val="32"/>
          <w:shd w:val="clear" w:color="auto" w:fill="FFFFFF"/>
          <w:lang w:val="en-US" w:eastAsia="zh-CN"/>
        </w:rPr>
        <w:t>我</w:t>
      </w:r>
      <w:r>
        <w:rPr>
          <w:rFonts w:hint="eastAsia" w:ascii="方正仿宋_GBK" w:hAnsi="方正仿宋_GBK" w:eastAsia="方正仿宋_GBK" w:cs="方正仿宋_GBK"/>
          <w:sz w:val="32"/>
          <w:szCs w:val="32"/>
          <w:shd w:val="clear" w:color="auto" w:fill="FFFFFF"/>
          <w:lang w:eastAsia="zh-CN"/>
        </w:rPr>
        <w:t>单位</w:t>
      </w:r>
      <w:r>
        <w:rPr>
          <w:rFonts w:hint="eastAsia" w:ascii="方正仿宋_GBK" w:hAnsi="方正仿宋_GBK" w:eastAsia="方正仿宋_GBK" w:cs="方正仿宋_GBK"/>
          <w:sz w:val="32"/>
          <w:szCs w:val="32"/>
          <w:shd w:val="clear" w:color="auto" w:fill="FFFFFF"/>
          <w:lang w:val="en-US" w:eastAsia="zh-CN"/>
        </w:rPr>
        <w:t>未发生</w:t>
      </w:r>
      <w:r>
        <w:rPr>
          <w:rFonts w:ascii="方正仿宋_GBK" w:hAnsi="方正仿宋_GBK" w:eastAsia="方正仿宋_GBK" w:cs="方正仿宋_GBK"/>
          <w:sz w:val="32"/>
          <w:szCs w:val="32"/>
          <w:shd w:val="clear" w:color="auto" w:fill="FFFFFF"/>
        </w:rPr>
        <w:t>政府采购</w:t>
      </w:r>
      <w:r>
        <w:rPr>
          <w:rFonts w:hint="eastAsia" w:ascii="方正仿宋_GBK" w:hAnsi="方正仿宋_GBK" w:eastAsia="方正仿宋_GBK" w:cs="方正仿宋_GBK"/>
          <w:sz w:val="32"/>
          <w:szCs w:val="32"/>
          <w:shd w:val="clear" w:color="auto" w:fill="FFFFFF"/>
          <w:lang w:val="en-US" w:eastAsia="zh-CN"/>
        </w:rPr>
        <w:t>事项，无相关经费支出。</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96" w:lineRule="exact"/>
        <w:ind w:firstLine="640" w:firstLineChars="200"/>
        <w:jc w:val="both"/>
        <w:textAlignment w:val="auto"/>
        <w:rPr>
          <w:rFonts w:hint="eastAsia" w:ascii="方正仿宋_GBK" w:hAnsi="方正仿宋_GBK" w:eastAsia="方正仿宋_GBK" w:cs="方正仿宋_GBK"/>
          <w:sz w:val="32"/>
          <w:szCs w:val="32"/>
          <w:shd w:val="clear" w:color="auto" w:fill="FFFFFF"/>
          <w:lang w:val="en-US" w:eastAsia="zh-CN"/>
        </w:rPr>
      </w:pP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96" w:lineRule="exact"/>
        <w:ind w:firstLine="640" w:firstLineChars="200"/>
        <w:jc w:val="both"/>
        <w:textAlignment w:val="auto"/>
        <w:rPr>
          <w:rFonts w:hint="eastAsia" w:ascii="方正仿宋_GBK" w:hAnsi="方正仿宋_GBK" w:eastAsia="方正仿宋_GBK" w:cs="方正仿宋_GBK"/>
          <w:sz w:val="32"/>
          <w:szCs w:val="32"/>
          <w:shd w:val="clear" w:color="auto" w:fill="FFFFFF"/>
          <w:lang w:val="en-US" w:eastAsia="zh-CN"/>
        </w:rPr>
        <w:sectPr>
          <w:footerReference r:id="rId3" w:type="default"/>
          <w:pgSz w:w="11915" w:h="16840"/>
          <w:pgMar w:top="1440" w:right="1800" w:bottom="1440" w:left="1800" w:header="851" w:footer="992" w:gutter="0"/>
          <w:pgNumType w:fmt="numberInDash"/>
          <w:cols w:space="720" w:num="1"/>
          <w:docGrid w:type="lines" w:linePitch="312" w:charSpace="0"/>
        </w:sectPr>
      </w:pPr>
    </w:p>
    <w:p>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ind w:firstLine="643" w:firstLineChars="200"/>
        <w:jc w:val="both"/>
        <w:textAlignment w:val="auto"/>
        <w:rPr>
          <w:rStyle w:val="13"/>
          <w:rFonts w:hint="eastAsia" w:ascii="黑体" w:hAnsi="黑体" w:eastAsia="黑体" w:cs="黑体"/>
          <w:sz w:val="32"/>
          <w:szCs w:val="32"/>
          <w:shd w:val="clear" w:color="auto" w:fill="FFFFFF"/>
          <w:lang w:val="en-US" w:eastAsia="zh-CN" w:bidi="ar-SA"/>
        </w:rPr>
      </w:pPr>
      <w:r>
        <w:rPr>
          <w:rStyle w:val="13"/>
          <w:rFonts w:hint="eastAsia" w:ascii="黑体" w:hAnsi="黑体" w:eastAsia="黑体" w:cs="黑体"/>
          <w:sz w:val="32"/>
          <w:szCs w:val="32"/>
          <w:shd w:val="clear" w:color="auto" w:fill="FFFFFF"/>
          <w:lang w:val="en-US" w:eastAsia="zh-CN" w:bidi="ar-SA"/>
        </w:rPr>
        <w:t>五、2024年度预算绩效管理情况说明</w:t>
      </w:r>
    </w:p>
    <w:p>
      <w:pPr>
        <w:pStyle w:val="15"/>
        <w:keepNext w:val="0"/>
        <w:keepLines w:val="0"/>
        <w:pageBreakBefore w:val="0"/>
        <w:widowControl/>
        <w:numPr>
          <w:ilvl w:val="0"/>
          <w:numId w:val="4"/>
        </w:numPr>
        <w:kinsoku/>
        <w:wordWrap/>
        <w:overflowPunct/>
        <w:topLinePunct w:val="0"/>
        <w:autoSpaceDE/>
        <w:autoSpaceDN/>
        <w:bidi w:val="0"/>
        <w:adjustRightInd/>
        <w:snapToGrid/>
        <w:spacing w:before="0" w:beforeAutospacing="0" w:after="0" w:afterAutospacing="0" w:line="596" w:lineRule="exact"/>
        <w:ind w:firstLine="643" w:firstLineChars="200"/>
        <w:jc w:val="both"/>
        <w:textAlignment w:val="auto"/>
        <w:rPr>
          <w:rFonts w:hint="eastAsia" w:ascii="楷体" w:hAnsi="楷体" w:eastAsia="楷体" w:cs="楷体"/>
          <w:b/>
          <w:bCs/>
          <w:kern w:val="0"/>
          <w:sz w:val="32"/>
          <w:szCs w:val="32"/>
          <w:shd w:val="clear" w:fill="FFFFFF"/>
        </w:rPr>
      </w:pPr>
      <w:r>
        <w:rPr>
          <w:rFonts w:hint="eastAsia" w:ascii="楷体" w:hAnsi="楷体" w:eastAsia="楷体" w:cs="楷体"/>
          <w:b/>
          <w:bCs/>
          <w:kern w:val="0"/>
          <w:sz w:val="32"/>
          <w:szCs w:val="32"/>
          <w:shd w:val="clear" w:fill="FFFFFF"/>
        </w:rPr>
        <w:t>单位自评情况</w:t>
      </w:r>
    </w:p>
    <w:p>
      <w:pPr>
        <w:pStyle w:val="1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96" w:lineRule="exact"/>
        <w:ind w:firstLine="640" w:firstLineChars="200"/>
        <w:jc w:val="both"/>
        <w:textAlignment w:val="auto"/>
        <w:rPr>
          <w:rFonts w:hint="eastAsia" w:ascii="方正仿宋_GBK" w:hAnsi="方正仿宋_GBK" w:eastAsia="方正仿宋_GBK" w:cs="方正仿宋_GBK"/>
          <w:kern w:val="0"/>
          <w:sz w:val="32"/>
          <w:szCs w:val="32"/>
          <w:shd w:val="clear" w:fill="FFFFFF"/>
          <w:lang w:eastAsia="zh-CN"/>
        </w:rPr>
      </w:pPr>
      <w:r>
        <w:rPr>
          <w:rFonts w:hint="eastAsia" w:ascii="方正仿宋_GBK" w:hAnsi="方正仿宋_GBK" w:eastAsia="方正仿宋_GBK" w:cs="方正仿宋_GBK"/>
          <w:kern w:val="0"/>
          <w:sz w:val="32"/>
          <w:szCs w:val="32"/>
          <w:shd w:val="clear" w:fill="FFFFFF"/>
        </w:rPr>
        <w:t>根据预算绩效管理要求，我单位对</w:t>
      </w:r>
      <w:r>
        <w:rPr>
          <w:rFonts w:hint="eastAsia" w:ascii="方正仿宋_GBK" w:hAnsi="方正仿宋_GBK" w:eastAsia="方正仿宋_GBK" w:cs="方正仿宋_GBK"/>
          <w:kern w:val="0"/>
          <w:sz w:val="32"/>
          <w:szCs w:val="32"/>
          <w:shd w:val="clear" w:fill="FFFFFF"/>
          <w:lang w:val="en-US" w:eastAsia="zh-CN"/>
        </w:rPr>
        <w:t>两</w:t>
      </w:r>
      <w:r>
        <w:rPr>
          <w:rFonts w:hint="eastAsia" w:ascii="方正仿宋_GBK" w:hAnsi="方正仿宋_GBK" w:eastAsia="方正仿宋_GBK" w:cs="方正仿宋_GBK"/>
          <w:kern w:val="0"/>
          <w:sz w:val="32"/>
          <w:szCs w:val="32"/>
          <w:shd w:val="clear" w:fill="FFFFFF"/>
        </w:rPr>
        <w:t>个二级项目开展了绩效自评，涉及财政拨款项目支出资金</w:t>
      </w:r>
      <w:r>
        <w:rPr>
          <w:rFonts w:hint="eastAsia" w:ascii="方正仿宋_GBK" w:hAnsi="方正仿宋_GBK" w:eastAsia="方正仿宋_GBK" w:cs="方正仿宋_GBK"/>
          <w:kern w:val="0"/>
          <w:sz w:val="32"/>
          <w:szCs w:val="32"/>
          <w:shd w:val="clear" w:fill="FFFFFF"/>
          <w:lang w:val="en-US" w:eastAsia="zh-CN"/>
        </w:rPr>
        <w:t>64.27</w:t>
      </w:r>
      <w:r>
        <w:rPr>
          <w:rFonts w:hint="eastAsia" w:ascii="方正仿宋_GBK" w:hAnsi="方正仿宋_GBK" w:eastAsia="方正仿宋_GBK" w:cs="方正仿宋_GBK"/>
          <w:kern w:val="0"/>
          <w:sz w:val="32"/>
          <w:szCs w:val="32"/>
          <w:shd w:val="clear" w:fill="FFFFFF"/>
        </w:rPr>
        <w:t>万元</w:t>
      </w:r>
      <w:r>
        <w:rPr>
          <w:rFonts w:hint="eastAsia" w:ascii="方正仿宋_GBK" w:hAnsi="方正仿宋_GBK" w:eastAsia="方正仿宋_GBK" w:cs="方正仿宋_GBK"/>
          <w:kern w:val="0"/>
          <w:sz w:val="32"/>
          <w:szCs w:val="32"/>
          <w:shd w:val="clear" w:fill="FFFFFF"/>
          <w:lang w:eastAsia="zh-CN"/>
        </w:rPr>
        <w:t>。</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0" w:firstLineChars="200"/>
        <w:textAlignment w:val="auto"/>
        <w:rPr>
          <w:rFonts w:hint="eastAsia" w:ascii="方正仿宋_GBK" w:hAnsi="方正仿宋_GBK" w:eastAsia="方正仿宋_GBK" w:cs="方正仿宋_GBK"/>
          <w:b/>
          <w:bCs/>
          <w:kern w:val="0"/>
          <w:sz w:val="32"/>
          <w:szCs w:val="32"/>
          <w:shd w:val="clear" w:fill="FFFFFF"/>
        </w:rPr>
      </w:pPr>
      <w:r>
        <w:rPr>
          <w:rFonts w:hint="eastAsia" w:ascii="方正仿宋_GBK" w:hAnsi="方正仿宋_GBK" w:eastAsia="方正仿宋_GBK" w:cs="方正仿宋_GBK"/>
          <w:b/>
          <w:bCs/>
          <w:kern w:val="0"/>
          <w:sz w:val="32"/>
          <w:szCs w:val="32"/>
          <w:shd w:val="clear" w:fill="FFFFFF"/>
          <w:lang w:val="en-US" w:eastAsia="zh-CN"/>
        </w:rPr>
        <w:t>附件：</w:t>
      </w:r>
      <w:r>
        <w:rPr>
          <w:rFonts w:hint="eastAsia" w:ascii="方正仿宋_GBK" w:hAnsi="方正仿宋_GBK" w:eastAsia="方正仿宋_GBK" w:cs="方正仿宋_GBK"/>
          <w:b/>
          <w:bCs/>
          <w:kern w:val="0"/>
          <w:sz w:val="32"/>
          <w:szCs w:val="32"/>
          <w:shd w:val="clear" w:fill="FFFFFF"/>
        </w:rPr>
        <w:t>项目支出绩效自评表（</w:t>
      </w:r>
      <w:r>
        <w:rPr>
          <w:rFonts w:hint="eastAsia" w:ascii="方正仿宋_GBK" w:hAnsi="方正仿宋_GBK" w:eastAsia="方正仿宋_GBK" w:cs="方正仿宋_GBK"/>
          <w:b/>
          <w:bCs/>
          <w:kern w:val="0"/>
          <w:sz w:val="32"/>
          <w:szCs w:val="32"/>
          <w:shd w:val="clear" w:fill="FFFFFF"/>
          <w:lang w:val="en-US" w:eastAsia="zh-CN"/>
        </w:rPr>
        <w:t>二</w:t>
      </w:r>
      <w:r>
        <w:rPr>
          <w:rFonts w:hint="eastAsia" w:ascii="方正仿宋_GBK" w:hAnsi="方正仿宋_GBK" w:eastAsia="方正仿宋_GBK" w:cs="方正仿宋_GBK"/>
          <w:b/>
          <w:bCs/>
          <w:kern w:val="0"/>
          <w:sz w:val="32"/>
          <w:szCs w:val="32"/>
          <w:shd w:val="clear" w:fill="FFFFFF"/>
        </w:rPr>
        <w:t>级项目）</w:t>
      </w:r>
    </w:p>
    <w:p>
      <w:pPr>
        <w:pStyle w:val="1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6" w:lineRule="exact"/>
        <w:ind w:firstLine="643" w:firstLineChars="200"/>
        <w:jc w:val="left"/>
        <w:textAlignment w:val="auto"/>
        <w:rPr>
          <w:rFonts w:hint="eastAsia" w:ascii="楷体" w:hAnsi="楷体" w:eastAsia="楷体" w:cs="楷体"/>
          <w:b/>
          <w:bCs/>
          <w:kern w:val="0"/>
          <w:sz w:val="32"/>
          <w:szCs w:val="32"/>
          <w:shd w:val="clear" w:fill="FFFFFF"/>
        </w:rPr>
      </w:pPr>
      <w:r>
        <w:rPr>
          <w:rFonts w:hint="eastAsia" w:ascii="楷体" w:hAnsi="楷体" w:eastAsia="楷体" w:cs="楷体"/>
          <w:b/>
          <w:bCs/>
          <w:kern w:val="0"/>
          <w:sz w:val="32"/>
          <w:szCs w:val="32"/>
          <w:shd w:val="clear" w:fill="FFFFFF"/>
        </w:rPr>
        <w:t>（二）</w:t>
      </w:r>
      <w:r>
        <w:rPr>
          <w:rFonts w:hint="eastAsia" w:ascii="楷体" w:hAnsi="楷体" w:eastAsia="楷体" w:cs="楷体"/>
          <w:b/>
          <w:bCs/>
          <w:kern w:val="0"/>
          <w:sz w:val="32"/>
          <w:szCs w:val="32"/>
          <w:shd w:val="clear" w:fill="FFFFFF"/>
          <w:lang w:val="en-US" w:eastAsia="zh-CN"/>
        </w:rPr>
        <w:t>单位</w:t>
      </w:r>
      <w:r>
        <w:rPr>
          <w:rFonts w:hint="eastAsia" w:ascii="楷体" w:hAnsi="楷体" w:eastAsia="楷体" w:cs="楷体"/>
          <w:b/>
          <w:bCs/>
          <w:kern w:val="0"/>
          <w:sz w:val="32"/>
          <w:szCs w:val="32"/>
          <w:shd w:val="clear" w:fill="FFFFFF"/>
        </w:rPr>
        <w:t>绩效评价情况</w:t>
      </w:r>
    </w:p>
    <w:p>
      <w:pPr>
        <w:pStyle w:val="19"/>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0" w:firstLineChars="200"/>
        <w:textAlignment w:val="auto"/>
        <w:rPr>
          <w:rFonts w:hint="eastAsia" w:ascii="方正仿宋_GBK" w:hAnsi="方正仿宋_GBK" w:eastAsia="方正仿宋_GBK" w:cs="方正仿宋_GBK"/>
          <w:kern w:val="0"/>
          <w:sz w:val="32"/>
          <w:szCs w:val="32"/>
          <w:shd w:val="clear" w:fill="FFFFFF"/>
        </w:rPr>
      </w:pPr>
      <w:r>
        <w:rPr>
          <w:rFonts w:hint="eastAsia" w:ascii="方正仿宋_GBK" w:hAnsi="方正仿宋_GBK" w:eastAsia="方正仿宋_GBK" w:cs="方正仿宋_GBK"/>
          <w:kern w:val="0"/>
          <w:sz w:val="32"/>
          <w:szCs w:val="32"/>
          <w:shd w:val="clear" w:fill="FFFFFF"/>
        </w:rPr>
        <w:t>我单位对城财发【2024】2号城口县咸宜镇卫生院2024年基本公共卫生服务项目资金开展了绩效评价，涉及财政拨款项目资金</w:t>
      </w:r>
      <w:r>
        <w:rPr>
          <w:rFonts w:hint="eastAsia" w:ascii="方正仿宋_GBK" w:hAnsi="方正仿宋_GBK" w:eastAsia="方正仿宋_GBK" w:cs="方正仿宋_GBK"/>
          <w:kern w:val="0"/>
          <w:sz w:val="32"/>
          <w:szCs w:val="32"/>
          <w:shd w:val="clear" w:fill="FFFFFF"/>
          <w:lang w:val="en-US" w:eastAsia="zh-CN"/>
        </w:rPr>
        <w:t>54.92</w:t>
      </w:r>
      <w:r>
        <w:rPr>
          <w:rFonts w:hint="eastAsia" w:ascii="方正仿宋_GBK" w:hAnsi="方正仿宋_GBK" w:eastAsia="方正仿宋_GBK" w:cs="方正仿宋_GBK"/>
          <w:kern w:val="0"/>
          <w:sz w:val="32"/>
          <w:szCs w:val="32"/>
          <w:shd w:val="clear" w:fill="FFFFFF"/>
        </w:rPr>
        <w:t>万元，评价得分</w:t>
      </w:r>
      <w:r>
        <w:rPr>
          <w:rFonts w:hint="eastAsia" w:ascii="方正仿宋_GBK" w:hAnsi="方正仿宋_GBK" w:eastAsia="方正仿宋_GBK" w:cs="方正仿宋_GBK"/>
          <w:kern w:val="0"/>
          <w:sz w:val="32"/>
          <w:szCs w:val="32"/>
          <w:shd w:val="clear" w:fill="FFFFFF"/>
          <w:lang w:val="en-US" w:eastAsia="zh-CN"/>
        </w:rPr>
        <w:t>100</w:t>
      </w:r>
      <w:r>
        <w:rPr>
          <w:rFonts w:hint="eastAsia" w:ascii="方正仿宋_GBK" w:hAnsi="方正仿宋_GBK" w:eastAsia="方正仿宋_GBK" w:cs="方正仿宋_GBK"/>
          <w:kern w:val="0"/>
          <w:sz w:val="32"/>
          <w:szCs w:val="32"/>
          <w:shd w:val="clear" w:fill="FFFFFF"/>
        </w:rPr>
        <w:t>分，评价等次为</w:t>
      </w:r>
      <w:r>
        <w:rPr>
          <w:rFonts w:hint="eastAsia" w:ascii="方正仿宋_GBK" w:hAnsi="方正仿宋_GBK" w:eastAsia="方正仿宋_GBK" w:cs="方正仿宋_GBK"/>
          <w:kern w:val="0"/>
          <w:sz w:val="32"/>
          <w:szCs w:val="32"/>
          <w:shd w:val="clear" w:fill="FFFFFF"/>
          <w:lang w:val="en-US" w:eastAsia="zh-CN"/>
        </w:rPr>
        <w:t>优</w:t>
      </w:r>
      <w:r>
        <w:rPr>
          <w:rFonts w:hint="eastAsia" w:ascii="方正仿宋_GBK" w:hAnsi="方正仿宋_GBK" w:eastAsia="方正仿宋_GBK" w:cs="方正仿宋_GBK"/>
          <w:kern w:val="0"/>
          <w:sz w:val="32"/>
          <w:szCs w:val="32"/>
          <w:shd w:val="clear" w:fill="FFFFFF"/>
        </w:rPr>
        <w:t>，对城财发【2024】2号城口县咸宜镇卫生院2024年基本药物制度补助开展了绩效评价，涉及财政拨款项目资金</w:t>
      </w:r>
      <w:r>
        <w:rPr>
          <w:rFonts w:hint="eastAsia" w:ascii="方正仿宋_GBK" w:hAnsi="方正仿宋_GBK" w:eastAsia="方正仿宋_GBK" w:cs="方正仿宋_GBK"/>
          <w:kern w:val="0"/>
          <w:sz w:val="32"/>
          <w:szCs w:val="32"/>
          <w:shd w:val="clear" w:fill="FFFFFF"/>
          <w:lang w:val="en-US" w:eastAsia="zh-CN"/>
        </w:rPr>
        <w:t>9.35</w:t>
      </w:r>
      <w:r>
        <w:rPr>
          <w:rFonts w:hint="eastAsia" w:ascii="方正仿宋_GBK" w:hAnsi="方正仿宋_GBK" w:eastAsia="方正仿宋_GBK" w:cs="方正仿宋_GBK"/>
          <w:kern w:val="0"/>
          <w:sz w:val="32"/>
          <w:szCs w:val="32"/>
          <w:shd w:val="clear" w:fill="FFFFFF"/>
        </w:rPr>
        <w:t>万元，评价得分</w:t>
      </w:r>
      <w:r>
        <w:rPr>
          <w:rFonts w:hint="eastAsia" w:ascii="方正仿宋_GBK" w:hAnsi="方正仿宋_GBK" w:eastAsia="方正仿宋_GBK" w:cs="方正仿宋_GBK"/>
          <w:kern w:val="0"/>
          <w:sz w:val="32"/>
          <w:szCs w:val="32"/>
          <w:shd w:val="clear" w:fill="FFFFFF"/>
          <w:lang w:val="en-US" w:eastAsia="zh-CN"/>
        </w:rPr>
        <w:t>100</w:t>
      </w:r>
      <w:r>
        <w:rPr>
          <w:rFonts w:hint="eastAsia" w:ascii="方正仿宋_GBK" w:hAnsi="方正仿宋_GBK" w:eastAsia="方正仿宋_GBK" w:cs="方正仿宋_GBK"/>
          <w:kern w:val="0"/>
          <w:sz w:val="32"/>
          <w:szCs w:val="32"/>
          <w:shd w:val="clear" w:fill="FFFFFF"/>
        </w:rPr>
        <w:t>分，评价等次为</w:t>
      </w:r>
      <w:r>
        <w:rPr>
          <w:rFonts w:hint="eastAsia" w:ascii="方正仿宋_GBK" w:hAnsi="方正仿宋_GBK" w:eastAsia="方正仿宋_GBK" w:cs="方正仿宋_GBK"/>
          <w:kern w:val="0"/>
          <w:sz w:val="32"/>
          <w:szCs w:val="32"/>
          <w:shd w:val="clear" w:fill="FFFFFF"/>
          <w:lang w:val="en-US" w:eastAsia="zh-CN"/>
        </w:rPr>
        <w:t>优</w:t>
      </w:r>
      <w:r>
        <w:rPr>
          <w:rFonts w:hint="eastAsia" w:ascii="方正仿宋_GBK" w:hAnsi="方正仿宋_GBK" w:eastAsia="方正仿宋_GBK" w:cs="方正仿宋_GBK"/>
          <w:kern w:val="0"/>
          <w:sz w:val="32"/>
          <w:szCs w:val="32"/>
          <w:shd w:val="clear" w:fill="FFFFFF"/>
          <w:lang w:eastAsia="zh-CN"/>
        </w:rPr>
        <w:t>。</w:t>
      </w:r>
    </w:p>
    <w:p>
      <w:pPr>
        <w:pStyle w:val="19"/>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3" w:firstLineChars="200"/>
        <w:textAlignment w:val="auto"/>
        <w:rPr>
          <w:rFonts w:hint="eastAsia" w:ascii="方正仿宋_GBK" w:hAnsi="方正仿宋_GBK" w:eastAsia="方正仿宋_GBK" w:cs="方正仿宋_GBK"/>
          <w:b w:val="0"/>
          <w:bCs w:val="0"/>
          <w:kern w:val="0"/>
          <w:sz w:val="32"/>
          <w:szCs w:val="32"/>
          <w:shd w:val="clear" w:fill="FFFFFF"/>
        </w:rPr>
      </w:pPr>
      <w:r>
        <w:rPr>
          <w:rFonts w:hint="eastAsia" w:ascii="楷体" w:hAnsi="楷体" w:eastAsia="楷体" w:cs="楷体"/>
          <w:b/>
          <w:bCs/>
          <w:kern w:val="0"/>
          <w:sz w:val="32"/>
          <w:szCs w:val="32"/>
          <w:shd w:val="clear" w:fill="FFFFFF"/>
          <w:lang w:val="en-US" w:eastAsia="zh-CN" w:bidi="ar"/>
        </w:rPr>
        <w:t>（三）财政绩效评价情况</w:t>
      </w:r>
    </w:p>
    <w:p>
      <w:pPr>
        <w:pStyle w:val="19"/>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0" w:firstLineChars="200"/>
        <w:textAlignment w:val="auto"/>
        <w:rPr>
          <w:rFonts w:hint="eastAsia" w:ascii="方正仿宋_GBK" w:hAnsi="方正仿宋_GBK" w:eastAsia="方正仿宋_GBK" w:cs="方正仿宋_GBK"/>
          <w:kern w:val="0"/>
          <w:sz w:val="32"/>
          <w:szCs w:val="32"/>
          <w:shd w:val="clear" w:fill="FFFFFF"/>
        </w:rPr>
      </w:pPr>
      <w:r>
        <w:rPr>
          <w:rFonts w:hint="eastAsia" w:ascii="方正仿宋_GBK" w:hAnsi="方正仿宋_GBK" w:eastAsia="方正仿宋_GBK" w:cs="方正仿宋_GBK"/>
          <w:kern w:val="0"/>
          <w:sz w:val="32"/>
          <w:szCs w:val="32"/>
          <w:shd w:val="clear" w:fill="FFFFFF"/>
        </w:rPr>
        <w:t>市财政局</w:t>
      </w:r>
      <w:r>
        <w:rPr>
          <w:rFonts w:hint="eastAsia" w:ascii="方正仿宋_GBK" w:hAnsi="方正仿宋_GBK" w:eastAsia="方正仿宋_GBK" w:cs="方正仿宋_GBK"/>
          <w:kern w:val="0"/>
          <w:sz w:val="32"/>
          <w:szCs w:val="32"/>
          <w:shd w:val="clear" w:fill="FFFFFF"/>
          <w:lang w:val="en-US" w:eastAsia="zh-CN"/>
        </w:rPr>
        <w:t>未</w:t>
      </w:r>
      <w:r>
        <w:rPr>
          <w:rFonts w:hint="eastAsia" w:ascii="方正仿宋_GBK" w:hAnsi="方正仿宋_GBK" w:eastAsia="方正仿宋_GBK" w:cs="方正仿宋_GBK"/>
          <w:kern w:val="0"/>
          <w:sz w:val="32"/>
          <w:szCs w:val="32"/>
          <w:shd w:val="clear" w:fill="FFFFFF"/>
        </w:rPr>
        <w:t>委托第三方对我单位开展绩效评价</w:t>
      </w:r>
      <w:r>
        <w:rPr>
          <w:rFonts w:hint="eastAsia" w:ascii="方正仿宋_GBK" w:hAnsi="方正仿宋_GBK" w:eastAsia="方正仿宋_GBK" w:cs="方正仿宋_GBK"/>
          <w:kern w:val="0"/>
          <w:sz w:val="32"/>
          <w:szCs w:val="32"/>
          <w:shd w:val="clear" w:fill="FFFFFF"/>
          <w:lang w:eastAsia="zh-CN"/>
        </w:rPr>
        <w:t>。</w:t>
      </w:r>
    </w:p>
    <w:p>
      <w:pPr>
        <w:pStyle w:val="15"/>
        <w:keepNext w:val="0"/>
        <w:keepLines w:val="0"/>
        <w:pageBreakBefore w:val="0"/>
        <w:widowControl/>
        <w:kinsoku/>
        <w:wordWrap/>
        <w:overflowPunct/>
        <w:topLinePunct w:val="0"/>
        <w:autoSpaceDE w:val="0"/>
        <w:autoSpaceDN/>
        <w:bidi w:val="0"/>
        <w:adjustRightInd/>
        <w:snapToGrid/>
        <w:spacing w:before="0" w:beforeAutospacing="0" w:after="0" w:afterAutospacing="0" w:line="596" w:lineRule="exact"/>
        <w:textAlignment w:val="auto"/>
        <w:rPr>
          <w:rFonts w:hint="eastAsia" w:ascii="方正仿宋_GBK" w:hAnsi="方正仿宋_GBK" w:eastAsia="方正仿宋_GBK" w:cs="方正仿宋_GBK"/>
          <w:kern w:val="0"/>
          <w:sz w:val="32"/>
          <w:szCs w:val="32"/>
        </w:rPr>
      </w:pPr>
      <w:r>
        <w:rPr>
          <w:rStyle w:val="16"/>
          <w:rFonts w:hint="eastAsia" w:ascii="方正仿宋_GBK" w:hAnsi="方正仿宋_GBK" w:eastAsia="方正仿宋_GBK" w:cs="方正仿宋_GBK"/>
          <w:b/>
          <w:bCs/>
          <w:sz w:val="32"/>
          <w:szCs w:val="32"/>
          <w:shd w:val="clear" w:fill="FFFFFF"/>
        </w:rPr>
        <w:t xml:space="preserve"> </w:t>
      </w:r>
      <w:r>
        <w:rPr>
          <w:rStyle w:val="16"/>
          <w:rFonts w:hint="eastAsia" w:ascii="方正仿宋_GBK" w:hAnsi="方正仿宋_GBK" w:eastAsia="方正仿宋_GBK" w:cs="方正仿宋_GBK"/>
          <w:b/>
          <w:bCs/>
          <w:sz w:val="32"/>
          <w:szCs w:val="32"/>
          <w:shd w:val="clear" w:fill="FFFFFF"/>
          <w:lang w:val="en-US" w:eastAsia="zh-CN"/>
        </w:rPr>
        <w:t xml:space="preserve">  </w:t>
      </w:r>
      <w:r>
        <w:rPr>
          <w:rStyle w:val="13"/>
          <w:rFonts w:hint="eastAsia" w:ascii="黑体" w:hAnsi="黑体" w:eastAsia="黑体" w:cs="黑体"/>
          <w:sz w:val="32"/>
          <w:szCs w:val="32"/>
          <w:shd w:val="clear" w:color="auto" w:fill="FFFFFF"/>
          <w:lang w:val="en-US" w:eastAsia="zh-CN" w:bidi="ar-SA"/>
        </w:rPr>
        <w:t xml:space="preserve"> 六、专业名词解释</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（一）财政拨款收入：</w:t>
      </w:r>
      <w:r>
        <w:rPr>
          <w:rFonts w:hint="eastAsia" w:ascii="方正仿宋_GBK" w:hAnsi="方正仿宋_GBK" w:eastAsia="方正仿宋_GBK" w:cs="方正仿宋_GBK"/>
          <w:kern w:val="0"/>
          <w:sz w:val="32"/>
          <w:szCs w:val="32"/>
          <w:shd w:val="clear" w:fill="FFFFFF"/>
        </w:rPr>
        <w:t>指本年度从本级财政部门取得的财政拨款，包括一般公共预算财政拨款和政府性基金预算财政拨款。</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（二）事业收入：</w:t>
      </w:r>
      <w:r>
        <w:rPr>
          <w:rFonts w:hint="eastAsia" w:ascii="方正仿宋_GBK" w:hAnsi="方正仿宋_GBK" w:eastAsia="方正仿宋_GBK" w:cs="方正仿宋_GBK"/>
          <w:kern w:val="0"/>
          <w:sz w:val="32"/>
          <w:szCs w:val="32"/>
          <w:shd w:val="clear" w:fill="FFFFFF"/>
        </w:rPr>
        <w:t>指事业单位开展专业业务活动及其辅助活动取得的现金流入；事业单位收到的财政专户实际核拨的教育收费等资金在此反映。</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（三）经营收入：</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指事业单位在专业业务活动及其辅助活动之外开展非独立核算经营活动取得的现金流入。</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（四）其他收入：</w:t>
      </w:r>
      <w:r>
        <w:rPr>
          <w:rFonts w:hint="eastAsia" w:ascii="方正仿宋_GBK" w:hAnsi="方正仿宋_GBK" w:eastAsia="方正仿宋_GBK" w:cs="方正仿宋_GBK"/>
          <w:kern w:val="0"/>
          <w:sz w:val="32"/>
          <w:szCs w:val="32"/>
          <w:shd w:val="clear"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（五）使用非财政拨款结余（含专用结余）：</w:t>
      </w:r>
      <w:r>
        <w:rPr>
          <w:rFonts w:hint="eastAsia" w:ascii="方正仿宋_GBK" w:hAnsi="方正仿宋_GBK" w:eastAsia="方正仿宋_GBK" w:cs="方正仿宋_GBK"/>
          <w:kern w:val="0"/>
          <w:sz w:val="32"/>
          <w:szCs w:val="32"/>
          <w:shd w:val="clear" w:fill="FFFFFF"/>
        </w:rPr>
        <w:t>指单位在当年的“财政拨款收入”、“事业收入”、“经营收入”、“其他收入”等不足以安排当年支出的情况下，使用以前年度积累的非财政拨款结余弥补本年度收支缺口的资金。</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（六）年初结转和结余：</w:t>
      </w:r>
      <w:r>
        <w:rPr>
          <w:rFonts w:hint="eastAsia" w:ascii="方正仿宋_GBK" w:hAnsi="方正仿宋_GBK" w:eastAsia="方正仿宋_GBK" w:cs="方正仿宋_GBK"/>
          <w:kern w:val="0"/>
          <w:sz w:val="32"/>
          <w:szCs w:val="32"/>
          <w:shd w:val="clear" w:fill="FFFFFF"/>
        </w:rPr>
        <w:t>指单位上年结转本年使用的基本支出结转、项目支出结转和结余、经营结余。</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（七）结余分配：</w:t>
      </w:r>
      <w:r>
        <w:rPr>
          <w:rFonts w:hint="eastAsia" w:ascii="方正仿宋_GBK" w:hAnsi="方正仿宋_GBK" w:eastAsia="方正仿宋_GBK" w:cs="方正仿宋_GBK"/>
          <w:kern w:val="0"/>
          <w:sz w:val="32"/>
          <w:szCs w:val="32"/>
          <w:shd w:val="clear" w:fill="FFFFFF"/>
        </w:rPr>
        <w:t>指单位按照国家有关规定，缴纳所得税、提取专用基金、转入非财政拨款结余等当年结余的分配情况。</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（八）年末结转和结余：</w:t>
      </w:r>
      <w:r>
        <w:rPr>
          <w:rFonts w:hint="eastAsia" w:ascii="方正仿宋_GBK" w:hAnsi="方正仿宋_GBK" w:eastAsia="方正仿宋_GBK" w:cs="方正仿宋_GBK"/>
          <w:kern w:val="0"/>
          <w:sz w:val="32"/>
          <w:szCs w:val="32"/>
          <w:shd w:val="clear" w:fill="FFFFFF"/>
        </w:rPr>
        <w:t>指单位结转下年的基本支出结转、项目支出结转和结余、经营结余。</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（九）基本支出：</w:t>
      </w:r>
      <w:r>
        <w:rPr>
          <w:rFonts w:hint="eastAsia" w:ascii="方正仿宋_GBK" w:hAnsi="方正仿宋_GBK" w:eastAsia="方正仿宋_GBK" w:cs="方正仿宋_GBK"/>
          <w:kern w:val="0"/>
          <w:sz w:val="32"/>
          <w:szCs w:val="32"/>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（十）项目支出：</w:t>
      </w:r>
      <w:r>
        <w:rPr>
          <w:rFonts w:hint="eastAsia" w:ascii="方正仿宋_GBK" w:hAnsi="方正仿宋_GBK" w:eastAsia="方正仿宋_GBK" w:cs="方正仿宋_GBK"/>
          <w:kern w:val="0"/>
          <w:sz w:val="32"/>
          <w:szCs w:val="32"/>
          <w:shd w:val="clear" w:fill="FFFFFF"/>
        </w:rPr>
        <w:t>指在基本支出之外为完成特定行政任务和事业发展目标所发生的支出。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（十一）经营支出：</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（十二）“三公”经费：</w:t>
      </w:r>
      <w:r>
        <w:rPr>
          <w:rFonts w:hint="eastAsia" w:ascii="方正仿宋_GBK" w:hAnsi="方正仿宋_GBK" w:eastAsia="方正仿宋_GBK" w:cs="方正仿宋_GBK"/>
          <w:kern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（十三）机关运行经费：</w:t>
      </w:r>
      <w:r>
        <w:rPr>
          <w:rFonts w:hint="eastAsia" w:ascii="方正仿宋_GBK" w:hAnsi="方正仿宋_GBK" w:eastAsia="方正仿宋_GBK" w:cs="方正仿宋_GBK"/>
          <w:kern w:val="0"/>
          <w:sz w:val="32"/>
          <w:szCs w:val="32"/>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（十四）工资福利支出（支出经济分类科目类级）：</w:t>
      </w:r>
      <w:r>
        <w:rPr>
          <w:rFonts w:hint="eastAsia" w:ascii="方正仿宋_GBK" w:hAnsi="方正仿宋_GBK" w:eastAsia="方正仿宋_GBK" w:cs="方正仿宋_GBK"/>
          <w:kern w:val="0"/>
          <w:sz w:val="32"/>
          <w:szCs w:val="32"/>
          <w:shd w:val="clear" w:fill="FFFFFF"/>
        </w:rPr>
        <w:t>反映单位开支的在职职工和编制外长期聘用人员的各类劳动报酬，以及为上述人员缴纳的各项社会保险费等。</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（十五）商品和服务支出（支出经济分类科目类级）：</w:t>
      </w:r>
      <w:r>
        <w:rPr>
          <w:rFonts w:hint="eastAsia" w:ascii="方正仿宋_GBK" w:hAnsi="方正仿宋_GBK" w:eastAsia="方正仿宋_GBK" w:cs="方正仿宋_GBK"/>
          <w:kern w:val="0"/>
          <w:sz w:val="32"/>
          <w:szCs w:val="32"/>
          <w:shd w:val="clear" w:fill="FFFFFF"/>
        </w:rPr>
        <w:t>反映单位购买商品和服务的支出（不包括用于购置固定资产的支出、战略性和应急储备支出）。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（十六）对个人和家庭的补助（支出经济分类科目类级）：</w:t>
      </w:r>
      <w:r>
        <w:rPr>
          <w:rFonts w:hint="eastAsia" w:ascii="方正仿宋_GBK" w:hAnsi="方正仿宋_GBK" w:eastAsia="方正仿宋_GBK" w:cs="方正仿宋_GBK"/>
          <w:kern w:val="0"/>
          <w:sz w:val="32"/>
          <w:szCs w:val="32"/>
          <w:shd w:val="clear" w:fill="FFFFFF"/>
        </w:rPr>
        <w:t>反映用于对个人和家庭的补助支出。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（十七）其他资本性支出（支出经济分类科目类级）：</w:t>
      </w:r>
      <w:r>
        <w:rPr>
          <w:rFonts w:hint="eastAsia" w:ascii="方正仿宋_GBK" w:hAnsi="方正仿宋_GBK" w:eastAsia="方正仿宋_GBK" w:cs="方正仿宋_GBK"/>
          <w:kern w:val="0"/>
          <w:sz w:val="32"/>
          <w:szCs w:val="32"/>
          <w:shd w:val="clear" w:fill="FFFFFF"/>
        </w:rPr>
        <w:t>反映非各级发展与改革部门集中安排的用于购置固定资产、战略性和应急性储备、土地和无形资产，以及构建基础设施、大型修缮和财政支持企业更新改造所发生的支出。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黑体" w:hAnsi="黑体" w:eastAsia="黑体" w:cs="黑体"/>
          <w:sz w:val="32"/>
          <w:szCs w:val="32"/>
          <w:shd w:val="clear" w:color="auto" w:fill="FFFFFF"/>
          <w:lang w:val="en-US" w:eastAsia="zh-CN" w:bidi="ar-SA"/>
        </w:rPr>
        <w:t>七、决算公开联系方式及信息反馈渠道</w:t>
      </w:r>
    </w:p>
    <w:p>
      <w:pPr>
        <w:ind w:firstLine="640" w:firstLineChars="200"/>
        <w:rPr>
          <w:rFonts w:hint="eastAsia" w:ascii="方正仿宋_GBK" w:hAnsi="方正仿宋_GBK" w:eastAsia="方正仿宋_GBK" w:cs="方正仿宋_GBK"/>
          <w:snapToGrid w:val="0"/>
          <w:sz w:val="32"/>
          <w:szCs w:val="32"/>
          <w:shd w:val="clear" w:fill="FFFFFF"/>
          <w:lang w:val="en-US" w:eastAsia="zh-CN"/>
        </w:rPr>
      </w:pPr>
      <w:r>
        <w:rPr>
          <w:rFonts w:hint="eastAsia" w:ascii="方正仿宋_GBK" w:hAnsi="方正仿宋_GBK" w:eastAsia="方正仿宋_GBK" w:cs="方正仿宋_GBK"/>
          <w:kern w:val="0"/>
          <w:sz w:val="32"/>
          <w:szCs w:val="32"/>
          <w:shd w:val="clear" w:fill="FFFFFF"/>
        </w:rPr>
        <w:t>本单位决算公开信息反馈和联系方式：</w:t>
      </w:r>
      <w:r>
        <w:rPr>
          <w:rFonts w:hint="eastAsia" w:ascii="方正仿宋_GBK" w:hAnsi="方正仿宋_GBK" w:eastAsia="方正仿宋_GBK" w:cs="方正仿宋_GBK"/>
          <w:snapToGrid w:val="0"/>
          <w:sz w:val="32"/>
          <w:szCs w:val="32"/>
          <w:shd w:val="clear" w:fill="FFFFFF"/>
          <w:lang w:val="en-US" w:eastAsia="zh-CN"/>
        </w:rPr>
        <w:t>联系人，黄毅。联系电话，18996247825。</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1280" w:firstLineChars="400"/>
        <w:textAlignment w:val="auto"/>
        <w:rPr>
          <w:rFonts w:hint="eastAsia" w:ascii="方正仿宋_GBK" w:hAnsi="方正仿宋_GBK" w:eastAsia="方正仿宋_GBK" w:cs="方正仿宋_GBK"/>
          <w:kern w:val="0"/>
          <w:sz w:val="32"/>
          <w:szCs w:val="32"/>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textAlignment w:val="auto"/>
        <w:rPr>
          <w:rStyle w:val="13"/>
          <w:rFonts w:ascii="方正仿宋_GBK" w:hAnsi="方正仿宋_GBK" w:eastAsia="方正仿宋_GBK" w:cs="方正仿宋_GBK"/>
          <w:sz w:val="32"/>
          <w:szCs w:val="32"/>
          <w:shd w:val="clear" w:color="auto" w:fill="FFFF00"/>
        </w:rPr>
        <w:sectPr>
          <w:footerReference r:id="rId4" w:type="default"/>
          <w:pgSz w:w="11915" w:h="16840"/>
          <w:pgMar w:top="1440" w:right="1800" w:bottom="1440" w:left="1800" w:header="851" w:footer="992" w:gutter="0"/>
          <w:pgNumType w:fmt="numberInDash"/>
          <w:cols w:space="720" w:num="1"/>
          <w:docGrid w:type="lines" w:linePitch="312" w:charSpace="0"/>
        </w:sectPr>
      </w:pPr>
    </w:p>
    <w:tbl>
      <w:tblPr>
        <w:tblStyle w:val="10"/>
        <w:tblpPr w:leftFromText="180" w:rightFromText="180" w:vertAnchor="text" w:horzAnchor="page" w:tblpX="1058" w:tblpY="22"/>
        <w:tblOverlap w:val="never"/>
        <w:tblW w:w="4809" w:type="pct"/>
        <w:tblInd w:w="0" w:type="dxa"/>
        <w:tblLayout w:type="autofit"/>
        <w:tblCellMar>
          <w:top w:w="0" w:type="dxa"/>
          <w:left w:w="0" w:type="dxa"/>
          <w:bottom w:w="0" w:type="dxa"/>
          <w:right w:w="0" w:type="dxa"/>
        </w:tblCellMar>
      </w:tblPr>
      <w:tblGrid>
        <w:gridCol w:w="4294"/>
        <w:gridCol w:w="3558"/>
        <w:gridCol w:w="4044"/>
        <w:gridCol w:w="2841"/>
      </w:tblGrid>
      <w:tr>
        <w:tblPrEx>
          <w:tblCellMar>
            <w:top w:w="0" w:type="dxa"/>
            <w:left w:w="0" w:type="dxa"/>
            <w:bottom w:w="0" w:type="dxa"/>
            <w:right w:w="0" w:type="dxa"/>
          </w:tblCellMar>
        </w:tblPrEx>
        <w:trPr>
          <w:trHeight w:val="232" w:hRule="atLeast"/>
        </w:trPr>
        <w:tc>
          <w:tcPr>
            <w:tcW w:w="5000" w:type="pct"/>
            <w:gridSpan w:val="4"/>
            <w:tcBorders>
              <w:top w:val="nil"/>
              <w:left w:val="nil"/>
              <w:bottom w:val="nil"/>
              <w:right w:val="nil"/>
            </w:tcBorders>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sz w:val="32"/>
                <w:szCs w:val="32"/>
              </w:rPr>
            </w:pPr>
            <w:r>
              <w:rPr>
                <w:rFonts w:cs="宋体"/>
                <w:b/>
                <w:color w:val="000000"/>
                <w:sz w:val="32"/>
                <w:szCs w:val="32"/>
              </w:rPr>
              <w:t>收入支出决算总表</w:t>
            </w:r>
          </w:p>
        </w:tc>
      </w:tr>
      <w:tr>
        <w:tblPrEx>
          <w:tblCellMar>
            <w:top w:w="0" w:type="dxa"/>
            <w:left w:w="0" w:type="dxa"/>
            <w:bottom w:w="0" w:type="dxa"/>
            <w:right w:w="0" w:type="dxa"/>
          </w:tblCellMar>
        </w:tblPrEx>
        <w:trPr>
          <w:trHeight w:val="232" w:hRule="atLeast"/>
        </w:trPr>
        <w:tc>
          <w:tcPr>
            <w:tcW w:w="145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0"/>
                <w:szCs w:val="20"/>
              </w:rPr>
            </w:pPr>
          </w:p>
        </w:tc>
        <w:tc>
          <w:tcPr>
            <w:tcW w:w="1206" w:type="pct"/>
            <w:tcBorders>
              <w:top w:val="nil"/>
              <w:left w:val="nil"/>
              <w:bottom w:val="nil"/>
              <w:right w:val="nil"/>
            </w:tcBorders>
            <w:shd w:val="clear" w:color="auto" w:fill="auto"/>
            <w:noWrap/>
            <w:tcMar>
              <w:top w:w="15" w:type="dxa"/>
              <w:left w:w="15" w:type="dxa"/>
              <w:right w:w="15" w:type="dxa"/>
            </w:tcMar>
            <w:vAlign w:val="bottom"/>
          </w:tcPr>
          <w:p>
            <w:pPr>
              <w:spacing w:line="200" w:lineRule="exact"/>
              <w:jc w:val="right"/>
              <w:rPr>
                <w:rFonts w:hint="default" w:ascii="Arial" w:hAnsi="Arial" w:cs="Arial"/>
                <w:color w:val="000000"/>
                <w:sz w:val="20"/>
                <w:szCs w:val="20"/>
              </w:rPr>
            </w:pPr>
          </w:p>
        </w:tc>
        <w:tc>
          <w:tcPr>
            <w:tcW w:w="1372"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0"/>
                <w:szCs w:val="20"/>
              </w:rPr>
            </w:pPr>
          </w:p>
        </w:tc>
        <w:tc>
          <w:tcPr>
            <w:tcW w:w="9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01</w:t>
            </w:r>
            <w:r>
              <w:rPr>
                <w:rFonts w:cs="宋体"/>
                <w:color w:val="000000"/>
                <w:sz w:val="20"/>
                <w:szCs w:val="20"/>
              </w:rPr>
              <w:t>表</w:t>
            </w:r>
          </w:p>
        </w:tc>
      </w:tr>
      <w:tr>
        <w:tblPrEx>
          <w:tblCellMar>
            <w:top w:w="0" w:type="dxa"/>
            <w:left w:w="0" w:type="dxa"/>
            <w:bottom w:w="0" w:type="dxa"/>
            <w:right w:w="0" w:type="dxa"/>
          </w:tblCellMar>
        </w:tblPrEx>
        <w:trPr>
          <w:trHeight w:val="232" w:hRule="atLeast"/>
        </w:trPr>
        <w:tc>
          <w:tcPr>
            <w:tcW w:w="2664" w:type="pct"/>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color w:val="000000"/>
                <w:sz w:val="22"/>
                <w:szCs w:val="22"/>
              </w:rPr>
            </w:pPr>
            <w:r>
              <w:rPr>
                <w:rFonts w:cs="宋体"/>
                <w:sz w:val="20"/>
                <w:szCs w:val="20"/>
              </w:rPr>
              <w:t>单位：</w:t>
            </w:r>
            <w:r>
              <w:rPr>
                <w:sz w:val="20"/>
                <w:u w:color="auto"/>
              </w:rPr>
              <w:t>城口县咸宜镇卫生院</w:t>
            </w:r>
          </w:p>
        </w:tc>
        <w:tc>
          <w:tcPr>
            <w:tcW w:w="1372"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2"/>
                <w:szCs w:val="22"/>
              </w:rPr>
            </w:pPr>
          </w:p>
        </w:tc>
        <w:tc>
          <w:tcPr>
            <w:tcW w:w="9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243" w:hRule="atLeast"/>
        </w:trPr>
        <w:tc>
          <w:tcPr>
            <w:tcW w:w="266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收入</w:t>
            </w:r>
          </w:p>
        </w:tc>
        <w:tc>
          <w:tcPr>
            <w:tcW w:w="2335" w:type="pct"/>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支出</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项目</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决算数</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功能分类科目</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决算数</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一、一般公共预算财政拨款收入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166.69</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一、一般公共服务支出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0.42</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二、政府性基金预算财政拨款收入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二、外交支出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三、国有资本经营预算财政拨款收入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三、国防支出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四、上级补助收入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四、公共安全支出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五、事业收入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400.05</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五、教育支出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六、经营收入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六、科学技术支出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七、附属单位上缴收入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七、文化旅游体育与传媒支出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八、其他收入</w:t>
            </w:r>
          </w:p>
        </w:tc>
        <w:tc>
          <w:tcPr>
            <w:tcW w:w="1206" w:type="pct"/>
            <w:tcBorders>
              <w:top w:val="nil"/>
              <w:left w:val="nil"/>
              <w:bottom w:val="nil"/>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0.02</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八、社会保障和就业支出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17.85</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九、卫生健康支出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543.02</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十、节能环保支出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十一、城乡社区支出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十二、农林水支出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十三、交通运输支出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十四、资源勘探工业信息等支出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十五、商业服务业等支出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十六、金融支出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十七、援助其他地区支出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90"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十八、自然资源海洋气象等支出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十九、住房保障支出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5.47</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二十、粮油物资储备支出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二十一、国有资本经营预算支出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二十二、灾害防治及应急管理支出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二十三、其他支出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二十四、债务还本支出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二十五、债务付息支出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二十六、抗疫特别国债安排的支出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bCs/>
                <w:color w:val="000000"/>
                <w:sz w:val="20"/>
                <w:szCs w:val="20"/>
              </w:rPr>
            </w:pPr>
            <w:r>
              <w:rPr>
                <w:rFonts w:cs="宋体"/>
                <w:b/>
                <w:bCs/>
                <w:color w:val="000000"/>
                <w:sz w:val="20"/>
                <w:szCs w:val="20"/>
              </w:rPr>
              <w:t>本年收入合计</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566.76</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bCs/>
                <w:color w:val="000000"/>
                <w:sz w:val="20"/>
                <w:szCs w:val="20"/>
              </w:rPr>
            </w:pPr>
            <w:r>
              <w:rPr>
                <w:rFonts w:cs="宋体"/>
                <w:b/>
                <w:bCs/>
                <w:color w:val="000000"/>
                <w:sz w:val="20"/>
                <w:szCs w:val="20"/>
              </w:rPr>
              <w:t>本年支出合计</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566.76</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使用非财政拨款结余（含专用结余）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结余分配</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年初结转和结余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年末结转和结余</w:t>
            </w:r>
          </w:p>
        </w:tc>
        <w:tc>
          <w:tcPr>
            <w:tcW w:w="963" w:type="pct"/>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5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566.76</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auto"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96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566.76</w:t>
            </w:r>
            <w:r>
              <w:rPr>
                <w:rFonts w:ascii="Times New Roman" w:hAnsi="Times New Roman"/>
                <w:color w:val="000000"/>
                <w:sz w:val="20"/>
                <w:u w:color="auto"/>
              </w:rPr>
              <w:t xml:space="preserve"> </w:t>
            </w:r>
          </w:p>
        </w:tc>
      </w:tr>
    </w:tbl>
    <w:p>
      <w:pPr>
        <w:rPr>
          <w:rFonts w:hint="default" w:cs="宋体"/>
          <w:sz w:val="21"/>
          <w:szCs w:val="21"/>
        </w:rPr>
      </w:pPr>
    </w:p>
    <w:p>
      <w:pPr>
        <w:spacing w:line="240" w:lineRule="exact"/>
        <w:rPr>
          <w:rFonts w:hint="default" w:cs="宋体"/>
          <w:sz w:val="20"/>
          <w:szCs w:val="20"/>
        </w:rPr>
      </w:pPr>
      <w:r>
        <w:rPr>
          <w:rFonts w:cs="宋体"/>
          <w:sz w:val="20"/>
          <w:szCs w:val="20"/>
        </w:rPr>
        <w:t>备注：1.本表反映单位本年度的总收支和年末结转结余情况。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tbl>
      <w:tblPr>
        <w:tblStyle w:val="10"/>
        <w:tblW w:w="5059" w:type="pct"/>
        <w:tblInd w:w="0" w:type="dxa"/>
        <w:tblLayout w:type="fixed"/>
        <w:tblCellMar>
          <w:top w:w="0" w:type="dxa"/>
          <w:left w:w="0" w:type="dxa"/>
          <w:bottom w:w="0" w:type="dxa"/>
          <w:right w:w="0" w:type="dxa"/>
        </w:tblCellMar>
      </w:tblPr>
      <w:tblGrid>
        <w:gridCol w:w="1430"/>
        <w:gridCol w:w="2919"/>
        <w:gridCol w:w="1582"/>
        <w:gridCol w:w="1451"/>
        <w:gridCol w:w="1256"/>
        <w:gridCol w:w="1438"/>
        <w:gridCol w:w="1459"/>
        <w:gridCol w:w="1296"/>
        <w:gridCol w:w="1350"/>
        <w:gridCol w:w="1322"/>
      </w:tblGrid>
      <w:tr>
        <w:tblPrEx>
          <w:tblCellMar>
            <w:top w:w="0" w:type="dxa"/>
            <w:left w:w="0" w:type="dxa"/>
            <w:bottom w:w="0" w:type="dxa"/>
            <w:right w:w="0" w:type="dxa"/>
          </w:tblCellMar>
        </w:tblPrEx>
        <w:trPr>
          <w:trHeight w:val="412" w:hRule="atLeast"/>
        </w:trPr>
        <w:tc>
          <w:tcPr>
            <w:tcW w:w="5000" w:type="pct"/>
            <w:gridSpan w:val="10"/>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收入决算表</w:t>
            </w:r>
          </w:p>
        </w:tc>
      </w:tr>
      <w:tr>
        <w:tblPrEx>
          <w:tblCellMar>
            <w:top w:w="0" w:type="dxa"/>
            <w:left w:w="0" w:type="dxa"/>
            <w:bottom w:w="0" w:type="dxa"/>
            <w:right w:w="0" w:type="dxa"/>
          </w:tblCellMar>
        </w:tblPrEx>
        <w:trPr>
          <w:trHeight w:val="328" w:hRule="atLeast"/>
        </w:trPr>
        <w:tc>
          <w:tcPr>
            <w:tcW w:w="1912"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sz w:val="20"/>
                <w:u w:color="auto"/>
              </w:rPr>
              <w:t>城口县咸宜镇卫生院</w:t>
            </w:r>
          </w:p>
        </w:tc>
        <w:tc>
          <w:tcPr>
            <w:tcW w:w="46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02</w:t>
            </w:r>
            <w:r>
              <w:rPr>
                <w:rFonts w:cs="宋体"/>
                <w:color w:val="000000"/>
                <w:sz w:val="20"/>
                <w:szCs w:val="20"/>
              </w:rPr>
              <w:t>表</w:t>
            </w:r>
          </w:p>
        </w:tc>
      </w:tr>
      <w:tr>
        <w:tblPrEx>
          <w:tblCellMar>
            <w:top w:w="0" w:type="dxa"/>
            <w:left w:w="0" w:type="dxa"/>
            <w:bottom w:w="0" w:type="dxa"/>
            <w:right w:w="0" w:type="dxa"/>
          </w:tblCellMar>
        </w:tblPrEx>
        <w:trPr>
          <w:trHeight w:val="90" w:hRule="atLeast"/>
        </w:trPr>
        <w:tc>
          <w:tcPr>
            <w:tcW w:w="1912"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6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31" w:hRule="atLeast"/>
        </w:trPr>
        <w:tc>
          <w:tcPr>
            <w:tcW w:w="1402" w:type="pct"/>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51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本年收入合计</w:t>
            </w:r>
          </w:p>
        </w:tc>
        <w:tc>
          <w:tcPr>
            <w:tcW w:w="46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财政拨款收入</w:t>
            </w:r>
          </w:p>
        </w:tc>
        <w:tc>
          <w:tcPr>
            <w:tcW w:w="40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上级补助收入</w:t>
            </w:r>
          </w:p>
        </w:tc>
        <w:tc>
          <w:tcPr>
            <w:tcW w:w="93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事业收入</w:t>
            </w:r>
          </w:p>
        </w:tc>
        <w:tc>
          <w:tcPr>
            <w:tcW w:w="41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经营收入</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附属单位上缴收入</w:t>
            </w: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其他收入</w:t>
            </w:r>
          </w:p>
        </w:tc>
      </w:tr>
      <w:tr>
        <w:tblPrEx>
          <w:tblCellMar>
            <w:top w:w="0" w:type="dxa"/>
            <w:left w:w="0" w:type="dxa"/>
            <w:bottom w:w="0" w:type="dxa"/>
            <w:right w:w="0" w:type="dxa"/>
          </w:tblCellMar>
        </w:tblPrEx>
        <w:trPr>
          <w:trHeight w:val="334" w:hRule="atLeast"/>
        </w:trPr>
        <w:tc>
          <w:tcPr>
            <w:tcW w:w="46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941"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小计</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其中：教育收费</w:t>
            </w: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12"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1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566.76</w:t>
            </w:r>
            <w:r>
              <w:rPr>
                <w:rFonts w:ascii="Times New Roman" w:hAnsi="Times New Roman"/>
                <w:b/>
                <w:color w:val="000000"/>
                <w:sz w:val="20"/>
                <w:u w:color="auto"/>
              </w:rPr>
              <w:t xml:space="preserve"> </w:t>
            </w:r>
          </w:p>
        </w:tc>
        <w:tc>
          <w:tcPr>
            <w:tcW w:w="46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166.69</w:t>
            </w:r>
            <w:r>
              <w:rPr>
                <w:rFonts w:ascii="Times New Roman" w:hAnsi="Times New Roman"/>
                <w:b/>
                <w:color w:val="000000"/>
                <w:sz w:val="20"/>
                <w:u w:color="auto"/>
              </w:rPr>
              <w:t xml:space="preserve"> </w:t>
            </w:r>
          </w:p>
        </w:tc>
        <w:tc>
          <w:tcPr>
            <w:tcW w:w="40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400.05</w:t>
            </w:r>
            <w:r>
              <w:rPr>
                <w:rFonts w:ascii="Times New Roman" w:hAnsi="Times New Roman"/>
                <w:b/>
                <w:color w:val="000000"/>
                <w:sz w:val="20"/>
                <w:u w:color="auto"/>
              </w:rPr>
              <w:t xml:space="preserve"> </w:t>
            </w:r>
          </w:p>
        </w:tc>
        <w:tc>
          <w:tcPr>
            <w:tcW w:w="47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1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3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2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0.02</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一般公共服务支出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0.42</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0.42</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其他共产党事务支出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0.42</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0.42</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2013699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其他共产党事务支出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0.42</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0.42</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17.85</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17.85</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17.85</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17.85</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7.30</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7.30</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3.65</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3.65</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其他行政事业单位养老支出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6.90</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6.90</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543.02</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142.95</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400.05</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0.02</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21003</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基层医疗卫生机构</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483.41</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83.34</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400.05</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0.02</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2100302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乡镇卫生院</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483.41</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83.34</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400.05</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0.02</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21004</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公共卫生</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54.92</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54.92</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2100408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基本公共卫生服务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54.92</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54.92</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4.70</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4.70</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3.88</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3.88</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0.82</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0.82</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5.47</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5.47</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5.47</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5.47</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5.47</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5.47</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ind w:left="600" w:hanging="600" w:hangingChars="300"/>
        <w:rPr>
          <w:rFonts w:hint="default" w:cs="宋体"/>
          <w:sz w:val="20"/>
          <w:szCs w:val="20"/>
        </w:rPr>
      </w:pPr>
      <w:r>
        <w:rPr>
          <w:rFonts w:cs="宋体"/>
          <w:sz w:val="20"/>
          <w:szCs w:val="20"/>
        </w:rPr>
        <w:t>备注：1.本表反映单位本年度取得的各项收入情况。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textWrapping"/>
      </w:r>
    </w:p>
    <w:p>
      <w:pPr>
        <w:rPr>
          <w:rFonts w:hint="default" w:cs="宋体"/>
          <w:sz w:val="20"/>
          <w:szCs w:val="20"/>
        </w:rPr>
      </w:pPr>
      <w:r>
        <w:rPr>
          <w:rFonts w:cs="宋体"/>
          <w:sz w:val="20"/>
          <w:szCs w:val="20"/>
        </w:rPr>
        <w:br w:type="page"/>
      </w:r>
    </w:p>
    <w:tbl>
      <w:tblPr>
        <w:tblStyle w:val="10"/>
        <w:tblW w:w="5000" w:type="pct"/>
        <w:tblInd w:w="0" w:type="dxa"/>
        <w:tblLayout w:type="fixed"/>
        <w:tblCellMar>
          <w:top w:w="0" w:type="dxa"/>
          <w:left w:w="0" w:type="dxa"/>
          <w:bottom w:w="0" w:type="dxa"/>
          <w:right w:w="0" w:type="dxa"/>
        </w:tblCellMar>
      </w:tblPr>
      <w:tblGrid>
        <w:gridCol w:w="1292"/>
        <w:gridCol w:w="3602"/>
        <w:gridCol w:w="1841"/>
        <w:gridCol w:w="1765"/>
        <w:gridCol w:w="1624"/>
        <w:gridCol w:w="1557"/>
        <w:gridCol w:w="1692"/>
        <w:gridCol w:w="1949"/>
      </w:tblGrid>
      <w:tr>
        <w:tblPrEx>
          <w:tblCellMar>
            <w:top w:w="0" w:type="dxa"/>
            <w:left w:w="0" w:type="dxa"/>
            <w:bottom w:w="0" w:type="dxa"/>
            <w:right w:w="0" w:type="dxa"/>
          </w:tblCellMar>
        </w:tblPrEx>
        <w:trPr>
          <w:trHeight w:val="65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支出决算表</w:t>
            </w:r>
          </w:p>
        </w:tc>
      </w:tr>
      <w:tr>
        <w:tblPrEx>
          <w:tblCellMar>
            <w:top w:w="0" w:type="dxa"/>
            <w:left w:w="0" w:type="dxa"/>
            <w:bottom w:w="0" w:type="dxa"/>
            <w:right w:w="0" w:type="dxa"/>
          </w:tblCellMar>
        </w:tblPrEx>
        <w:trPr>
          <w:trHeight w:val="342" w:hRule="atLeast"/>
        </w:trPr>
        <w:tc>
          <w:tcPr>
            <w:tcW w:w="2197" w:type="pct"/>
            <w:gridSpan w:val="3"/>
            <w:vMerge w:val="restart"/>
            <w:tcBorders>
              <w:top w:val="nil"/>
              <w:left w:val="nil"/>
              <w:right w:val="nil"/>
            </w:tcBorders>
            <w:shd w:val="clear" w:color="auto" w:fill="auto"/>
            <w:noWrap/>
            <w:tcMar>
              <w:top w:w="15" w:type="dxa"/>
              <w:left w:w="15" w:type="dxa"/>
              <w:right w:w="15" w:type="dxa"/>
            </w:tcMar>
            <w:vAlign w:val="bottom"/>
          </w:tcPr>
          <w:p>
            <w:pPr>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 xml:space="preserve">城口县咸宜镇卫生院 </w:t>
            </w: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03</w:t>
            </w:r>
            <w:r>
              <w:rPr>
                <w:rFonts w:cs="宋体"/>
                <w:color w:val="000000"/>
                <w:sz w:val="20"/>
                <w:szCs w:val="20"/>
              </w:rPr>
              <w:t>表</w:t>
            </w:r>
          </w:p>
        </w:tc>
      </w:tr>
      <w:tr>
        <w:tblPrEx>
          <w:tblCellMar>
            <w:top w:w="0" w:type="dxa"/>
            <w:left w:w="0" w:type="dxa"/>
            <w:bottom w:w="0" w:type="dxa"/>
            <w:right w:w="0" w:type="dxa"/>
          </w:tblCellMar>
        </w:tblPrEx>
        <w:trPr>
          <w:trHeight w:val="342" w:hRule="atLeast"/>
        </w:trPr>
        <w:tc>
          <w:tcPr>
            <w:tcW w:w="2197"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60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本年支出合计</w:t>
            </w:r>
          </w:p>
        </w:tc>
        <w:tc>
          <w:tcPr>
            <w:tcW w:w="57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52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上缴上级支出</w:t>
            </w:r>
          </w:p>
        </w:tc>
        <w:tc>
          <w:tcPr>
            <w:tcW w:w="55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经营支出</w:t>
            </w:r>
          </w:p>
        </w:tc>
        <w:tc>
          <w:tcPr>
            <w:tcW w:w="63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对附属单位补助支出</w:t>
            </w:r>
          </w:p>
        </w:tc>
      </w:tr>
      <w:tr>
        <w:tblPrEx>
          <w:tblCellMar>
            <w:top w:w="0" w:type="dxa"/>
            <w:left w:w="0" w:type="dxa"/>
            <w:bottom w:w="0" w:type="dxa"/>
            <w:right w:w="0" w:type="dxa"/>
          </w:tblCellMar>
        </w:tblPrEx>
        <w:trPr>
          <w:trHeight w:val="338" w:hRule="atLeast"/>
        </w:trPr>
        <w:tc>
          <w:tcPr>
            <w:tcW w:w="42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175"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60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566.76</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499.60</w:t>
            </w:r>
            <w:r>
              <w:rPr>
                <w:rFonts w:ascii="Times New Roman" w:hAnsi="Times New Roman"/>
                <w:b/>
                <w:color w:val="000000"/>
                <w:sz w:val="20"/>
                <w:u w:color="auto"/>
              </w:rPr>
              <w:t xml:space="preserve"> </w:t>
            </w:r>
          </w:p>
        </w:tc>
        <w:tc>
          <w:tcPr>
            <w:tcW w:w="5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67.16</w:t>
            </w:r>
            <w:r>
              <w:rPr>
                <w:rFonts w:ascii="Times New Roman" w:hAnsi="Times New Roman"/>
                <w:b/>
                <w:color w:val="000000"/>
                <w:sz w:val="20"/>
                <w:u w:color="auto"/>
              </w:rPr>
              <w:t xml:space="preserve"> </w:t>
            </w:r>
          </w:p>
        </w:tc>
        <w:tc>
          <w:tcPr>
            <w:tcW w:w="50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63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一般公共服务支出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0.42</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0.42</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其他共产党事务支出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0.42</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0.42</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2013699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其他共产党事务支出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0.42</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0.42</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17.85</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17.85</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17.85</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17.85</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7.30</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7.30</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3.65</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3.65</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其他行政事业单位养老支出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6.90</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6.90</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543.02</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475.87</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67.16</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21003</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基层医疗卫生机构</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483.41</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471.17</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12.24</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2100302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乡镇卫生院</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483.41</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471.17</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12.24</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21004</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公共卫生</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54.92</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54.92</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2100408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基本公共卫生服务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54.92</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54.92</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4.70</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4.70</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3.88</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3.88</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0.82</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0.82</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5.47</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5.47</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5.47</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5.47</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5.47</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5.47</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rPr>
          <w:rFonts w:hint="default" w:cs="宋体"/>
          <w:sz w:val="20"/>
          <w:szCs w:val="20"/>
        </w:rPr>
      </w:pPr>
      <w:r>
        <w:rPr>
          <w:rFonts w:cs="宋体"/>
          <w:sz w:val="20"/>
          <w:szCs w:val="20"/>
        </w:rPr>
        <w:t>备注：1.本表反映单位本年度各项支出情况。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rPr>
          <w:rFonts w:hint="default" w:cs="宋体"/>
          <w:sz w:val="21"/>
          <w:szCs w:val="21"/>
        </w:rPr>
      </w:pPr>
      <w:r>
        <w:rPr>
          <w:rFonts w:cs="宋体"/>
          <w:sz w:val="21"/>
          <w:szCs w:val="21"/>
        </w:rPr>
        <w:br w:type="page"/>
      </w:r>
    </w:p>
    <w:p>
      <w:pPr>
        <w:rPr>
          <w:rFonts w:hint="default" w:cs="宋体"/>
          <w:sz w:val="21"/>
          <w:szCs w:val="21"/>
        </w:rPr>
      </w:pPr>
    </w:p>
    <w:tbl>
      <w:tblPr>
        <w:tblStyle w:val="10"/>
        <w:tblW w:w="4790" w:type="pct"/>
        <w:tblInd w:w="0" w:type="dxa"/>
        <w:tblLayout w:type="autofit"/>
        <w:tblCellMar>
          <w:top w:w="0" w:type="dxa"/>
          <w:left w:w="0" w:type="dxa"/>
          <w:bottom w:w="0" w:type="dxa"/>
          <w:right w:w="0" w:type="dxa"/>
        </w:tblCellMar>
      </w:tblPr>
      <w:tblGrid>
        <w:gridCol w:w="2967"/>
        <w:gridCol w:w="1521"/>
        <w:gridCol w:w="3179"/>
        <w:gridCol w:w="1694"/>
        <w:gridCol w:w="1694"/>
        <w:gridCol w:w="1694"/>
        <w:gridCol w:w="1929"/>
      </w:tblGrid>
      <w:tr>
        <w:tblPrEx>
          <w:tblCellMar>
            <w:top w:w="0" w:type="dxa"/>
            <w:left w:w="0" w:type="dxa"/>
            <w:bottom w:w="0" w:type="dxa"/>
            <w:right w:w="0" w:type="dxa"/>
          </w:tblCellMar>
        </w:tblPrEx>
        <w:trPr>
          <w:trHeight w:val="9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sz w:val="32"/>
                <w:szCs w:val="32"/>
              </w:rPr>
            </w:pPr>
            <w:r>
              <w:rPr>
                <w:rFonts w:cs="宋体"/>
                <w:b/>
                <w:color w:val="000000"/>
                <w:sz w:val="32"/>
                <w:szCs w:val="32"/>
              </w:rPr>
              <w:t>财政拨款收入支出决算总表</w:t>
            </w:r>
          </w:p>
        </w:tc>
      </w:tr>
      <w:tr>
        <w:tblPrEx>
          <w:tblCellMar>
            <w:top w:w="0" w:type="dxa"/>
            <w:left w:w="0" w:type="dxa"/>
            <w:bottom w:w="0" w:type="dxa"/>
            <w:right w:w="0" w:type="dxa"/>
          </w:tblCellMar>
        </w:tblPrEx>
        <w:trPr>
          <w:trHeight w:val="90" w:hRule="atLeast"/>
        </w:trPr>
        <w:tc>
          <w:tcPr>
            <w:tcW w:w="2612"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城口县咸宜镇卫生院</w:t>
            </w: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04</w:t>
            </w:r>
            <w:r>
              <w:rPr>
                <w:rFonts w:cs="宋体"/>
                <w:color w:val="000000"/>
                <w:sz w:val="20"/>
                <w:szCs w:val="20"/>
              </w:rPr>
              <w:t>表</w:t>
            </w:r>
          </w:p>
        </w:tc>
      </w:tr>
      <w:tr>
        <w:tblPrEx>
          <w:tblCellMar>
            <w:top w:w="0" w:type="dxa"/>
            <w:left w:w="0" w:type="dxa"/>
            <w:bottom w:w="0" w:type="dxa"/>
            <w:right w:w="0" w:type="dxa"/>
          </w:tblCellMar>
        </w:tblPrEx>
        <w:trPr>
          <w:trHeight w:val="90" w:hRule="atLeast"/>
        </w:trPr>
        <w:tc>
          <w:tcPr>
            <w:tcW w:w="2612" w:type="pct"/>
            <w:gridSpan w:val="3"/>
            <w:vMerge w:val="continue"/>
            <w:tcBorders>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529"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收     入</w:t>
            </w:r>
          </w:p>
        </w:tc>
        <w:tc>
          <w:tcPr>
            <w:tcW w:w="3471"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支     出</w:t>
            </w:r>
          </w:p>
        </w:tc>
      </w:tr>
      <w:tr>
        <w:tblPrEx>
          <w:tblCellMar>
            <w:top w:w="0" w:type="dxa"/>
            <w:left w:w="0" w:type="dxa"/>
            <w:bottom w:w="0" w:type="dxa"/>
            <w:right w:w="0" w:type="dxa"/>
          </w:tblCellMar>
        </w:tblPrEx>
        <w:trPr>
          <w:trHeight w:val="90" w:hRule="atLeast"/>
        </w:trPr>
        <w:tc>
          <w:tcPr>
            <w:tcW w:w="101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项目</w:t>
            </w:r>
          </w:p>
        </w:tc>
        <w:tc>
          <w:tcPr>
            <w:tcW w:w="51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决算数</w:t>
            </w:r>
          </w:p>
        </w:tc>
        <w:tc>
          <w:tcPr>
            <w:tcW w:w="108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功能分类科目</w:t>
            </w:r>
          </w:p>
        </w:tc>
        <w:tc>
          <w:tcPr>
            <w:tcW w:w="2388" w:type="pct"/>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决算数</w:t>
            </w:r>
          </w:p>
        </w:tc>
      </w:tr>
      <w:tr>
        <w:tblPrEx>
          <w:tblCellMar>
            <w:top w:w="0" w:type="dxa"/>
            <w:left w:w="0" w:type="dxa"/>
            <w:bottom w:w="0" w:type="dxa"/>
            <w:right w:w="0" w:type="dxa"/>
          </w:tblCellMar>
        </w:tblPrEx>
        <w:trPr>
          <w:trHeight w:val="90" w:hRule="atLeast"/>
        </w:trPr>
        <w:tc>
          <w:tcPr>
            <w:tcW w:w="101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51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108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小计</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一般公共预算财政拨款</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政府性基金预算财政拨款</w:t>
            </w:r>
          </w:p>
        </w:tc>
        <w:tc>
          <w:tcPr>
            <w:tcW w:w="6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国有资本经营预算财政拨款</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一、一般公共预算财政拨款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166.69</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一、一般公共服务支出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0.42</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0.42</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二、外交支出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三、国有资本经营预算财政拨款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三、国防支出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四、公共安全支出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五、教育支出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六、科学技术支出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七、文化旅游体育与传媒支出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八、社会保障和就业支出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17.85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17.85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九、卫生健康支出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142.95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142.95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十、节能环保支出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十一、城乡社区支出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十二、农林水支出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十三、交通运输支出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十四、资源勘探工业信息等支出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十五、商业服务业等支出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十六、金融支出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十七、援助其他地区支出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十八、自然资源海洋气象等支出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十九、住房保障支出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5.47</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5.47</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二十、粮油物资储备支出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二十一、国有资本经营预算支出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二十二、灾害防治及应急管理支出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二十三、其他支出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二十四、债务还本支出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二十五、债务付息支出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二十六、抗疫特别国债安排的支出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bCs/>
                <w:color w:val="000000"/>
                <w:sz w:val="18"/>
                <w:szCs w:val="18"/>
              </w:rPr>
            </w:pPr>
            <w:r>
              <w:rPr>
                <w:rFonts w:cs="宋体"/>
                <w:b/>
                <w:bCs/>
                <w:color w:val="000000"/>
                <w:sz w:val="18"/>
                <w:szCs w:val="18"/>
              </w:rPr>
              <w:t>本年收入合计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166.69</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bCs/>
                <w:color w:val="000000"/>
                <w:sz w:val="18"/>
                <w:szCs w:val="18"/>
              </w:rPr>
            </w:pPr>
            <w:r>
              <w:rPr>
                <w:rFonts w:cs="宋体"/>
                <w:b/>
                <w:bCs/>
                <w:color w:val="000000"/>
                <w:sz w:val="18"/>
                <w:szCs w:val="18"/>
              </w:rPr>
              <w:t>本年支出合计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166.69</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166.69</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年初财政拨款结转和结余</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年末财政拨款结转和结余</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166.69</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166.69</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166.69</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bl>
    <w:p>
      <w:pPr>
        <w:spacing w:line="240" w:lineRule="exact"/>
        <w:rPr>
          <w:rFonts w:hint="default" w:cs="宋体"/>
          <w:sz w:val="20"/>
          <w:szCs w:val="20"/>
        </w:rPr>
      </w:pPr>
      <w:r>
        <w:rPr>
          <w:rFonts w:cs="宋体"/>
          <w:sz w:val="20"/>
          <w:szCs w:val="20"/>
        </w:rPr>
        <w:t>备注：1.本表反映单位本年度一般公共预算财政拨款、政府性基金预算财政拨款及国有资本经营预算财政拨款的总收支和年末结转结余情况。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305"/>
        <w:gridCol w:w="4073"/>
        <w:gridCol w:w="3306"/>
        <w:gridCol w:w="3297"/>
        <w:gridCol w:w="3341"/>
      </w:tblGrid>
      <w:tr>
        <w:tblPrEx>
          <w:tblCellMar>
            <w:top w:w="0" w:type="dxa"/>
            <w:left w:w="0" w:type="dxa"/>
            <w:bottom w:w="0" w:type="dxa"/>
            <w:right w:w="0" w:type="dxa"/>
          </w:tblCellMar>
        </w:tblPrEx>
        <w:trPr>
          <w:trHeight w:val="510"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一般公共预算财政拨款支出决算表</w:t>
            </w:r>
          </w:p>
        </w:tc>
      </w:tr>
      <w:tr>
        <w:tblPrEx>
          <w:tblCellMar>
            <w:top w:w="0" w:type="dxa"/>
            <w:left w:w="0" w:type="dxa"/>
            <w:bottom w:w="0" w:type="dxa"/>
            <w:right w:w="0" w:type="dxa"/>
          </w:tblCellMar>
        </w:tblPrEx>
        <w:trPr>
          <w:trHeight w:val="255" w:hRule="atLeast"/>
        </w:trPr>
        <w:tc>
          <w:tcPr>
            <w:tcW w:w="2834"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城口县咸宜镇卫生院</w:t>
            </w:r>
          </w:p>
        </w:tc>
        <w:tc>
          <w:tcPr>
            <w:tcW w:w="1076"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05</w:t>
            </w:r>
            <w:r>
              <w:rPr>
                <w:rFonts w:cs="宋体"/>
                <w:color w:val="000000"/>
                <w:sz w:val="20"/>
                <w:szCs w:val="20"/>
              </w:rPr>
              <w:t>表</w:t>
            </w:r>
          </w:p>
        </w:tc>
      </w:tr>
      <w:tr>
        <w:tblPrEx>
          <w:tblCellMar>
            <w:top w:w="0" w:type="dxa"/>
            <w:left w:w="0" w:type="dxa"/>
            <w:bottom w:w="0" w:type="dxa"/>
            <w:right w:w="0" w:type="dxa"/>
          </w:tblCellMar>
        </w:tblPrEx>
        <w:trPr>
          <w:trHeight w:val="285" w:hRule="atLeast"/>
        </w:trPr>
        <w:tc>
          <w:tcPr>
            <w:tcW w:w="2834"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76"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08" w:hRule="atLeast"/>
        </w:trPr>
        <w:tc>
          <w:tcPr>
            <w:tcW w:w="1755"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w:t>
            </w:r>
          </w:p>
        </w:tc>
        <w:tc>
          <w:tcPr>
            <w:tcW w:w="3244"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26" w:hRule="atLeast"/>
        </w:trPr>
        <w:tc>
          <w:tcPr>
            <w:tcW w:w="426"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329"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07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076"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108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26"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15"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08" w:hRule="atLeast"/>
        </w:trPr>
        <w:tc>
          <w:tcPr>
            <w:tcW w:w="1755"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166.69</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102.41</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64.28</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一般公共服务支出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0.42</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0.42</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0.42</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0.42</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2013699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0.42</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0.42</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17.85</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17.85</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17.85</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17.85</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7.30</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7.30</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3.65</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3.65</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6.90</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6.90</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142.95</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78.68</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64.28</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21003</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基层医疗卫生机构</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83.34</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73.98</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9.36</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2100302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乡镇卫生院</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83.34</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73.98</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9.36</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21004</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公共卫生</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54.92</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54.92</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2100408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基本公共卫生服务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54.92</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54.92</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4.70</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4.70</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3.88</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3.88</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0.82</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0.82</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5.47</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5.47</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5.47</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5.47</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5.47</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5.47</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rPr>
          <w:rFonts w:hint="default" w:cs="宋体"/>
          <w:sz w:val="21"/>
          <w:szCs w:val="21"/>
        </w:rPr>
      </w:pPr>
      <w:r>
        <w:rPr>
          <w:rFonts w:cs="宋体"/>
          <w:sz w:val="20"/>
          <w:szCs w:val="20"/>
        </w:rPr>
        <w:t>备注：1.本表反映单位本年度一般公共预算财政拨款支出情况。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rPr>
          <w:rFonts w:hint="default" w:cs="宋体"/>
          <w:sz w:val="21"/>
          <w:szCs w:val="21"/>
        </w:rPr>
      </w:pPr>
      <w:r>
        <w:rPr>
          <w:rFonts w:cs="宋体"/>
          <w:sz w:val="21"/>
          <w:szCs w:val="21"/>
        </w:rPr>
        <w:br w:type="page"/>
      </w:r>
      <w:bookmarkStart w:id="0" w:name="_GoBack"/>
      <w:bookmarkEnd w:id="0"/>
    </w:p>
    <w:tbl>
      <w:tblPr>
        <w:tblStyle w:val="10"/>
        <w:tblW w:w="4994" w:type="pct"/>
        <w:tblInd w:w="0" w:type="dxa"/>
        <w:tblLayout w:type="fixed"/>
        <w:tblCellMar>
          <w:top w:w="0" w:type="dxa"/>
          <w:left w:w="0" w:type="dxa"/>
          <w:bottom w:w="0" w:type="dxa"/>
          <w:right w:w="0" w:type="dxa"/>
        </w:tblCellMar>
      </w:tblPr>
      <w:tblGrid>
        <w:gridCol w:w="803"/>
        <w:gridCol w:w="2809"/>
        <w:gridCol w:w="1541"/>
        <w:gridCol w:w="873"/>
        <w:gridCol w:w="2032"/>
        <w:gridCol w:w="1418"/>
        <w:gridCol w:w="873"/>
        <w:gridCol w:w="3463"/>
        <w:gridCol w:w="1492"/>
      </w:tblGrid>
      <w:tr>
        <w:tblPrEx>
          <w:tblCellMar>
            <w:top w:w="0" w:type="dxa"/>
            <w:left w:w="0" w:type="dxa"/>
            <w:bottom w:w="0" w:type="dxa"/>
            <w:right w:w="0" w:type="dxa"/>
          </w:tblCellMar>
        </w:tblPrEx>
        <w:trPr>
          <w:trHeight w:val="90" w:hRule="atLeast"/>
        </w:trPr>
        <w:tc>
          <w:tcPr>
            <w:tcW w:w="5000" w:type="pct"/>
            <w:gridSpan w:val="9"/>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440" w:lineRule="exact"/>
              <w:jc w:val="center"/>
              <w:textAlignment w:val="bottom"/>
              <w:rPr>
                <w:rFonts w:hint="default" w:cs="宋体"/>
                <w:b/>
                <w:color w:val="000000"/>
                <w:sz w:val="32"/>
                <w:szCs w:val="32"/>
              </w:rPr>
            </w:pPr>
            <w:r>
              <w:rPr>
                <w:rFonts w:cs="宋体"/>
                <w:b/>
                <w:color w:val="000000"/>
                <w:sz w:val="32"/>
                <w:szCs w:val="32"/>
              </w:rPr>
              <w:t>一般公共预算财政拨款基本支出决算表</w:t>
            </w:r>
          </w:p>
        </w:tc>
      </w:tr>
      <w:tr>
        <w:tblPrEx>
          <w:tblCellMar>
            <w:top w:w="0" w:type="dxa"/>
            <w:left w:w="0" w:type="dxa"/>
            <w:bottom w:w="0" w:type="dxa"/>
            <w:right w:w="0" w:type="dxa"/>
          </w:tblCellMar>
        </w:tblPrEx>
        <w:trPr>
          <w:trHeight w:val="334" w:hRule="atLeast"/>
        </w:trPr>
        <w:tc>
          <w:tcPr>
            <w:tcW w:w="2632" w:type="pct"/>
            <w:gridSpan w:val="5"/>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城口县咸宜镇卫生院</w:t>
            </w:r>
          </w:p>
        </w:tc>
        <w:tc>
          <w:tcPr>
            <w:tcW w:w="4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06</w:t>
            </w:r>
            <w:r>
              <w:rPr>
                <w:rFonts w:cs="宋体"/>
                <w:color w:val="000000"/>
                <w:sz w:val="20"/>
                <w:szCs w:val="20"/>
              </w:rPr>
              <w:t>表</w:t>
            </w:r>
          </w:p>
        </w:tc>
      </w:tr>
      <w:tr>
        <w:tblPrEx>
          <w:tblCellMar>
            <w:top w:w="0" w:type="dxa"/>
            <w:left w:w="0" w:type="dxa"/>
            <w:bottom w:w="0" w:type="dxa"/>
            <w:right w:w="0" w:type="dxa"/>
          </w:tblCellMar>
        </w:tblPrEx>
        <w:trPr>
          <w:trHeight w:val="520" w:hRule="atLeast"/>
        </w:trPr>
        <w:tc>
          <w:tcPr>
            <w:tcW w:w="2632" w:type="pct"/>
            <w:gridSpan w:val="5"/>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683"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w:t>
            </w:r>
          </w:p>
        </w:tc>
        <w:tc>
          <w:tcPr>
            <w:tcW w:w="3316" w:type="pct"/>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w:t>
            </w:r>
          </w:p>
        </w:tc>
      </w:tr>
      <w:tr>
        <w:tblPrEx>
          <w:tblCellMar>
            <w:top w:w="0" w:type="dxa"/>
            <w:left w:w="0" w:type="dxa"/>
            <w:bottom w:w="0" w:type="dxa"/>
            <w:right w:w="0" w:type="dxa"/>
          </w:tblCellMar>
        </w:tblPrEx>
        <w:trPr>
          <w:trHeight w:val="312" w:hRule="atLeast"/>
        </w:trPr>
        <w:tc>
          <w:tcPr>
            <w:tcW w:w="26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91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50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6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1131"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8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r>
      <w:tr>
        <w:tblPrEx>
          <w:tblCellMar>
            <w:top w:w="0" w:type="dxa"/>
            <w:left w:w="0" w:type="dxa"/>
            <w:bottom w:w="0" w:type="dxa"/>
            <w:right w:w="0" w:type="dxa"/>
          </w:tblCellMar>
        </w:tblPrEx>
        <w:trPr>
          <w:trHeight w:val="312" w:hRule="atLeast"/>
        </w:trPr>
        <w:tc>
          <w:tcPr>
            <w:tcW w:w="26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91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50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6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4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1131"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48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92.67</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基本工资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20.91</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0.42</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房屋建筑物购建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津贴补贴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7.65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印刷费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咨询费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伙食补助费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手续费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基础设施建设</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绩效工资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42.99</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水费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大型修缮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7.30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信息网络及软件购置更新</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职业年金缴费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3.65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邮电费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物资储备</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职工基本医疗保险缴费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3.88</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取暖费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土地补偿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公务员医疗补助缴费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物业管理费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安置补助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其他社会保障缴费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0.82</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差旅费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地上附着物和青苗补偿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住房公积金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5.47</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因公出国（境）费用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拆迁补偿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维修（护）费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租赁费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其他交通工具购置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8.00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会议费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文物和陈列品购置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离休费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培训费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无形资产购置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公务接待费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退职（役）费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专用材料费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抚恤金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被装购置费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资本金注入</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30305</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生活补助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专用燃料费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政府投资基金股权投资</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救济费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劳务费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31204</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费用补贴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6.90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委托业务费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利息补贴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助学金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工会经费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0.91</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ind w:firstLine="180" w:firstLineChars="100"/>
              <w:textAlignment w:val="center"/>
              <w:rPr>
                <w:rFonts w:hint="default" w:cs="宋体"/>
                <w:color w:val="000000"/>
                <w:sz w:val="18"/>
                <w:szCs w:val="18"/>
              </w:rPr>
            </w:pPr>
            <w:r>
              <w:rPr>
                <w:rFonts w:cs="宋体"/>
                <w:color w:val="000000"/>
                <w:sz w:val="18"/>
                <w:szCs w:val="18"/>
              </w:rPr>
              <w:t>其他资本性补助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奖励金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福利费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0.42</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个人农业生产补贴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公务用车运行维护费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代缴社会保险费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国家赔偿费用支出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30240</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税金及附加费用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30299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经常性赠与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债务利息及费用支出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155"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310" w:hRule="atLeast"/>
        </w:trPr>
        <w:tc>
          <w:tcPr>
            <w:tcW w:w="1180" w:type="pct"/>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人员经费合计</w:t>
            </w:r>
          </w:p>
        </w:tc>
        <w:tc>
          <w:tcPr>
            <w:tcW w:w="5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100.66</w:t>
            </w:r>
            <w:r>
              <w:rPr>
                <w:rFonts w:ascii="Times New Roman" w:hAnsi="Times New Roman"/>
                <w:color w:val="000000"/>
                <w:sz w:val="18"/>
                <w:u w:color="auto"/>
              </w:rPr>
              <w:t xml:space="preserve"> </w:t>
            </w:r>
          </w:p>
        </w:tc>
        <w:tc>
          <w:tcPr>
            <w:tcW w:w="2828" w:type="pct"/>
            <w:gridSpan w:val="5"/>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公用经费合计</w:t>
            </w:r>
          </w:p>
        </w:tc>
        <w:tc>
          <w:tcPr>
            <w:tcW w:w="48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1.75</w:t>
            </w:r>
            <w:r>
              <w:rPr>
                <w:rFonts w:ascii="Times New Roman" w:hAnsi="Times New Roman"/>
                <w:color w:val="000000"/>
                <w:sz w:val="18"/>
                <w:u w:color="auto"/>
              </w:rPr>
              <w:t xml:space="preserve"> </w:t>
            </w:r>
          </w:p>
        </w:tc>
      </w:tr>
    </w:tbl>
    <w:p>
      <w:pPr>
        <w:keepNext w:val="0"/>
        <w:keepLines w:val="0"/>
        <w:pageBreakBefore w:val="0"/>
        <w:widowControl/>
        <w:kinsoku/>
        <w:wordWrap/>
        <w:overflowPunct/>
        <w:topLinePunct w:val="0"/>
        <w:autoSpaceDE/>
        <w:autoSpaceDN/>
        <w:bidi w:val="0"/>
        <w:adjustRightInd/>
        <w:snapToGrid/>
        <w:spacing w:line="280" w:lineRule="exact"/>
        <w:rPr>
          <w:rFonts w:hint="default" w:cs="宋体"/>
          <w:sz w:val="20"/>
          <w:szCs w:val="20"/>
        </w:rPr>
      </w:pPr>
      <w:r>
        <w:rPr>
          <w:rFonts w:cs="宋体"/>
          <w:sz w:val="20"/>
          <w:szCs w:val="20"/>
        </w:rPr>
        <w:t>备注：1.本表反映单位本年度一般公共预算财政拨款基本支出明细情况。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320"/>
        <w:gridCol w:w="3594"/>
        <w:gridCol w:w="1701"/>
        <w:gridCol w:w="1701"/>
        <w:gridCol w:w="1701"/>
        <w:gridCol w:w="1701"/>
        <w:gridCol w:w="1765"/>
        <w:gridCol w:w="1839"/>
      </w:tblGrid>
      <w:tr>
        <w:tblPrEx>
          <w:tblCellMar>
            <w:top w:w="0" w:type="dxa"/>
            <w:left w:w="0" w:type="dxa"/>
            <w:bottom w:w="0" w:type="dxa"/>
            <w:right w:w="0" w:type="dxa"/>
          </w:tblCellMar>
        </w:tblPrEx>
        <w:trPr>
          <w:trHeight w:val="64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政府性基金预算财政拨款收入支出决算表</w:t>
            </w:r>
          </w:p>
        </w:tc>
      </w:tr>
      <w:tr>
        <w:tblPrEx>
          <w:tblCellMar>
            <w:top w:w="0" w:type="dxa"/>
            <w:left w:w="0" w:type="dxa"/>
            <w:bottom w:w="0" w:type="dxa"/>
            <w:right w:w="0" w:type="dxa"/>
          </w:tblCellMar>
        </w:tblPrEx>
        <w:trPr>
          <w:trHeight w:val="329" w:hRule="atLeast"/>
        </w:trPr>
        <w:tc>
          <w:tcPr>
            <w:tcW w:w="2159"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城口县咸宜镇卫生院</w:t>
            </w: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07</w:t>
            </w:r>
            <w:r>
              <w:rPr>
                <w:rFonts w:cs="宋体"/>
                <w:color w:val="000000"/>
                <w:sz w:val="20"/>
                <w:szCs w:val="20"/>
              </w:rPr>
              <w:t>表</w:t>
            </w:r>
          </w:p>
        </w:tc>
      </w:tr>
      <w:tr>
        <w:tblPrEx>
          <w:tblCellMar>
            <w:top w:w="0" w:type="dxa"/>
            <w:left w:w="0" w:type="dxa"/>
            <w:bottom w:w="0" w:type="dxa"/>
            <w:right w:w="0" w:type="dxa"/>
          </w:tblCellMar>
        </w:tblPrEx>
        <w:trPr>
          <w:trHeight w:val="329" w:hRule="atLeast"/>
        </w:trPr>
        <w:tc>
          <w:tcPr>
            <w:tcW w:w="2159"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39" w:hRule="atLeast"/>
        </w:trPr>
        <w:tc>
          <w:tcPr>
            <w:tcW w:w="1604"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w:t>
            </w:r>
          </w:p>
        </w:tc>
        <w:tc>
          <w:tcPr>
            <w:tcW w:w="555" w:type="pct"/>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年初结转和结余</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本年收入</w:t>
            </w:r>
          </w:p>
        </w:tc>
        <w:tc>
          <w:tcPr>
            <w:tcW w:w="1686"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年末结转和结余</w:t>
            </w:r>
          </w:p>
        </w:tc>
      </w:tr>
      <w:tr>
        <w:tblPrEx>
          <w:tblCellMar>
            <w:top w:w="0" w:type="dxa"/>
            <w:left w:w="0" w:type="dxa"/>
            <w:bottom w:w="0" w:type="dxa"/>
            <w:right w:w="0" w:type="dxa"/>
          </w:tblCellMar>
        </w:tblPrEx>
        <w:trPr>
          <w:trHeight w:val="335" w:hRule="atLeast"/>
        </w:trPr>
        <w:tc>
          <w:tcPr>
            <w:tcW w:w="43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17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57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4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1604"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rPr>
          <w:rFonts w:hint="default" w:cs="宋体"/>
          <w:sz w:val="21"/>
          <w:szCs w:val="21"/>
        </w:rPr>
      </w:pPr>
      <w:r>
        <w:rPr>
          <w:rFonts w:cs="宋体"/>
          <w:sz w:val="20"/>
          <w:szCs w:val="20"/>
        </w:rPr>
        <w:t>备注：本表反映单位本年度政府性基金预算财政拨款收入支出及结转和结余情况。本单位无政府性基金收支，故本表无数据。</w:t>
      </w:r>
      <w:r>
        <w:rPr>
          <w:rFonts w:cs="宋体"/>
          <w:sz w:val="20"/>
          <w:szCs w:val="20"/>
        </w:rPr>
        <w:br w:type="textWrapping"/>
      </w:r>
      <w:r>
        <w:rPr>
          <w:rFonts w:cs="宋体"/>
          <w:sz w:val="20"/>
          <w:szCs w:val="20"/>
        </w:rPr>
        <w:br w:type="textWrapping"/>
      </w:r>
    </w:p>
    <w:p>
      <w:pPr>
        <w:rPr>
          <w:rFonts w:hint="default" w:cs="宋体"/>
          <w:sz w:val="21"/>
          <w:szCs w:val="21"/>
        </w:rPr>
      </w:pP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293"/>
        <w:gridCol w:w="3616"/>
        <w:gridCol w:w="3273"/>
        <w:gridCol w:w="190"/>
        <w:gridCol w:w="3463"/>
        <w:gridCol w:w="86"/>
        <w:gridCol w:w="3401"/>
      </w:tblGrid>
      <w:tr>
        <w:tblPrEx>
          <w:tblCellMar>
            <w:top w:w="0" w:type="dxa"/>
            <w:left w:w="0" w:type="dxa"/>
            <w:bottom w:w="0" w:type="dxa"/>
            <w:right w:w="0" w:type="dxa"/>
          </w:tblCellMar>
        </w:tblPrEx>
        <w:trPr>
          <w:trHeight w:val="65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国有资本经营预算财政拨款支出决算表</w:t>
            </w:r>
          </w:p>
        </w:tc>
      </w:tr>
      <w:tr>
        <w:tblPrEx>
          <w:tblCellMar>
            <w:top w:w="0" w:type="dxa"/>
            <w:left w:w="0" w:type="dxa"/>
            <w:bottom w:w="0" w:type="dxa"/>
            <w:right w:w="0" w:type="dxa"/>
          </w:tblCellMar>
        </w:tblPrEx>
        <w:trPr>
          <w:trHeight w:val="332" w:hRule="atLeast"/>
        </w:trPr>
        <w:tc>
          <w:tcPr>
            <w:tcW w:w="2670"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城口县咸宜镇卫生院</w:t>
            </w: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08</w:t>
            </w:r>
            <w:r>
              <w:rPr>
                <w:rFonts w:cs="宋体"/>
                <w:color w:val="000000"/>
                <w:sz w:val="20"/>
                <w:szCs w:val="20"/>
              </w:rPr>
              <w:t>表</w:t>
            </w:r>
          </w:p>
        </w:tc>
      </w:tr>
      <w:tr>
        <w:tblPrEx>
          <w:tblCellMar>
            <w:top w:w="0" w:type="dxa"/>
            <w:left w:w="0" w:type="dxa"/>
            <w:bottom w:w="0" w:type="dxa"/>
            <w:right w:w="0" w:type="dxa"/>
          </w:tblCellMar>
        </w:tblPrEx>
        <w:trPr>
          <w:trHeight w:val="332" w:hRule="atLeast"/>
        </w:trPr>
        <w:tc>
          <w:tcPr>
            <w:tcW w:w="2670"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22"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3397"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39" w:hRule="atLeast"/>
        </w:trPr>
        <w:tc>
          <w:tcPr>
            <w:tcW w:w="42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18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科目名称</w:t>
            </w:r>
          </w:p>
        </w:tc>
        <w:tc>
          <w:tcPr>
            <w:tcW w:w="1130" w:type="pct"/>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13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1136" w:type="pct"/>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26"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11"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488" w:hRule="atLeast"/>
        </w:trPr>
        <w:tc>
          <w:tcPr>
            <w:tcW w:w="422"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p>
        </w:tc>
        <w:tc>
          <w:tcPr>
            <w:tcW w:w="118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r>
    </w:tbl>
    <w:p>
      <w:pPr>
        <w:rPr>
          <w:rFonts w:hint="default" w:cs="宋体"/>
          <w:sz w:val="21"/>
          <w:szCs w:val="21"/>
        </w:rPr>
      </w:pPr>
      <w:r>
        <w:rPr>
          <w:rFonts w:cs="宋体"/>
          <w:sz w:val="20"/>
          <w:szCs w:val="20"/>
        </w:rPr>
        <w:t>备注：本表反映单位本年度国有资本经营预算财政拨款支出情况。本单位无国有资本经营收支，故本表无数据。</w:t>
      </w:r>
      <w:r>
        <w:rPr>
          <w:rFonts w:cs="宋体"/>
          <w:sz w:val="20"/>
          <w:szCs w:val="20"/>
        </w:rPr>
        <w:br w:type="textWrapping"/>
      </w:r>
      <w:r>
        <w:rPr>
          <w:rFonts w:cs="宋体"/>
          <w:sz w:val="20"/>
          <w:szCs w:val="20"/>
        </w:rPr>
        <w:br w:type="textWrapping"/>
      </w:r>
    </w:p>
    <w:p>
      <w:pPr>
        <w:rPr>
          <w:rFonts w:hint="default" w:cs="宋体"/>
          <w:sz w:val="21"/>
          <w:szCs w:val="21"/>
        </w:rPr>
      </w:pPr>
      <w:r>
        <w:rPr>
          <w:rFonts w:hint="default" w:cs="宋体"/>
          <w:sz w:val="21"/>
          <w:szCs w:val="21"/>
        </w:rPr>
        <w:br w:type="page"/>
      </w:r>
    </w:p>
    <w:tbl>
      <w:tblPr>
        <w:tblStyle w:val="10"/>
        <w:tblW w:w="4611" w:type="pct"/>
        <w:tblInd w:w="0" w:type="dxa"/>
        <w:tblLayout w:type="fixed"/>
        <w:tblCellMar>
          <w:top w:w="0" w:type="dxa"/>
          <w:left w:w="170" w:type="dxa"/>
          <w:bottom w:w="0" w:type="dxa"/>
          <w:right w:w="170" w:type="dxa"/>
        </w:tblCellMar>
      </w:tblPr>
      <w:tblGrid>
        <w:gridCol w:w="3179"/>
        <w:gridCol w:w="2416"/>
        <w:gridCol w:w="2375"/>
        <w:gridCol w:w="3674"/>
        <w:gridCol w:w="2487"/>
      </w:tblGrid>
      <w:tr>
        <w:tblPrEx>
          <w:tblCellMar>
            <w:top w:w="0" w:type="dxa"/>
            <w:left w:w="170" w:type="dxa"/>
            <w:bottom w:w="0" w:type="dxa"/>
            <w:right w:w="170" w:type="dxa"/>
          </w:tblCellMar>
        </w:tblPrEx>
        <w:trPr>
          <w:trHeight w:val="343" w:hRule="atLeast"/>
        </w:trPr>
        <w:tc>
          <w:tcPr>
            <w:tcW w:w="5000" w:type="pct"/>
            <w:gridSpan w:val="5"/>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kern w:val="2"/>
                <w:sz w:val="32"/>
                <w:szCs w:val="32"/>
              </w:rPr>
            </w:pPr>
            <w:r>
              <w:rPr>
                <w:rFonts w:cs="宋体"/>
                <w:b/>
                <w:color w:val="000000"/>
                <w:kern w:val="2"/>
                <w:sz w:val="32"/>
                <w:szCs w:val="32"/>
              </w:rPr>
              <w:t>机构运行信息表</w:t>
            </w:r>
          </w:p>
        </w:tc>
      </w:tr>
      <w:tr>
        <w:tblPrEx>
          <w:tblCellMar>
            <w:top w:w="0" w:type="dxa"/>
            <w:left w:w="170" w:type="dxa"/>
            <w:bottom w:w="0" w:type="dxa"/>
            <w:right w:w="170" w:type="dxa"/>
          </w:tblCellMar>
        </w:tblPrEx>
        <w:trPr>
          <w:trHeight w:val="244" w:hRule="atLeast"/>
        </w:trPr>
        <w:tc>
          <w:tcPr>
            <w:tcW w:w="1124" w:type="pct"/>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p>
        </w:tc>
        <w:tc>
          <w:tcPr>
            <w:tcW w:w="854" w:type="pct"/>
            <w:shd w:val="clear" w:color="auto" w:fill="auto"/>
            <w:noWrap/>
            <w:tcMar>
              <w:top w:w="15" w:type="dxa"/>
              <w:left w:w="15" w:type="dxa"/>
              <w:right w:w="15" w:type="dxa"/>
            </w:tcMar>
            <w:vAlign w:val="bottom"/>
          </w:tcPr>
          <w:p>
            <w:pPr>
              <w:spacing w:line="280" w:lineRule="exact"/>
              <w:jc w:val="center"/>
              <w:rPr>
                <w:rFonts w:hint="default" w:cs="宋体"/>
                <w:color w:val="000000"/>
                <w:kern w:val="2"/>
                <w:sz w:val="20"/>
                <w:szCs w:val="20"/>
              </w:rPr>
            </w:pPr>
          </w:p>
        </w:tc>
        <w:tc>
          <w:tcPr>
            <w:tcW w:w="840" w:type="pct"/>
            <w:shd w:val="clear" w:color="auto" w:fill="auto"/>
            <w:noWrap/>
            <w:tcMar>
              <w:top w:w="15" w:type="dxa"/>
              <w:left w:w="15" w:type="dxa"/>
              <w:right w:w="15" w:type="dxa"/>
            </w:tcMar>
            <w:vAlign w:val="bottom"/>
          </w:tcPr>
          <w:p>
            <w:pPr>
              <w:spacing w:line="280" w:lineRule="exact"/>
              <w:jc w:val="right"/>
              <w:rPr>
                <w:rFonts w:hint="default" w:cs="宋体"/>
                <w:color w:val="000000"/>
                <w:kern w:val="2"/>
                <w:sz w:val="20"/>
                <w:szCs w:val="20"/>
              </w:rPr>
            </w:pPr>
          </w:p>
        </w:tc>
        <w:tc>
          <w:tcPr>
            <w:tcW w:w="1299" w:type="pct"/>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p>
        </w:tc>
        <w:tc>
          <w:tcPr>
            <w:tcW w:w="879" w:type="pct"/>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kern w:val="2"/>
                <w:sz w:val="20"/>
                <w:szCs w:val="20"/>
              </w:rPr>
            </w:pPr>
            <w:r>
              <w:rPr>
                <w:rFonts w:cs="宋体"/>
                <w:color w:val="000000"/>
                <w:kern w:val="2"/>
                <w:sz w:val="20"/>
                <w:szCs w:val="20"/>
              </w:rPr>
              <w:t>公开</w:t>
            </w:r>
            <w:r>
              <w:rPr>
                <w:rFonts w:hint="default" w:ascii="Times New Roman" w:hAnsi="Times New Roman"/>
                <w:color w:val="000000"/>
                <w:kern w:val="2"/>
                <w:sz w:val="20"/>
                <w:szCs w:val="20"/>
              </w:rPr>
              <w:t>09</w:t>
            </w:r>
            <w:r>
              <w:rPr>
                <w:rFonts w:cs="宋体"/>
                <w:color w:val="000000"/>
                <w:kern w:val="2"/>
                <w:sz w:val="20"/>
                <w:szCs w:val="20"/>
              </w:rPr>
              <w:t>表</w:t>
            </w:r>
          </w:p>
        </w:tc>
      </w:tr>
      <w:tr>
        <w:tblPrEx>
          <w:tblCellMar>
            <w:top w:w="0" w:type="dxa"/>
            <w:left w:w="170" w:type="dxa"/>
            <w:bottom w:w="0" w:type="dxa"/>
            <w:right w:w="170" w:type="dxa"/>
          </w:tblCellMar>
        </w:tblPrEx>
        <w:trPr>
          <w:trHeight w:val="244" w:hRule="atLeast"/>
        </w:trPr>
        <w:tc>
          <w:tcPr>
            <w:tcW w:w="1979" w:type="pct"/>
            <w:gridSpan w:val="2"/>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r>
              <w:rPr>
                <w:rFonts w:hint="eastAsia" w:cs="宋体"/>
                <w:kern w:val="2"/>
                <w:sz w:val="20"/>
                <w:szCs w:val="20"/>
                <w:lang w:eastAsia="zh-CN"/>
              </w:rPr>
              <w:t>单位</w:t>
            </w:r>
            <w:r>
              <w:rPr>
                <w:rFonts w:cs="宋体"/>
                <w:color w:val="000000"/>
                <w:kern w:val="2"/>
                <w:sz w:val="20"/>
                <w:szCs w:val="20"/>
              </w:rPr>
              <w:t>：</w:t>
            </w:r>
            <w:r>
              <w:rPr>
                <w:color w:val="000000"/>
                <w:sz w:val="20"/>
                <w:u w:color="auto"/>
              </w:rPr>
              <w:t>城口县咸宜镇卫生院</w:t>
            </w:r>
          </w:p>
        </w:tc>
        <w:tc>
          <w:tcPr>
            <w:tcW w:w="840"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jc w:val="right"/>
              <w:rPr>
                <w:rFonts w:hint="default" w:cs="宋体"/>
                <w:color w:val="000000"/>
                <w:kern w:val="2"/>
                <w:sz w:val="20"/>
                <w:szCs w:val="20"/>
              </w:rPr>
            </w:pPr>
          </w:p>
        </w:tc>
        <w:tc>
          <w:tcPr>
            <w:tcW w:w="1299"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p>
        </w:tc>
        <w:tc>
          <w:tcPr>
            <w:tcW w:w="879"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kern w:val="2"/>
                <w:sz w:val="20"/>
                <w:szCs w:val="20"/>
              </w:rPr>
            </w:pPr>
            <w:r>
              <w:rPr>
                <w:rFonts w:cs="宋体"/>
                <w:color w:val="000000"/>
                <w:kern w:val="2"/>
                <w:sz w:val="20"/>
                <w:szCs w:val="20"/>
              </w:rPr>
              <w:t>单位：</w:t>
            </w:r>
            <w:r>
              <w:rPr>
                <w:rFonts w:cs="宋体"/>
                <w:kern w:val="2"/>
                <w:sz w:val="20"/>
                <w:szCs w:val="20"/>
              </w:rPr>
              <w:t>万元</w:t>
            </w:r>
          </w:p>
        </w:tc>
      </w:tr>
      <w:tr>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预算数</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r>
      <w:tr>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一、“三公”经费支出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五、机关运行经费</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（一）支出合计</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（一）行政单位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（二）参照公务员法管理事业单位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2．公务用车购置及运行维护费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六、资产信息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（1）公务用车购置费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（一）车辆数合计（辆）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2</w:t>
            </w: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1．副部（省）级及以上领导用车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2．主要领导干部用车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（1）国内接待费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3．机要通信用车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4．应急保障用车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（2）国（境）外接待费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5．执法执勤用车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（二）相关统计数</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6．特种专业技术用车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2</w:t>
            </w: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1．因公出国（境）团组数（个）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7．离退休干部用车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2．因公出国（境）人次数（人）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8．其他用车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3．公务用车购置数（辆）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（二）单价100万元（含）以上设备（不含车辆）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4．公务用车保有量（辆）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七、政府采购支出信息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5．国内公务接待批次（个）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（一）政府采购支出合计</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1．政府采购货物支出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6．国内公务接待人次（人）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2．政府采购工程支出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3．政府采购服务支出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7．国（境）外公务接待批次（个）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（二）政府采购授予中小企业合同金额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8．国（境）外公务接待人次（人）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其中：授予小微企业合同金额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86"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二、会议费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三、培训费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sz w:val="16"/>
                <w:szCs w:val="16"/>
              </w:rPr>
            </w:pPr>
            <w:r>
              <w:rPr>
                <w:rFonts w:cs="宋体"/>
                <w:b/>
                <w:bCs/>
                <w:color w:val="000000"/>
                <w:sz w:val="16"/>
                <w:szCs w:val="16"/>
              </w:rPr>
              <w:t>四、差旅费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sz w:val="16"/>
                <w:szCs w:val="16"/>
              </w:rPr>
            </w:pPr>
          </w:p>
        </w:tc>
      </w:tr>
    </w:tbl>
    <w:p>
      <w:pPr>
        <w:rPr>
          <w:rFonts w:hint="default"/>
          <w:sz w:val="18"/>
          <w:szCs w:val="18"/>
        </w:rPr>
      </w:pPr>
      <w:r>
        <w:rPr>
          <w:rFonts w:cs="宋体"/>
          <w:sz w:val="18"/>
          <w:szCs w:val="18"/>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cs="宋体"/>
          <w:sz w:val="18"/>
          <w:szCs w:val="18"/>
        </w:rPr>
        <w:br w:type="textWrapping"/>
      </w:r>
      <w:r>
        <w:rPr>
          <w:rFonts w:cs="宋体"/>
          <w:sz w:val="18"/>
          <w:szCs w:val="18"/>
        </w:rPr>
        <w:t xml:space="preserve">      2.本套报表金额单位转换时可能存在尾数误差。</w:t>
      </w:r>
      <w:r>
        <w:rPr>
          <w:rFonts w:cs="宋体"/>
          <w:sz w:val="18"/>
          <w:szCs w:val="18"/>
        </w:rPr>
        <w:br w:type="textWrapping"/>
      </w:r>
      <w:r>
        <w:rPr>
          <w:rFonts w:cs="宋体"/>
          <w:sz w:val="18"/>
          <w:szCs w:val="18"/>
        </w:rPr>
        <w:br w:type="textWrapping"/>
      </w:r>
    </w:p>
    <w:sectPr>
      <w:headerReference r:id="rId5" w:type="default"/>
      <w:footerReference r:id="rId6" w:type="default"/>
      <w:pgSz w:w="16783" w:h="11850"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default"/>
      </w:rPr>
    </w:pPr>
    <w:r>
      <w:rPr>
        <w:rFonts w:hint="default"/>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rPr>
                              <w:rFonts w:hint="default"/>
                            </w:rPr>
                          </w:pPr>
                          <w:r>
                            <w:fldChar w:fldCharType="begin"/>
                          </w:r>
                          <w:r>
                            <w:instrText xml:space="preserve"> PAGE  \* MERGEFORMAT </w:instrText>
                          </w:r>
                          <w:r>
                            <w:fldChar w:fldCharType="separate"/>
                          </w:r>
                          <w:r>
                            <w:rPr>
                              <w:rFonts w:hint="default"/>
                            </w:rPr>
                            <w:t>- 19 -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6"/>
                      <w:rPr>
                        <w:rFonts w:hint="default"/>
                      </w:rPr>
                    </w:pPr>
                    <w:r>
                      <w:fldChar w:fldCharType="begin"/>
                    </w:r>
                    <w:r>
                      <w:instrText xml:space="preserve"> PAGE  \* MERGEFORMAT </w:instrText>
                    </w:r>
                    <w:r>
                      <w:fldChar w:fldCharType="separate"/>
                    </w:r>
                    <w:r>
                      <w:rPr>
                        <w:rFonts w:hint="default"/>
                      </w:rPr>
                      <w:t>- 19 -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rFonts w:hint="default"/>
      </w:rPr>
    </w:pPr>
    <w:r>
      <w:rPr>
        <w:rFonts w:hint="default"/>
      </w:rPr>
      <mc:AlternateContent>
        <mc:Choice Requires="wps">
          <w:drawing>
            <wp:anchor distT="0" distB="0" distL="114300" distR="114300" simplePos="0" relativeHeight="251661312"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31 -</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fill on="f" focussize="0,0"/>
              <v:stroke on="f" weight="0.5pt"/>
              <v:imagedata o:title=""/>
              <o:lock v:ext="edit" aspectratio="f"/>
              <v:textbox inset="0mm,0mm,0mm,0mm" style="mso-fit-shape-to-text:t;">
                <w:txbxContent>
                  <w:p>
                    <w:pPr>
                      <w:pStyle w:val="6"/>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31 -</w:t>
                    </w:r>
                    <w:r>
                      <w:fldChar w:fldCharType="end"/>
                    </w:r>
                    <w:r>
                      <w:t xml:space="preserve"> </w:t>
                    </w:r>
                  </w:p>
                </w:txbxContent>
              </v:textbox>
            </v:shape>
          </w:pict>
        </mc:Fallback>
      </mc:AlternateContent>
    </w:r>
    <w:r>
      <w:rPr>
        <w:rFonts w:hint="default"/>
      </w:rP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pPr>
                            <w:pStyle w:val="6"/>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60288;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fill on="f" focussize="0,0"/>
              <v:stroke on="f" weight="0.5pt"/>
              <v:imagedata o:title=""/>
              <o:lock v:ext="edit" aspectratio="f"/>
              <v:textbox inset="0mm,0mm,0mm,0mm">
                <w:txbxContent>
                  <w:p>
                    <w:pPr>
                      <w:pStyle w:val="6"/>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446275"/>
    <w:multiLevelType w:val="singleLevel"/>
    <w:tmpl w:val="9C446275"/>
    <w:lvl w:ilvl="0" w:tentative="0">
      <w:start w:val="3"/>
      <w:numFmt w:val="chineseCounting"/>
      <w:suff w:val="nothing"/>
      <w:lvlText w:val="%1、"/>
      <w:lvlJc w:val="left"/>
      <w:rPr>
        <w:rFonts w:hint="eastAsia"/>
      </w:rPr>
    </w:lvl>
  </w:abstractNum>
  <w:abstractNum w:abstractNumId="1">
    <w:nsid w:val="C1BC7396"/>
    <w:multiLevelType w:val="singleLevel"/>
    <w:tmpl w:val="C1BC7396"/>
    <w:lvl w:ilvl="0" w:tentative="0">
      <w:start w:val="1"/>
      <w:numFmt w:val="chineseCounting"/>
      <w:suff w:val="nothing"/>
      <w:lvlText w:val="（%1）"/>
      <w:lvlJc w:val="left"/>
      <w:rPr>
        <w:rFonts w:hint="eastAsia"/>
      </w:rPr>
    </w:lvl>
  </w:abstractNum>
  <w:abstractNum w:abstractNumId="2">
    <w:nsid w:val="C61C6F03"/>
    <w:multiLevelType w:val="singleLevel"/>
    <w:tmpl w:val="C61C6F03"/>
    <w:lvl w:ilvl="0" w:tentative="0">
      <w:start w:val="1"/>
      <w:numFmt w:val="chineseCounting"/>
      <w:suff w:val="nothing"/>
      <w:lvlText w:val="%1、"/>
      <w:lvlJc w:val="left"/>
      <w:rPr>
        <w:rFonts w:hint="eastAsia"/>
      </w:rPr>
    </w:lvl>
  </w:abstractNum>
  <w:abstractNum w:abstractNumId="3">
    <w:nsid w:val="6B85189A"/>
    <w:multiLevelType w:val="singleLevel"/>
    <w:tmpl w:val="6B85189A"/>
    <w:lvl w:ilvl="0" w:tentative="0">
      <w:start w:val="5"/>
      <w:numFmt w:val="chineseCounting"/>
      <w:suff w:val="nothing"/>
      <w:lvlText w:val="（%1）"/>
      <w:lvlJc w:val="left"/>
      <w:rPr>
        <w:rFonts w:hint="eastAsi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iNjU0YjMyNzAwYWVmNjdlYjE1OTU1MjJiYTViMzYifQ=="/>
  </w:docVars>
  <w:rsids>
    <w:rsidRoot w:val="00B03CCD"/>
    <w:rsid w:val="000239C6"/>
    <w:rsid w:val="001D3BB7"/>
    <w:rsid w:val="002B254B"/>
    <w:rsid w:val="0034050A"/>
    <w:rsid w:val="0044504F"/>
    <w:rsid w:val="00466C9B"/>
    <w:rsid w:val="00486CFC"/>
    <w:rsid w:val="00491DDD"/>
    <w:rsid w:val="00550ABE"/>
    <w:rsid w:val="00623A85"/>
    <w:rsid w:val="00770383"/>
    <w:rsid w:val="007819D4"/>
    <w:rsid w:val="007B419D"/>
    <w:rsid w:val="007B7C4B"/>
    <w:rsid w:val="007D3D39"/>
    <w:rsid w:val="00984C6A"/>
    <w:rsid w:val="00994AF7"/>
    <w:rsid w:val="009B67B8"/>
    <w:rsid w:val="009C14C9"/>
    <w:rsid w:val="009D2B67"/>
    <w:rsid w:val="009E1452"/>
    <w:rsid w:val="00A566F9"/>
    <w:rsid w:val="00AF2751"/>
    <w:rsid w:val="00B03CCD"/>
    <w:rsid w:val="00BE2B89"/>
    <w:rsid w:val="00BF0D89"/>
    <w:rsid w:val="00C10E9E"/>
    <w:rsid w:val="00C20C3E"/>
    <w:rsid w:val="00C5163E"/>
    <w:rsid w:val="00CF2ACF"/>
    <w:rsid w:val="00D03AAF"/>
    <w:rsid w:val="00DD0539"/>
    <w:rsid w:val="00E07662"/>
    <w:rsid w:val="00E368E9"/>
    <w:rsid w:val="00EE1E33"/>
    <w:rsid w:val="00F73F90"/>
    <w:rsid w:val="00FB4B3B"/>
    <w:rsid w:val="01474EBF"/>
    <w:rsid w:val="01F3521E"/>
    <w:rsid w:val="02275530"/>
    <w:rsid w:val="027F4D04"/>
    <w:rsid w:val="03A2514E"/>
    <w:rsid w:val="03B87EA0"/>
    <w:rsid w:val="03E3214F"/>
    <w:rsid w:val="044C50BA"/>
    <w:rsid w:val="05453E88"/>
    <w:rsid w:val="0596483F"/>
    <w:rsid w:val="05BC6D49"/>
    <w:rsid w:val="06194FF1"/>
    <w:rsid w:val="06A2550B"/>
    <w:rsid w:val="06F80EE2"/>
    <w:rsid w:val="07001CCA"/>
    <w:rsid w:val="075678DB"/>
    <w:rsid w:val="077B465F"/>
    <w:rsid w:val="079D7CC7"/>
    <w:rsid w:val="08051BCA"/>
    <w:rsid w:val="086C12F4"/>
    <w:rsid w:val="08705944"/>
    <w:rsid w:val="08BA052C"/>
    <w:rsid w:val="08DB07BA"/>
    <w:rsid w:val="09501D99"/>
    <w:rsid w:val="0969353F"/>
    <w:rsid w:val="098305D0"/>
    <w:rsid w:val="09B1218B"/>
    <w:rsid w:val="0A3317EA"/>
    <w:rsid w:val="0A5C4B69"/>
    <w:rsid w:val="0A86124A"/>
    <w:rsid w:val="0AB54CC0"/>
    <w:rsid w:val="0B9335CE"/>
    <w:rsid w:val="0BF2311A"/>
    <w:rsid w:val="0C7927C4"/>
    <w:rsid w:val="0C9B098C"/>
    <w:rsid w:val="0CEF1F92"/>
    <w:rsid w:val="0D673E11"/>
    <w:rsid w:val="0DDA54E4"/>
    <w:rsid w:val="0E3A5F83"/>
    <w:rsid w:val="0F836721"/>
    <w:rsid w:val="0FA25D96"/>
    <w:rsid w:val="107B59E5"/>
    <w:rsid w:val="10EC0126"/>
    <w:rsid w:val="10F70B9A"/>
    <w:rsid w:val="111445C7"/>
    <w:rsid w:val="114278C6"/>
    <w:rsid w:val="1158083A"/>
    <w:rsid w:val="11643A4B"/>
    <w:rsid w:val="11ED0F98"/>
    <w:rsid w:val="11F03528"/>
    <w:rsid w:val="12C921C4"/>
    <w:rsid w:val="12EF37E0"/>
    <w:rsid w:val="13871C70"/>
    <w:rsid w:val="13A71CB4"/>
    <w:rsid w:val="13AF1D43"/>
    <w:rsid w:val="13CE1647"/>
    <w:rsid w:val="13FD55AB"/>
    <w:rsid w:val="14200702"/>
    <w:rsid w:val="14370EA1"/>
    <w:rsid w:val="163A6CEE"/>
    <w:rsid w:val="173708E3"/>
    <w:rsid w:val="17C374FC"/>
    <w:rsid w:val="182E4AB6"/>
    <w:rsid w:val="189079DC"/>
    <w:rsid w:val="189B0D0B"/>
    <w:rsid w:val="18B43F7C"/>
    <w:rsid w:val="191C433B"/>
    <w:rsid w:val="194A1770"/>
    <w:rsid w:val="19B906A4"/>
    <w:rsid w:val="1B6F15B6"/>
    <w:rsid w:val="1BAA2EDC"/>
    <w:rsid w:val="1BAD1B8C"/>
    <w:rsid w:val="1CA55E64"/>
    <w:rsid w:val="1CAC629E"/>
    <w:rsid w:val="1D014A01"/>
    <w:rsid w:val="1D022362"/>
    <w:rsid w:val="1D1B04B0"/>
    <w:rsid w:val="1DA52501"/>
    <w:rsid w:val="1DBD6767"/>
    <w:rsid w:val="1DC52125"/>
    <w:rsid w:val="1DD26311"/>
    <w:rsid w:val="1E374ACB"/>
    <w:rsid w:val="1E5E57CF"/>
    <w:rsid w:val="1ECF0A66"/>
    <w:rsid w:val="1EF67CA4"/>
    <w:rsid w:val="1F020D3A"/>
    <w:rsid w:val="1F2C5189"/>
    <w:rsid w:val="1F4B0B02"/>
    <w:rsid w:val="1FBB35CD"/>
    <w:rsid w:val="1FCD26AF"/>
    <w:rsid w:val="20642787"/>
    <w:rsid w:val="20B54D8D"/>
    <w:rsid w:val="21556F04"/>
    <w:rsid w:val="2230018C"/>
    <w:rsid w:val="22403BD3"/>
    <w:rsid w:val="225B49EE"/>
    <w:rsid w:val="22AD3177"/>
    <w:rsid w:val="22D24584"/>
    <w:rsid w:val="232D0D02"/>
    <w:rsid w:val="235417B6"/>
    <w:rsid w:val="24B92327"/>
    <w:rsid w:val="24C14514"/>
    <w:rsid w:val="2533755C"/>
    <w:rsid w:val="25791755"/>
    <w:rsid w:val="26396DF4"/>
    <w:rsid w:val="27167136"/>
    <w:rsid w:val="271B442C"/>
    <w:rsid w:val="276F4A98"/>
    <w:rsid w:val="279F64C3"/>
    <w:rsid w:val="27B23302"/>
    <w:rsid w:val="29310A5F"/>
    <w:rsid w:val="29A749BD"/>
    <w:rsid w:val="29C37A35"/>
    <w:rsid w:val="2A076083"/>
    <w:rsid w:val="2A73162E"/>
    <w:rsid w:val="2AEB3707"/>
    <w:rsid w:val="2B167953"/>
    <w:rsid w:val="2B200583"/>
    <w:rsid w:val="2B2729C0"/>
    <w:rsid w:val="2B8209DE"/>
    <w:rsid w:val="2B821C91"/>
    <w:rsid w:val="2BF81A22"/>
    <w:rsid w:val="2C636760"/>
    <w:rsid w:val="2C6762A3"/>
    <w:rsid w:val="2FCA4B37"/>
    <w:rsid w:val="2FCE173D"/>
    <w:rsid w:val="2FE029D7"/>
    <w:rsid w:val="2FF06E00"/>
    <w:rsid w:val="30586FEC"/>
    <w:rsid w:val="3062163D"/>
    <w:rsid w:val="30F0044A"/>
    <w:rsid w:val="315F0B22"/>
    <w:rsid w:val="31A15828"/>
    <w:rsid w:val="31D84415"/>
    <w:rsid w:val="32285F6F"/>
    <w:rsid w:val="32770556"/>
    <w:rsid w:val="329C0913"/>
    <w:rsid w:val="32AA0460"/>
    <w:rsid w:val="3337290D"/>
    <w:rsid w:val="33E31118"/>
    <w:rsid w:val="33EF7674"/>
    <w:rsid w:val="342D7BC6"/>
    <w:rsid w:val="34D66156"/>
    <w:rsid w:val="352930DB"/>
    <w:rsid w:val="35573069"/>
    <w:rsid w:val="355F6038"/>
    <w:rsid w:val="356776EC"/>
    <w:rsid w:val="358C217E"/>
    <w:rsid w:val="36B96670"/>
    <w:rsid w:val="36C9128A"/>
    <w:rsid w:val="36FF1994"/>
    <w:rsid w:val="37841E99"/>
    <w:rsid w:val="37BF1123"/>
    <w:rsid w:val="383C3F15"/>
    <w:rsid w:val="38BE4696"/>
    <w:rsid w:val="3939115E"/>
    <w:rsid w:val="39B82A39"/>
    <w:rsid w:val="39C42CA8"/>
    <w:rsid w:val="39DC4FD6"/>
    <w:rsid w:val="39F03D7A"/>
    <w:rsid w:val="39F33306"/>
    <w:rsid w:val="3A2C1C67"/>
    <w:rsid w:val="3A39340F"/>
    <w:rsid w:val="3A6A77C9"/>
    <w:rsid w:val="3ADD7F09"/>
    <w:rsid w:val="3B1705E5"/>
    <w:rsid w:val="3B18334B"/>
    <w:rsid w:val="3B36794F"/>
    <w:rsid w:val="3B6F6EE0"/>
    <w:rsid w:val="3C566AD6"/>
    <w:rsid w:val="3C594871"/>
    <w:rsid w:val="3C6A5B02"/>
    <w:rsid w:val="3D083B3A"/>
    <w:rsid w:val="3D2757A1"/>
    <w:rsid w:val="3D3D4FC4"/>
    <w:rsid w:val="3D7534BE"/>
    <w:rsid w:val="3DDF3AB1"/>
    <w:rsid w:val="3E1D0952"/>
    <w:rsid w:val="3E42660A"/>
    <w:rsid w:val="3E4B3711"/>
    <w:rsid w:val="3E7555B1"/>
    <w:rsid w:val="3E787ED9"/>
    <w:rsid w:val="3F032E93"/>
    <w:rsid w:val="3F0527E5"/>
    <w:rsid w:val="3F2B3D90"/>
    <w:rsid w:val="3F4C52C6"/>
    <w:rsid w:val="3F694D83"/>
    <w:rsid w:val="3F885DCC"/>
    <w:rsid w:val="3FCD675E"/>
    <w:rsid w:val="4004000C"/>
    <w:rsid w:val="40760DD1"/>
    <w:rsid w:val="408D0011"/>
    <w:rsid w:val="40BD5482"/>
    <w:rsid w:val="411B6CE5"/>
    <w:rsid w:val="412070D7"/>
    <w:rsid w:val="41314E40"/>
    <w:rsid w:val="41E0734B"/>
    <w:rsid w:val="426C1EA8"/>
    <w:rsid w:val="42736402"/>
    <w:rsid w:val="42E86A87"/>
    <w:rsid w:val="43307B09"/>
    <w:rsid w:val="439A3EB9"/>
    <w:rsid w:val="43B71177"/>
    <w:rsid w:val="43BB152F"/>
    <w:rsid w:val="44C37687"/>
    <w:rsid w:val="45C36283"/>
    <w:rsid w:val="45CB699A"/>
    <w:rsid w:val="46423C66"/>
    <w:rsid w:val="465B470D"/>
    <w:rsid w:val="469D6AD4"/>
    <w:rsid w:val="46A77952"/>
    <w:rsid w:val="46BD0F24"/>
    <w:rsid w:val="471E6C84"/>
    <w:rsid w:val="4748792B"/>
    <w:rsid w:val="475D719D"/>
    <w:rsid w:val="47674801"/>
    <w:rsid w:val="47ED2DF7"/>
    <w:rsid w:val="48225EF7"/>
    <w:rsid w:val="488F422B"/>
    <w:rsid w:val="48E36915"/>
    <w:rsid w:val="48EB6572"/>
    <w:rsid w:val="495C4A24"/>
    <w:rsid w:val="497135DF"/>
    <w:rsid w:val="4A263DF2"/>
    <w:rsid w:val="4A2F278B"/>
    <w:rsid w:val="4A6F6675"/>
    <w:rsid w:val="4B135857"/>
    <w:rsid w:val="4B7951CB"/>
    <w:rsid w:val="4B7C315C"/>
    <w:rsid w:val="4D1F53CA"/>
    <w:rsid w:val="4D6245D3"/>
    <w:rsid w:val="4DAC4ACA"/>
    <w:rsid w:val="4DBE01D2"/>
    <w:rsid w:val="4DE66FB2"/>
    <w:rsid w:val="4EFD467F"/>
    <w:rsid w:val="4F0C6BA3"/>
    <w:rsid w:val="4F186D58"/>
    <w:rsid w:val="4F3A75B6"/>
    <w:rsid w:val="4F716D4F"/>
    <w:rsid w:val="4FFE7F08"/>
    <w:rsid w:val="504B6EAA"/>
    <w:rsid w:val="50F06B6E"/>
    <w:rsid w:val="51064DCD"/>
    <w:rsid w:val="51D21804"/>
    <w:rsid w:val="52234D33"/>
    <w:rsid w:val="522F6E0C"/>
    <w:rsid w:val="52463BA1"/>
    <w:rsid w:val="52B94C95"/>
    <w:rsid w:val="52E966F3"/>
    <w:rsid w:val="52F163D4"/>
    <w:rsid w:val="531A2DB4"/>
    <w:rsid w:val="53C0244D"/>
    <w:rsid w:val="53DD4D4E"/>
    <w:rsid w:val="53E578CE"/>
    <w:rsid w:val="541330F0"/>
    <w:rsid w:val="54245B28"/>
    <w:rsid w:val="54272666"/>
    <w:rsid w:val="543B029D"/>
    <w:rsid w:val="54861779"/>
    <w:rsid w:val="5486329D"/>
    <w:rsid w:val="55084A4C"/>
    <w:rsid w:val="552256E1"/>
    <w:rsid w:val="554E5773"/>
    <w:rsid w:val="555829E0"/>
    <w:rsid w:val="555A3CBC"/>
    <w:rsid w:val="5582012B"/>
    <w:rsid w:val="558E4E05"/>
    <w:rsid w:val="55BE2E85"/>
    <w:rsid w:val="562E599A"/>
    <w:rsid w:val="56530F5D"/>
    <w:rsid w:val="567700D3"/>
    <w:rsid w:val="56FF7E9E"/>
    <w:rsid w:val="578867FC"/>
    <w:rsid w:val="5842572D"/>
    <w:rsid w:val="5A2941DA"/>
    <w:rsid w:val="5A3B59D6"/>
    <w:rsid w:val="5AA4622B"/>
    <w:rsid w:val="5AD134D8"/>
    <w:rsid w:val="5B5C4F55"/>
    <w:rsid w:val="5BF41F67"/>
    <w:rsid w:val="5C263CE4"/>
    <w:rsid w:val="5C5D2777"/>
    <w:rsid w:val="5CF66BF3"/>
    <w:rsid w:val="5D290C69"/>
    <w:rsid w:val="5DA80C2C"/>
    <w:rsid w:val="5E6F6B50"/>
    <w:rsid w:val="5EC935C5"/>
    <w:rsid w:val="5F2D4A41"/>
    <w:rsid w:val="60C74F6C"/>
    <w:rsid w:val="61015958"/>
    <w:rsid w:val="61025A59"/>
    <w:rsid w:val="613D5BBC"/>
    <w:rsid w:val="61536C39"/>
    <w:rsid w:val="62944DD7"/>
    <w:rsid w:val="62C66906"/>
    <w:rsid w:val="6319381F"/>
    <w:rsid w:val="63C25DC5"/>
    <w:rsid w:val="63C62057"/>
    <w:rsid w:val="64571EF5"/>
    <w:rsid w:val="64FB113D"/>
    <w:rsid w:val="656152C6"/>
    <w:rsid w:val="6587477F"/>
    <w:rsid w:val="658C3A08"/>
    <w:rsid w:val="65C031CA"/>
    <w:rsid w:val="65CE6852"/>
    <w:rsid w:val="661C52F4"/>
    <w:rsid w:val="66267C04"/>
    <w:rsid w:val="662A7F2C"/>
    <w:rsid w:val="663F505A"/>
    <w:rsid w:val="666C2D2F"/>
    <w:rsid w:val="66AF5D7C"/>
    <w:rsid w:val="66EE5541"/>
    <w:rsid w:val="67924660"/>
    <w:rsid w:val="68407834"/>
    <w:rsid w:val="6883293E"/>
    <w:rsid w:val="688412AD"/>
    <w:rsid w:val="68EB1B71"/>
    <w:rsid w:val="696C0310"/>
    <w:rsid w:val="6A6C7940"/>
    <w:rsid w:val="6A9F1565"/>
    <w:rsid w:val="6AAD2300"/>
    <w:rsid w:val="6B474EF5"/>
    <w:rsid w:val="6BB65DBE"/>
    <w:rsid w:val="6BC938E5"/>
    <w:rsid w:val="6C0A5AC5"/>
    <w:rsid w:val="6C1B20C5"/>
    <w:rsid w:val="6C560CAE"/>
    <w:rsid w:val="6C576495"/>
    <w:rsid w:val="6CCD0A38"/>
    <w:rsid w:val="6D2F4B04"/>
    <w:rsid w:val="6D5A5163"/>
    <w:rsid w:val="6D903FF5"/>
    <w:rsid w:val="6DA955B8"/>
    <w:rsid w:val="6DE346AB"/>
    <w:rsid w:val="6DE5391A"/>
    <w:rsid w:val="6EFD1324"/>
    <w:rsid w:val="6F5A53AC"/>
    <w:rsid w:val="6F5D3F6D"/>
    <w:rsid w:val="6FAC003D"/>
    <w:rsid w:val="6FD926BF"/>
    <w:rsid w:val="6FE55E12"/>
    <w:rsid w:val="6FFB2E76"/>
    <w:rsid w:val="708F6F7F"/>
    <w:rsid w:val="70D94BD3"/>
    <w:rsid w:val="71574775"/>
    <w:rsid w:val="71C34D91"/>
    <w:rsid w:val="72DB435C"/>
    <w:rsid w:val="72E2613A"/>
    <w:rsid w:val="72F771F4"/>
    <w:rsid w:val="73814F04"/>
    <w:rsid w:val="73934AD2"/>
    <w:rsid w:val="740578E3"/>
    <w:rsid w:val="750837F0"/>
    <w:rsid w:val="750C4CA1"/>
    <w:rsid w:val="754758CF"/>
    <w:rsid w:val="75581568"/>
    <w:rsid w:val="75595ECD"/>
    <w:rsid w:val="764F62AB"/>
    <w:rsid w:val="765C45EC"/>
    <w:rsid w:val="768A7619"/>
    <w:rsid w:val="76BD23AB"/>
    <w:rsid w:val="772E1EBA"/>
    <w:rsid w:val="781926BC"/>
    <w:rsid w:val="796D60A4"/>
    <w:rsid w:val="79A031D5"/>
    <w:rsid w:val="79B47FDF"/>
    <w:rsid w:val="79E569A9"/>
    <w:rsid w:val="79F93A46"/>
    <w:rsid w:val="7A1525F7"/>
    <w:rsid w:val="7B420052"/>
    <w:rsid w:val="7BD06A28"/>
    <w:rsid w:val="7C3A7C0B"/>
    <w:rsid w:val="7C5248E4"/>
    <w:rsid w:val="7C566698"/>
    <w:rsid w:val="7C5866A3"/>
    <w:rsid w:val="7D7406BB"/>
    <w:rsid w:val="7DE94331"/>
    <w:rsid w:val="7F446A19"/>
    <w:rsid w:val="7F74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99"/>
    <w:rPr>
      <w:rFonts w:hint="eastAsia" w:ascii="宋体" w:hAnsi="宋体" w:eastAsia="宋体" w:cs="Times New Roman"/>
      <w:sz w:val="24"/>
      <w:szCs w:val="24"/>
      <w:lang w:val="en-US" w:eastAsia="zh-CN" w:bidi="ar-SA"/>
    </w:rPr>
  </w:style>
  <w:style w:type="character" w:default="1" w:styleId="12">
    <w:name w:val="Default Paragraph Font"/>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autoRedefine/>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8"/>
    <w:autoRedefine/>
    <w:qFormat/>
    <w:uiPriority w:val="0"/>
    <w:rPr>
      <w:sz w:val="18"/>
      <w:szCs w:val="18"/>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tabs>
        <w:tab w:val="center" w:pos="4153"/>
        <w:tab w:val="right" w:pos="8306"/>
      </w:tabs>
      <w:snapToGrid w:val="0"/>
      <w:jc w:val="center"/>
    </w:pPr>
    <w:rPr>
      <w:sz w:val="18"/>
      <w:szCs w:val="18"/>
    </w:rPr>
  </w:style>
  <w:style w:type="paragraph" w:styleId="8">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9">
    <w:name w:val="Normal (Web)"/>
    <w:basedOn w:val="1"/>
    <w:autoRedefine/>
    <w:unhideWhenUsed/>
    <w:qFormat/>
    <w:uiPriority w:val="0"/>
    <w:pPr>
      <w:spacing w:before="100" w:beforeAutospacing="1" w:after="100" w:afterAutospacing="1"/>
    </w:p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autoRedefine/>
    <w:qFormat/>
    <w:uiPriority w:val="0"/>
    <w:rPr>
      <w:b/>
    </w:rPr>
  </w:style>
  <w:style w:type="paragraph" w:customStyle="1" w:styleId="14">
    <w:name w:val="列出段落1"/>
    <w:basedOn w:val="1"/>
    <w:autoRedefine/>
    <w:qFormat/>
    <w:uiPriority w:val="99"/>
    <w:pPr>
      <w:ind w:firstLine="420" w:firstLineChars="200"/>
    </w:pPr>
    <w:rPr>
      <w:rFonts w:hint="default"/>
    </w:rPr>
  </w:style>
  <w:style w:type="paragraph" w:customStyle="1" w:styleId="15">
    <w:name w:val="普通(网站) Char"/>
    <w:autoRedefine/>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6">
    <w:name w:val="21"/>
    <w:basedOn w:val="12"/>
    <w:autoRedefine/>
    <w:qFormat/>
    <w:uiPriority w:val="0"/>
    <w:rPr>
      <w:rFonts w:hint="default" w:ascii="Wingdings" w:hAnsi="Wingdings" w:cs="Wingdings"/>
      <w:b/>
      <w:bCs/>
    </w:rPr>
  </w:style>
  <w:style w:type="paragraph" w:customStyle="1" w:styleId="17">
    <w:name w:val="列出段落2"/>
    <w:autoRedefine/>
    <w:qFormat/>
    <w:uiPriority w:val="99"/>
    <w:pPr>
      <w:ind w:firstLine="420" w:firstLineChars="200"/>
    </w:pPr>
    <w:rPr>
      <w:rFonts w:ascii="宋体" w:hAnsi="宋体" w:eastAsia="宋体" w:cs="Times New Roman"/>
      <w:sz w:val="24"/>
      <w:szCs w:val="24"/>
      <w:lang w:val="en-US" w:eastAsia="zh-CN" w:bidi="ar-SA"/>
    </w:rPr>
  </w:style>
  <w:style w:type="character" w:customStyle="1" w:styleId="18">
    <w:name w:val="批注框文本 Char"/>
    <w:basedOn w:val="12"/>
    <w:link w:val="5"/>
    <w:autoRedefine/>
    <w:qFormat/>
    <w:uiPriority w:val="0"/>
    <w:rPr>
      <w:rFonts w:ascii="宋体" w:hAnsi="宋体"/>
      <w:sz w:val="18"/>
      <w:szCs w:val="18"/>
    </w:rPr>
  </w:style>
  <w:style w:type="paragraph" w:customStyle="1" w:styleId="19">
    <w:name w:val="List Paragraph"/>
    <w:basedOn w:val="1"/>
    <w:autoRedefine/>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3935</Words>
  <Characters>22430</Characters>
  <Lines>186</Lines>
  <Paragraphs>52</Paragraphs>
  <TotalTime>4</TotalTime>
  <ScaleCrop>false</ScaleCrop>
  <LinksUpToDate>false</LinksUpToDate>
  <CharactersWithSpaces>26313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Administrator</cp:lastModifiedBy>
  <dcterms:modified xsi:type="dcterms:W3CDTF">2025-11-05T17:27:53Z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D8B5F411C4984485A2B15272DDF7EC4B_13</vt:lpwstr>
  </property>
</Properties>
</file>