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596" w:lineRule="exact"/>
        <w:ind w:firstLine="720" w:firstLineChars="200"/>
        <w:jc w:val="center"/>
        <w:rPr>
          <w:rFonts w:ascii="方正小标宋_GBK" w:hAnsi="方正小标宋_GBK" w:eastAsia="方正小标宋_GBK" w:cs="方正小标宋_GBK"/>
          <w:sz w:val="36"/>
          <w:szCs w:val="36"/>
        </w:rPr>
      </w:pPr>
    </w:p>
    <w:p>
      <w:pPr>
        <w:pStyle w:val="6"/>
        <w:spacing w:before="0" w:beforeAutospacing="0" w:after="0" w:afterAutospacing="0" w:line="596" w:lineRule="exact"/>
        <w:jc w:val="cente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重庆市城口县公安局（本级）</w:t>
      </w:r>
    </w:p>
    <w:p>
      <w:pPr>
        <w:pStyle w:val="6"/>
        <w:spacing w:before="0" w:beforeAutospacing="0" w:after="0" w:afterAutospacing="0" w:line="596" w:lineRule="exact"/>
        <w:jc w:val="center"/>
        <w:rPr>
          <w:rFonts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6"/>
        <w:shd w:val="clear" w:color="auto" w:fill="FFFFFF"/>
        <w:spacing w:before="0" w:beforeAutospacing="0" w:after="0" w:afterAutospacing="0" w:line="600" w:lineRule="exact"/>
        <w:ind w:firstLine="630" w:firstLineChars="196"/>
        <w:rPr>
          <w:rFonts w:ascii="黑体" w:hAnsi="黑体" w:eastAsia="黑体" w:cs="黑体"/>
          <w:sz w:val="32"/>
          <w:szCs w:val="32"/>
        </w:rPr>
      </w:pPr>
      <w:r>
        <w:rPr>
          <w:rStyle w:val="10"/>
          <w:rFonts w:ascii="黑体" w:hAnsi="黑体" w:eastAsia="黑体" w:cs="黑体"/>
          <w:sz w:val="32"/>
          <w:szCs w:val="32"/>
          <w:shd w:val="clear" w:color="auto" w:fill="FFFFFF"/>
        </w:rPr>
        <w:t>一、部门基本情况</w:t>
      </w:r>
    </w:p>
    <w:p>
      <w:pPr>
        <w:pStyle w:val="6"/>
        <w:shd w:val="clear" w:color="auto" w:fill="FFFFFF"/>
        <w:spacing w:before="0" w:beforeAutospacing="0" w:after="0" w:afterAutospacing="0" w:line="600" w:lineRule="exact"/>
        <w:ind w:firstLine="578" w:firstLineChars="180"/>
        <w:rPr>
          <w:rFonts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（一）职能职责</w:t>
      </w:r>
    </w:p>
    <w:p>
      <w:pPr>
        <w:spacing w:line="600" w:lineRule="exact"/>
        <w:ind w:firstLine="648"/>
        <w:rPr>
          <w:rFonts w:ascii="方正仿宋_GBK" w:eastAsia="方正仿宋_GBK"/>
          <w:sz w:val="32"/>
          <w:szCs w:val="32"/>
        </w:rPr>
      </w:pPr>
      <w:r>
        <w:rPr>
          <w:rFonts w:eastAsia="方正仿宋_GBK"/>
          <w:sz w:val="32"/>
          <w:szCs w:val="32"/>
        </w:rPr>
        <w:t xml:space="preserve">1. </w:t>
      </w:r>
      <w:r>
        <w:rPr>
          <w:rFonts w:ascii="方正仿宋_GBK" w:eastAsia="方正仿宋_GBK"/>
          <w:sz w:val="32"/>
          <w:szCs w:val="32"/>
        </w:rPr>
        <w:t>贯彻执行党中央、国务院、市委、市政府及县委、县政府和市公安机关有关公安工作的方针、政策及法规，研究制订本县公安工作的规章、制度和措施，部署全县公安工作。</w:t>
      </w:r>
      <w:r>
        <w:rPr>
          <w:rFonts w:eastAsia="方正仿宋_GBK"/>
          <w:sz w:val="32"/>
          <w:szCs w:val="32"/>
        </w:rPr>
        <w:t xml:space="preserve">2. </w:t>
      </w:r>
      <w:r>
        <w:rPr>
          <w:rFonts w:ascii="方正仿宋_GBK" w:eastAsia="方正仿宋_GBK"/>
          <w:sz w:val="32"/>
          <w:szCs w:val="32"/>
        </w:rPr>
        <w:t>研究本县在改革开放和建立社会主义市场经济体制中公安工作出现的新情况和新问题，动态掌握信息，分析判断敌情、政情和社会治安方面的重要情况，及时为县委、县政府和市公安局提供信息并提出建议。</w:t>
      </w:r>
      <w:r>
        <w:rPr>
          <w:rFonts w:eastAsia="方正仿宋_GBK"/>
          <w:sz w:val="32"/>
          <w:szCs w:val="32"/>
        </w:rPr>
        <w:t xml:space="preserve">3. </w:t>
      </w:r>
      <w:r>
        <w:rPr>
          <w:rFonts w:ascii="方正仿宋_GBK" w:eastAsia="方正仿宋_GBK"/>
          <w:sz w:val="32"/>
          <w:szCs w:val="32"/>
        </w:rPr>
        <w:t>负责本县辖区内危害国家安全和刑事犯罪案件的侦查工作，处置严重危害社会安定的聚众闹事、骚乱事件和治安案件；查处《中华人民共和国刑法》规定由公安机关侦查的经济犯罪案件。</w:t>
      </w:r>
      <w:r>
        <w:rPr>
          <w:rFonts w:eastAsia="方正仿宋_GBK"/>
          <w:sz w:val="32"/>
          <w:szCs w:val="32"/>
        </w:rPr>
        <w:t xml:space="preserve">4. </w:t>
      </w:r>
      <w:r>
        <w:rPr>
          <w:rFonts w:ascii="方正仿宋_GBK" w:eastAsia="方正仿宋_GBK"/>
          <w:sz w:val="32"/>
          <w:szCs w:val="32"/>
        </w:rPr>
        <w:t>负责全县道路交通安全，维护交通秩序，查处交通事故，开展交通安全宣传，管理机动车和驾驶员。</w:t>
      </w:r>
      <w:r>
        <w:rPr>
          <w:rFonts w:eastAsia="方正仿宋_GBK"/>
          <w:sz w:val="32"/>
          <w:szCs w:val="32"/>
        </w:rPr>
        <w:t xml:space="preserve">5. </w:t>
      </w:r>
      <w:r>
        <w:rPr>
          <w:rFonts w:ascii="方正仿宋_GBK" w:eastAsia="方正仿宋_GBK"/>
          <w:sz w:val="32"/>
          <w:szCs w:val="32"/>
        </w:rPr>
        <w:t>负责社会治安管理，依法对户籍、居民身份证、出入境证件、特种行业、文化娱乐服务场所、枪支弹药、管制刀具、民用爆炸物品、剧毒物品、放射性同位素等进行日常管理。</w:t>
      </w:r>
      <w:r>
        <w:rPr>
          <w:rFonts w:eastAsia="方正仿宋_GBK"/>
          <w:sz w:val="32"/>
          <w:szCs w:val="32"/>
        </w:rPr>
        <w:t xml:space="preserve">6. </w:t>
      </w:r>
      <w:r>
        <w:rPr>
          <w:rFonts w:ascii="方正仿宋_GBK" w:eastAsia="方正仿宋_GBK"/>
          <w:sz w:val="32"/>
          <w:szCs w:val="32"/>
        </w:rPr>
        <w:t>指导和监督机关、社会团体、企事业单位和重点工程的治安保卫工作；指导机关、社会团体、企事业单位保卫组织和基层治保会的建设和业务培训，推动全县治安群</w:t>
      </w:r>
      <w:r>
        <w:rPr>
          <w:rFonts w:eastAsia="方正仿宋_GBK"/>
          <w:sz w:val="32"/>
          <w:szCs w:val="32"/>
        </w:rPr>
        <w:t xml:space="preserve"> </w:t>
      </w:r>
      <w:r>
        <w:rPr>
          <w:rFonts w:ascii="方正仿宋_GBK" w:eastAsia="方正仿宋_GBK"/>
          <w:sz w:val="32"/>
          <w:szCs w:val="32"/>
        </w:rPr>
        <w:t>防群治工作的开展。</w:t>
      </w:r>
      <w:r>
        <w:rPr>
          <w:rFonts w:eastAsia="方正仿宋_GBK"/>
          <w:sz w:val="32"/>
          <w:szCs w:val="32"/>
        </w:rPr>
        <w:t xml:space="preserve">7. </w:t>
      </w:r>
      <w:r>
        <w:rPr>
          <w:rFonts w:ascii="方正仿宋_GBK" w:eastAsia="方正仿宋_GBK"/>
          <w:sz w:val="32"/>
          <w:szCs w:val="32"/>
        </w:rPr>
        <w:t>指导全县消防监督、火灾预防和消防安全宣传工作，对易燃易爆物品的消防安全依法进行监督管理。</w:t>
      </w:r>
      <w:r>
        <w:rPr>
          <w:rFonts w:eastAsia="方正仿宋_GBK"/>
          <w:sz w:val="32"/>
          <w:szCs w:val="32"/>
        </w:rPr>
        <w:t xml:space="preserve">8. </w:t>
      </w:r>
      <w:r>
        <w:rPr>
          <w:rFonts w:ascii="方正仿宋_GBK" w:eastAsia="方正仿宋_GBK"/>
          <w:sz w:val="32"/>
          <w:szCs w:val="32"/>
        </w:rPr>
        <w:t>负责全县计算机公共网络系统的安全监察管理和公安无线通讯工作。</w:t>
      </w:r>
      <w:r>
        <w:rPr>
          <w:rFonts w:eastAsia="方正仿宋_GBK"/>
          <w:sz w:val="32"/>
          <w:szCs w:val="32"/>
        </w:rPr>
        <w:t xml:space="preserve">9. </w:t>
      </w:r>
      <w:r>
        <w:rPr>
          <w:rFonts w:ascii="方正仿宋_GBK" w:eastAsia="方正仿宋_GBK"/>
          <w:sz w:val="32"/>
          <w:szCs w:val="32"/>
        </w:rPr>
        <w:t>负责在本县辖区范围的重要领导、外宾以及其他警卫目标的安全保卫工作。</w:t>
      </w:r>
      <w:r>
        <w:rPr>
          <w:rFonts w:eastAsia="方正仿宋_GBK"/>
          <w:sz w:val="32"/>
          <w:szCs w:val="32"/>
        </w:rPr>
        <w:t xml:space="preserve">10. </w:t>
      </w:r>
      <w:r>
        <w:rPr>
          <w:rFonts w:ascii="方正仿宋_GBK" w:eastAsia="方正仿宋_GBK"/>
          <w:sz w:val="32"/>
          <w:szCs w:val="32"/>
        </w:rPr>
        <w:t>负责全县公安队伍的正规化建设，组织实施公安民警教育训练和宣传工作，研究制订全县公安队伍监督管理规章制度。</w:t>
      </w:r>
      <w:r>
        <w:rPr>
          <w:rFonts w:eastAsia="方正仿宋_GBK"/>
          <w:sz w:val="32"/>
          <w:szCs w:val="32"/>
        </w:rPr>
        <w:t xml:space="preserve">11. </w:t>
      </w:r>
      <w:r>
        <w:rPr>
          <w:rFonts w:ascii="方正仿宋_GBK" w:eastAsia="方正仿宋_GBK"/>
          <w:sz w:val="32"/>
          <w:szCs w:val="32"/>
        </w:rPr>
        <w:t>负责法律规定范围内的行政复议、行政诉讼和国家赔偿案件。</w:t>
      </w:r>
      <w:r>
        <w:rPr>
          <w:rFonts w:eastAsia="方正仿宋_GBK"/>
          <w:sz w:val="32"/>
          <w:szCs w:val="32"/>
        </w:rPr>
        <w:t xml:space="preserve">12. </w:t>
      </w:r>
      <w:r>
        <w:rPr>
          <w:rFonts w:ascii="方正仿宋_GBK" w:eastAsia="方正仿宋_GBK"/>
          <w:sz w:val="32"/>
          <w:szCs w:val="32"/>
        </w:rPr>
        <w:t>负责公安装备现代化建设，为各项公安工作提供有力的后勤保障。</w:t>
      </w:r>
      <w:r>
        <w:rPr>
          <w:rFonts w:eastAsia="方正仿宋_GBK"/>
          <w:sz w:val="32"/>
          <w:szCs w:val="32"/>
        </w:rPr>
        <w:t xml:space="preserve">13. </w:t>
      </w:r>
      <w:r>
        <w:rPr>
          <w:rFonts w:ascii="方正仿宋_GBK" w:eastAsia="方正仿宋_GBK"/>
          <w:sz w:val="32"/>
          <w:szCs w:val="32"/>
        </w:rPr>
        <w:t>负责看守所、拘留所和强制戒毒所的管理工作，对全县被判管制、拘役、剥夺政治权利的罪犯和监外执行的罪犯执行刑罚，对被宣告缓刑、假释的罪犯实行监督、考察。</w:t>
      </w:r>
      <w:r>
        <w:rPr>
          <w:rFonts w:eastAsia="方正仿宋_GBK"/>
          <w:sz w:val="32"/>
          <w:szCs w:val="32"/>
        </w:rPr>
        <w:t xml:space="preserve">14. </w:t>
      </w:r>
      <w:r>
        <w:rPr>
          <w:rFonts w:ascii="方正仿宋_GBK" w:eastAsia="方正仿宋_GBK"/>
          <w:sz w:val="32"/>
          <w:szCs w:val="32"/>
        </w:rPr>
        <w:t>负责公安科技工作，开展公安信息技术和刑事技术建设。</w:t>
      </w:r>
      <w:r>
        <w:rPr>
          <w:rFonts w:eastAsia="方正仿宋_GBK"/>
          <w:sz w:val="32"/>
          <w:szCs w:val="32"/>
        </w:rPr>
        <w:t xml:space="preserve">15. </w:t>
      </w:r>
      <w:r>
        <w:rPr>
          <w:rFonts w:ascii="方正仿宋_GBK" w:eastAsia="方正仿宋_GBK"/>
          <w:sz w:val="32"/>
          <w:szCs w:val="32"/>
        </w:rPr>
        <w:t>承办县政府和上级交办的其他事项。</w:t>
      </w:r>
    </w:p>
    <w:p>
      <w:pPr>
        <w:pStyle w:val="6"/>
        <w:shd w:val="clear" w:color="auto" w:fill="FFFFFF"/>
        <w:spacing w:before="0" w:beforeAutospacing="0" w:after="0" w:afterAutospacing="0" w:line="600" w:lineRule="exact"/>
        <w:ind w:firstLine="472" w:firstLineChars="147"/>
        <w:rPr>
          <w:rStyle w:val="10"/>
          <w:rFonts w:ascii="楷体" w:hAnsi="楷体" w:eastAsia="楷体" w:cs="楷体"/>
          <w:sz w:val="32"/>
          <w:szCs w:val="32"/>
          <w:shd w:val="clear" w:color="auto" w:fill="FFFFFF"/>
        </w:rPr>
      </w:pPr>
      <w:r>
        <w:rPr>
          <w:rStyle w:val="10"/>
          <w:rFonts w:ascii="楷体" w:hAnsi="楷体" w:eastAsia="楷体" w:cs="楷体"/>
          <w:sz w:val="32"/>
          <w:szCs w:val="32"/>
          <w:shd w:val="clear" w:color="auto" w:fill="FFFFFF"/>
        </w:rPr>
        <w:t>（二）机构设置</w:t>
      </w:r>
    </w:p>
    <w:p>
      <w:pPr>
        <w:spacing w:line="600" w:lineRule="exact"/>
        <w:ind w:firstLine="640" w:firstLineChars="200"/>
        <w:rPr>
          <w:rFonts w:ascii="方正仿宋_GBK" w:eastAsia="方正仿宋_GBK"/>
          <w:color w:val="000000" w:themeColor="text1"/>
          <w:sz w:val="32"/>
          <w:szCs w:val="32"/>
        </w:rPr>
      </w:pPr>
      <w:r>
        <w:rPr>
          <w:rFonts w:ascii="方正仿宋_GBK" w:eastAsia="方正仿宋_GBK"/>
          <w:color w:val="000000" w:themeColor="text1"/>
          <w:sz w:val="32"/>
          <w:szCs w:val="32"/>
        </w:rPr>
        <w:t>城口县公安局是财政全额拨款的行政机关单位，现内设</w:t>
      </w:r>
      <w:r>
        <w:rPr>
          <w:rFonts w:eastAsia="方正仿宋_GBK"/>
          <w:color w:val="000000" w:themeColor="text1"/>
          <w:sz w:val="32"/>
          <w:szCs w:val="32"/>
        </w:rPr>
        <w:t>15</w:t>
      </w:r>
      <w:r>
        <w:rPr>
          <w:rFonts w:ascii="方正仿宋_GBK" w:eastAsia="方正仿宋_GBK"/>
          <w:color w:val="000000" w:themeColor="text1"/>
          <w:sz w:val="32"/>
          <w:szCs w:val="32"/>
        </w:rPr>
        <w:t>个职能科室，2个直属机构，</w:t>
      </w:r>
      <w:r>
        <w:rPr>
          <w:rFonts w:eastAsia="方正仿宋_GBK"/>
          <w:color w:val="000000" w:themeColor="text1"/>
          <w:sz w:val="32"/>
          <w:szCs w:val="32"/>
        </w:rPr>
        <w:t>14</w:t>
      </w:r>
      <w:r>
        <w:rPr>
          <w:rFonts w:ascii="方正仿宋_GBK" w:eastAsia="方正仿宋_GBK"/>
          <w:color w:val="000000" w:themeColor="text1"/>
          <w:sz w:val="32"/>
          <w:szCs w:val="32"/>
        </w:rPr>
        <w:t>个派出机构。</w:t>
      </w:r>
    </w:p>
    <w:p>
      <w:pPr>
        <w:pStyle w:val="6"/>
        <w:shd w:val="clear" w:color="auto" w:fill="FFFFFF"/>
        <w:spacing w:before="0" w:beforeAutospacing="0" w:after="0" w:afterAutospacing="0" w:line="600" w:lineRule="exact"/>
        <w:rPr>
          <w:rStyle w:val="10"/>
          <w:rFonts w:ascii="黑体" w:hAnsi="黑体" w:eastAsia="黑体" w:cs="黑体"/>
          <w:sz w:val="32"/>
          <w:szCs w:val="32"/>
          <w:shd w:val="clear" w:color="auto" w:fill="FFFFFF"/>
        </w:rPr>
      </w:pPr>
      <w:r>
        <w:rPr>
          <w:rStyle w:val="10"/>
          <w:rFonts w:ascii="黑体" w:hAnsi="黑体" w:eastAsia="黑体" w:cs="黑体"/>
          <w:sz w:val="32"/>
          <w:szCs w:val="32"/>
          <w:shd w:val="clear" w:color="auto" w:fill="FFFFFF"/>
        </w:rPr>
        <w:t xml:space="preserve">    二、部门决算情况说明</w:t>
      </w:r>
    </w:p>
    <w:p>
      <w:pPr>
        <w:pStyle w:val="11"/>
        <w:autoSpaceDE w:val="0"/>
        <w:spacing w:line="600" w:lineRule="exact"/>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pPr>
        <w:pStyle w:val="6"/>
        <w:shd w:val="clear" w:color="auto" w:fill="FFFFFF"/>
        <w:spacing w:before="0" w:beforeAutospacing="0" w:after="0" w:afterAutospacing="0" w:line="600" w:lineRule="exact"/>
        <w:ind w:firstLine="643" w:firstLineChars="200"/>
        <w:rPr>
          <w:rFonts w:ascii="方正仿宋_GBK" w:hAnsi="方正仿宋_GBK" w:eastAsia="方正仿宋_GBK" w:cs="方正仿宋_GBK"/>
          <w:color w:val="000000" w:themeColor="text1"/>
          <w:sz w:val="32"/>
          <w:szCs w:val="32"/>
        </w:rPr>
      </w:pPr>
      <w:r>
        <w:rPr>
          <w:rStyle w:val="10"/>
          <w:rFonts w:ascii="方正仿宋_GBK" w:hAnsi="方正仿宋_GBK" w:eastAsia="方正仿宋_GBK" w:cs="方正仿宋_GBK"/>
          <w:sz w:val="32"/>
          <w:szCs w:val="32"/>
          <w:shd w:val="clear" w:color="auto" w:fill="FFFFFF"/>
        </w:rPr>
        <w:t>1.总体情况。</w:t>
      </w:r>
      <w:r>
        <w:rPr>
          <w:rFonts w:ascii="方正仿宋_GBK" w:hAnsi="方正仿宋_GBK" w:eastAsia="方正仿宋_GBK" w:cs="方正仿宋_GBK"/>
          <w:sz w:val="32"/>
          <w:szCs w:val="32"/>
          <w:shd w:val="clear" w:color="auto" w:fill="FFFFFF"/>
        </w:rPr>
        <w:t>2024年度收入总计12192.07万元，支出总计</w:t>
      </w:r>
      <w:r>
        <w:rPr>
          <w:rFonts w:ascii="方正仿宋_GBK" w:hAnsi="方正仿宋_GBK" w:eastAsia="方正仿宋_GBK" w:cs="方正仿宋_GBK"/>
          <w:sz w:val="32"/>
          <w:szCs w:val="32"/>
        </w:rPr>
        <w:t>12192.07</w:t>
      </w:r>
      <w:r>
        <w:rPr>
          <w:rFonts w:ascii="方正仿宋_GBK" w:hAnsi="方正仿宋_GBK" w:eastAsia="方正仿宋_GBK" w:cs="方正仿宋_GBK"/>
          <w:sz w:val="32"/>
          <w:szCs w:val="32"/>
          <w:shd w:val="clear" w:color="auto" w:fill="FFFFFF"/>
        </w:rPr>
        <w:t>万元。收支较上年决算数增加198.81万元，增长1.66%，</w:t>
      </w:r>
      <w:r>
        <w:rPr>
          <w:rFonts w:ascii="方正仿宋_GBK" w:hAnsi="方正仿宋_GBK" w:eastAsia="方正仿宋_GBK" w:cs="方正仿宋_GBK"/>
          <w:color w:val="000000" w:themeColor="text1"/>
          <w:sz w:val="32"/>
          <w:szCs w:val="32"/>
          <w:shd w:val="clear" w:color="auto" w:fill="FFFFFF"/>
        </w:rPr>
        <w:t>主要原因是人员职级职务晋升导致的人员经费增加。</w:t>
      </w:r>
    </w:p>
    <w:p>
      <w:pPr>
        <w:pStyle w:val="6"/>
        <w:shd w:val="clear" w:color="auto" w:fill="FFFFFF"/>
        <w:spacing w:before="0" w:beforeAutospacing="0" w:after="0" w:afterAutospacing="0" w:line="600" w:lineRule="exact"/>
        <w:ind w:firstLine="643" w:firstLineChars="200"/>
        <w:rPr>
          <w:rFonts w:ascii="方正仿宋_GBK" w:hAnsi="方正仿宋_GBK" w:eastAsia="方正仿宋_GBK" w:cs="方正仿宋_GBK"/>
          <w:color w:val="000000" w:themeColor="text1"/>
          <w:sz w:val="32"/>
          <w:szCs w:val="32"/>
        </w:rPr>
      </w:pPr>
      <w:r>
        <w:rPr>
          <w:rStyle w:val="10"/>
          <w:rFonts w:ascii="方正仿宋_GBK" w:hAnsi="方正仿宋_GBK" w:eastAsia="方正仿宋_GBK" w:cs="方正仿宋_GBK"/>
          <w:color w:val="000000" w:themeColor="text1"/>
          <w:sz w:val="32"/>
          <w:szCs w:val="32"/>
          <w:shd w:val="clear" w:color="auto" w:fill="FFFFFF"/>
        </w:rPr>
        <w:t>2.收入情况。</w:t>
      </w:r>
      <w:r>
        <w:rPr>
          <w:rFonts w:ascii="方正仿宋_GBK" w:hAnsi="方正仿宋_GBK" w:eastAsia="方正仿宋_GBK" w:cs="方正仿宋_GBK"/>
          <w:color w:val="000000" w:themeColor="text1"/>
          <w:sz w:val="32"/>
          <w:szCs w:val="32"/>
          <w:shd w:val="clear" w:color="auto" w:fill="FFFFFF"/>
        </w:rPr>
        <w:t>2024年度收入合计</w:t>
      </w:r>
      <w:r>
        <w:rPr>
          <w:rFonts w:ascii="方正仿宋_GBK" w:hAnsi="方正仿宋_GBK" w:eastAsia="方正仿宋_GBK" w:cs="方正仿宋_GBK"/>
          <w:color w:val="000000" w:themeColor="text1"/>
          <w:sz w:val="32"/>
          <w:szCs w:val="32"/>
        </w:rPr>
        <w:t>12192.07</w:t>
      </w:r>
      <w:r>
        <w:rPr>
          <w:rFonts w:ascii="方正仿宋_GBK" w:hAnsi="方正仿宋_GBK" w:eastAsia="方正仿宋_GBK" w:cs="方正仿宋_GBK"/>
          <w:color w:val="000000" w:themeColor="text1"/>
          <w:sz w:val="32"/>
          <w:szCs w:val="32"/>
          <w:shd w:val="clear" w:color="auto" w:fill="FFFFFF"/>
        </w:rPr>
        <w:t xml:space="preserve">万元，较上年决算数增加198.81万元，增长1.66%，主要原因是人员职级职务晋升导致的人员经费增加。均为财政拨款收入，合计 </w:t>
      </w:r>
      <w:r>
        <w:rPr>
          <w:rFonts w:ascii="方正仿宋_GBK" w:hAnsi="方正仿宋_GBK" w:eastAsia="方正仿宋_GBK" w:cs="方正仿宋_GBK"/>
          <w:color w:val="000000" w:themeColor="text1"/>
          <w:sz w:val="32"/>
          <w:szCs w:val="32"/>
        </w:rPr>
        <w:t>12192.07</w:t>
      </w:r>
      <w:r>
        <w:rPr>
          <w:rFonts w:ascii="方正仿宋_GBK" w:hAnsi="方正仿宋_GBK" w:eastAsia="方正仿宋_GBK" w:cs="方正仿宋_GBK"/>
          <w:color w:val="000000" w:themeColor="text1"/>
          <w:sz w:val="32"/>
          <w:szCs w:val="32"/>
          <w:shd w:val="clear" w:color="auto" w:fill="FFFFFF"/>
        </w:rPr>
        <w:t>万元，占比</w:t>
      </w:r>
      <w:r>
        <w:rPr>
          <w:rFonts w:ascii="方正仿宋_GBK" w:hAnsi="方正仿宋_GBK" w:eastAsia="方正仿宋_GBK" w:cs="方正仿宋_GBK"/>
          <w:color w:val="000000" w:themeColor="text1"/>
          <w:sz w:val="32"/>
          <w:szCs w:val="32"/>
        </w:rPr>
        <w:t>100</w:t>
      </w:r>
      <w:r>
        <w:rPr>
          <w:rFonts w:ascii="方正仿宋_GBK" w:hAnsi="方正仿宋_GBK" w:eastAsia="方正仿宋_GBK" w:cs="方正仿宋_GBK"/>
          <w:color w:val="000000" w:themeColor="text1"/>
          <w:sz w:val="32"/>
          <w:szCs w:val="32"/>
          <w:shd w:val="clear" w:color="auto" w:fill="FFFFFF"/>
        </w:rPr>
        <w:t>%。此外，使用非财政拨款结余和专用结余</w:t>
      </w:r>
      <w:r>
        <w:rPr>
          <w:rFonts w:ascii="方正仿宋_GBK" w:hAnsi="方正仿宋_GBK" w:eastAsia="方正仿宋_GBK" w:cs="方正仿宋_GBK"/>
          <w:color w:val="000000" w:themeColor="text1"/>
          <w:sz w:val="32"/>
          <w:szCs w:val="32"/>
        </w:rPr>
        <w:t>0.00</w:t>
      </w:r>
      <w:r>
        <w:rPr>
          <w:rFonts w:ascii="方正仿宋_GBK" w:hAnsi="方正仿宋_GBK" w:eastAsia="方正仿宋_GBK" w:cs="方正仿宋_GBK"/>
          <w:color w:val="000000" w:themeColor="text1"/>
          <w:sz w:val="32"/>
          <w:szCs w:val="32"/>
          <w:shd w:val="clear" w:color="auto" w:fill="FFFFFF"/>
        </w:rPr>
        <w:t>万元，年初结转和结余</w:t>
      </w:r>
      <w:r>
        <w:rPr>
          <w:rFonts w:ascii="方正仿宋_GBK" w:hAnsi="方正仿宋_GBK" w:eastAsia="方正仿宋_GBK" w:cs="方正仿宋_GBK"/>
          <w:color w:val="000000" w:themeColor="text1"/>
          <w:sz w:val="32"/>
          <w:szCs w:val="32"/>
        </w:rPr>
        <w:t>0.00</w:t>
      </w:r>
      <w:r>
        <w:rPr>
          <w:rFonts w:ascii="方正仿宋_GBK" w:hAnsi="方正仿宋_GBK" w:eastAsia="方正仿宋_GBK" w:cs="方正仿宋_GBK"/>
          <w:color w:val="000000" w:themeColor="text1"/>
          <w:sz w:val="32"/>
          <w:szCs w:val="32"/>
          <w:shd w:val="clear" w:color="auto" w:fill="FFFFFF"/>
        </w:rPr>
        <w:t>万元。</w:t>
      </w:r>
    </w:p>
    <w:p>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color w:val="000000" w:themeColor="text1"/>
          <w:sz w:val="32"/>
          <w:szCs w:val="32"/>
          <w:shd w:val="clear" w:color="auto" w:fill="FFFFFF"/>
        </w:rPr>
        <w:t>3.支出情况。</w:t>
      </w:r>
      <w:r>
        <w:rPr>
          <w:rFonts w:ascii="方正仿宋_GBK" w:hAnsi="方正仿宋_GBK" w:eastAsia="方正仿宋_GBK" w:cs="方正仿宋_GBK"/>
          <w:color w:val="000000" w:themeColor="text1"/>
          <w:sz w:val="32"/>
          <w:szCs w:val="32"/>
          <w:shd w:val="clear" w:color="auto" w:fill="FFFFFF"/>
        </w:rPr>
        <w:t>2024年度支出合计</w:t>
      </w:r>
      <w:r>
        <w:rPr>
          <w:rFonts w:ascii="方正仿宋_GBK" w:hAnsi="方正仿宋_GBK" w:eastAsia="方正仿宋_GBK" w:cs="方正仿宋_GBK"/>
          <w:color w:val="000000" w:themeColor="text1"/>
          <w:sz w:val="32"/>
          <w:szCs w:val="32"/>
        </w:rPr>
        <w:t>12192.07</w:t>
      </w:r>
      <w:r>
        <w:rPr>
          <w:rFonts w:ascii="方正仿宋_GBK" w:hAnsi="方正仿宋_GBK" w:eastAsia="方正仿宋_GBK" w:cs="方正仿宋_GBK"/>
          <w:color w:val="000000" w:themeColor="text1"/>
          <w:sz w:val="32"/>
          <w:szCs w:val="32"/>
          <w:shd w:val="clear" w:color="auto" w:fill="FFFFFF"/>
        </w:rPr>
        <w:t>万元，较上年决算数增加198.81万元，增长1.66%，主要原因是人员职级职务晋升导致的人员经费增加。</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8135.75</w:t>
      </w:r>
      <w:r>
        <w:rPr>
          <w:rFonts w:ascii="方正仿宋_GBK" w:hAnsi="方正仿宋_GBK" w:eastAsia="方正仿宋_GBK" w:cs="方正仿宋_GBK"/>
          <w:sz w:val="32"/>
          <w:szCs w:val="32"/>
          <w:shd w:val="clear" w:color="auto" w:fill="FFFFFF"/>
        </w:rPr>
        <w:t>万元，占66.73%；项目支出</w:t>
      </w:r>
      <w:r>
        <w:rPr>
          <w:rFonts w:ascii="方正仿宋_GBK" w:hAnsi="方正仿宋_GBK" w:eastAsia="方正仿宋_GBK" w:cs="方正仿宋_GBK"/>
          <w:sz w:val="32"/>
          <w:szCs w:val="32"/>
        </w:rPr>
        <w:t>4056.32</w:t>
      </w:r>
      <w:r>
        <w:rPr>
          <w:rFonts w:ascii="方正仿宋_GBK" w:hAnsi="方正仿宋_GBK" w:eastAsia="方正仿宋_GBK" w:cs="方正仿宋_GBK"/>
          <w:sz w:val="32"/>
          <w:szCs w:val="32"/>
          <w:shd w:val="clear" w:color="auto" w:fill="FFFFFF"/>
        </w:rPr>
        <w:t>万元，占33.27%；经营支出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4.结转结余情况。</w:t>
      </w:r>
      <w:r>
        <w:rPr>
          <w:rFonts w:ascii="方正仿宋_GBK" w:hAnsi="方正仿宋_GBK" w:eastAsia="方正仿宋_GBK" w:cs="方正仿宋_GBK"/>
          <w:sz w:val="32"/>
          <w:szCs w:val="32"/>
          <w:shd w:val="clear" w:color="auto" w:fill="FFFFFF"/>
        </w:rPr>
        <w:t>2024年度年末结转和结余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万元，主要原因是资金全部使用，无结转结余。</w:t>
      </w:r>
    </w:p>
    <w:p>
      <w:pPr>
        <w:pStyle w:val="11"/>
        <w:autoSpaceDE w:val="0"/>
        <w:spacing w:line="600" w:lineRule="exact"/>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2024年度财政拨款收、支总计均为</w:t>
      </w:r>
      <w:r>
        <w:rPr>
          <w:rFonts w:ascii="方正仿宋_GBK" w:hAnsi="方正仿宋_GBK" w:eastAsia="方正仿宋_GBK" w:cs="方正仿宋_GBK"/>
          <w:color w:val="000000" w:themeColor="text1"/>
          <w:sz w:val="32"/>
          <w:szCs w:val="32"/>
        </w:rPr>
        <w:t>12192.07</w:t>
      </w:r>
      <w:r>
        <w:rPr>
          <w:rFonts w:ascii="方正仿宋_GBK" w:hAnsi="方正仿宋_GBK" w:eastAsia="方正仿宋_GBK" w:cs="方正仿宋_GBK"/>
          <w:sz w:val="32"/>
          <w:szCs w:val="32"/>
          <w:shd w:val="clear" w:color="auto" w:fill="FFFFFF"/>
        </w:rPr>
        <w:t>万元。与2023年相比，财政拨款收、支总计各增加198.81万元，增长1.66%。主要原因是人员职级职务晋升工资支出增加。</w:t>
      </w:r>
    </w:p>
    <w:p>
      <w:pPr>
        <w:pStyle w:val="11"/>
        <w:autoSpaceDE w:val="0"/>
        <w:spacing w:line="600" w:lineRule="exact"/>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color w:val="000000" w:themeColor="text1"/>
          <w:sz w:val="32"/>
          <w:szCs w:val="32"/>
        </w:rPr>
      </w:pPr>
      <w:r>
        <w:rPr>
          <w:rStyle w:val="10"/>
          <w:rFonts w:ascii="方正仿宋_GBK" w:hAnsi="方正仿宋_GBK" w:eastAsia="方正仿宋_GBK" w:cs="方正仿宋_GBK"/>
          <w:color w:val="000000" w:themeColor="text1"/>
          <w:sz w:val="32"/>
          <w:szCs w:val="32"/>
          <w:shd w:val="clear" w:color="auto" w:fill="FFFFFF"/>
        </w:rPr>
        <w:t>1.收入情况。</w:t>
      </w:r>
      <w:r>
        <w:rPr>
          <w:rFonts w:ascii="方正仿宋_GBK" w:hAnsi="方正仿宋_GBK" w:eastAsia="方正仿宋_GBK" w:cs="方正仿宋_GBK"/>
          <w:color w:val="000000" w:themeColor="text1"/>
          <w:sz w:val="32"/>
          <w:szCs w:val="32"/>
          <w:shd w:val="clear" w:color="auto" w:fill="FFFFFF"/>
        </w:rPr>
        <w:t>2024年度一般公共预算财政拨款收入</w:t>
      </w:r>
      <w:bookmarkStart w:id="0" w:name="_Hlk213690045"/>
      <w:r>
        <w:rPr>
          <w:rFonts w:ascii="方正仿宋_GBK" w:hAnsi="方正仿宋_GBK" w:eastAsia="方正仿宋_GBK" w:cs="方正仿宋_GBK"/>
          <w:color w:val="000000" w:themeColor="text1"/>
          <w:sz w:val="32"/>
          <w:szCs w:val="32"/>
        </w:rPr>
        <w:t>12192.07</w:t>
      </w:r>
      <w:bookmarkEnd w:id="0"/>
      <w:r>
        <w:rPr>
          <w:rFonts w:ascii="方正仿宋_GBK" w:hAnsi="方正仿宋_GBK" w:eastAsia="方正仿宋_GBK" w:cs="方正仿宋_GBK"/>
          <w:color w:val="000000" w:themeColor="text1"/>
          <w:sz w:val="32"/>
          <w:szCs w:val="32"/>
          <w:shd w:val="clear" w:color="auto" w:fill="FFFFFF"/>
        </w:rPr>
        <w:t>万元，较上年决算数增加198.81万元，增长1.66%。主要原因是人员工资变动及项目增加。较年初预算数增加697.36万元，增长6.07%。主要原因是执法办案项目支出增加。此外，年初财政拨款结转和结余</w:t>
      </w:r>
      <w:r>
        <w:rPr>
          <w:rFonts w:ascii="方正仿宋_GBK" w:hAnsi="方正仿宋_GBK" w:eastAsia="方正仿宋_GBK" w:cs="方正仿宋_GBK"/>
          <w:color w:val="000000" w:themeColor="text1"/>
          <w:sz w:val="32"/>
          <w:szCs w:val="32"/>
        </w:rPr>
        <w:t>0.00</w:t>
      </w:r>
      <w:r>
        <w:rPr>
          <w:rFonts w:ascii="方正仿宋_GBK" w:hAnsi="方正仿宋_GBK" w:eastAsia="方正仿宋_GBK" w:cs="方正仿宋_GBK"/>
          <w:color w:val="000000" w:themeColor="text1"/>
          <w:sz w:val="32"/>
          <w:szCs w:val="32"/>
          <w:shd w:val="clear" w:color="auto" w:fill="FFFFFF"/>
        </w:rPr>
        <w:t>万元。</w:t>
      </w:r>
    </w:p>
    <w:p>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color w:val="000000" w:themeColor="text1"/>
          <w:sz w:val="32"/>
          <w:szCs w:val="32"/>
        </w:rPr>
      </w:pPr>
      <w:r>
        <w:rPr>
          <w:rStyle w:val="10"/>
          <w:rFonts w:ascii="方正仿宋_GBK" w:hAnsi="方正仿宋_GBK" w:eastAsia="方正仿宋_GBK" w:cs="方正仿宋_GBK"/>
          <w:color w:val="000000" w:themeColor="text1"/>
          <w:sz w:val="32"/>
          <w:szCs w:val="32"/>
          <w:shd w:val="clear" w:color="auto" w:fill="FFFFFF"/>
        </w:rPr>
        <w:t>2.支出情况。</w:t>
      </w:r>
      <w:r>
        <w:rPr>
          <w:rFonts w:ascii="方正仿宋_GBK" w:hAnsi="方正仿宋_GBK" w:eastAsia="方正仿宋_GBK" w:cs="方正仿宋_GBK"/>
          <w:color w:val="000000" w:themeColor="text1"/>
          <w:sz w:val="32"/>
          <w:szCs w:val="32"/>
          <w:shd w:val="clear" w:color="auto" w:fill="FFFFFF"/>
        </w:rPr>
        <w:t>2024年度一般公共预算财政拨款支出</w:t>
      </w:r>
      <w:r>
        <w:rPr>
          <w:rFonts w:ascii="方正仿宋_GBK" w:hAnsi="方正仿宋_GBK" w:eastAsia="方正仿宋_GBK" w:cs="方正仿宋_GBK"/>
          <w:color w:val="000000" w:themeColor="text1"/>
          <w:sz w:val="32"/>
          <w:szCs w:val="32"/>
        </w:rPr>
        <w:t>12192.07</w:t>
      </w:r>
      <w:r>
        <w:rPr>
          <w:rFonts w:ascii="方正仿宋_GBK" w:hAnsi="方正仿宋_GBK" w:eastAsia="方正仿宋_GBK" w:cs="方正仿宋_GBK"/>
          <w:color w:val="000000" w:themeColor="text1"/>
          <w:sz w:val="32"/>
          <w:szCs w:val="32"/>
          <w:shd w:val="clear" w:color="auto" w:fill="FFFFFF"/>
        </w:rPr>
        <w:t>万元，较上年决算数增加198.81万元，增长1.66%。主要原因是人员工资变动。较年初预算数增加697.36万元，增长6.07%。主要原因是人员工资变动及项目增加。</w:t>
      </w:r>
    </w:p>
    <w:p>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sz w:val="32"/>
          <w:szCs w:val="32"/>
        </w:rPr>
      </w:pPr>
      <w:r>
        <w:rPr>
          <w:rStyle w:val="10"/>
          <w:rFonts w:ascii="方正仿宋_GBK" w:hAnsi="方正仿宋_GBK" w:eastAsia="方正仿宋_GBK" w:cs="方正仿宋_GBK"/>
          <w:color w:val="000000" w:themeColor="text1"/>
          <w:sz w:val="32"/>
          <w:szCs w:val="32"/>
          <w:shd w:val="clear" w:color="auto" w:fill="FFFFFF"/>
        </w:rPr>
        <w:t>3.结转结余情况。</w:t>
      </w:r>
      <w:r>
        <w:rPr>
          <w:rFonts w:ascii="方正仿宋_GBK" w:hAnsi="方正仿宋_GBK" w:eastAsia="方正仿宋_GBK" w:cs="方正仿宋_GBK"/>
          <w:color w:val="000000" w:themeColor="text1"/>
          <w:sz w:val="32"/>
          <w:szCs w:val="32"/>
          <w:shd w:val="clear" w:color="auto" w:fill="FFFFFF"/>
        </w:rPr>
        <w:t>2024年度年末一般公共</w:t>
      </w:r>
      <w:r>
        <w:rPr>
          <w:rFonts w:ascii="方正仿宋_GBK" w:hAnsi="方正仿宋_GBK" w:eastAsia="方正仿宋_GBK" w:cs="方正仿宋_GBK"/>
          <w:sz w:val="32"/>
          <w:szCs w:val="32"/>
          <w:shd w:val="clear" w:color="auto" w:fill="FFFFFF"/>
        </w:rPr>
        <w:t>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r>
        <w:rPr>
          <w:rFonts w:ascii="方正仿宋_GBK" w:hAnsi="方正仿宋_GBK" w:eastAsia="方正仿宋_GBK" w:cs="方正仿宋_GBK"/>
          <w:color w:val="FF0000"/>
          <w:sz w:val="32"/>
          <w:szCs w:val="32"/>
          <w:shd w:val="clear" w:color="auto" w:fill="FFFFFF"/>
        </w:rPr>
        <w:t>。</w:t>
      </w:r>
    </w:p>
    <w:p>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color w:val="FF0000"/>
          <w:sz w:val="32"/>
          <w:szCs w:val="32"/>
          <w:highlight w:val="cyan"/>
          <w:shd w:val="clear" w:color="auto" w:fill="FFFFFF"/>
        </w:rPr>
      </w:pPr>
      <w:r>
        <w:rPr>
          <w:rStyle w:val="10"/>
          <w:rFonts w:ascii="方正仿宋_GBK" w:hAnsi="方正仿宋_GBK" w:eastAsia="方正仿宋_GBK" w:cs="方正仿宋_GBK"/>
          <w:sz w:val="32"/>
          <w:szCs w:val="32"/>
          <w:shd w:val="clear" w:color="auto" w:fill="FFFFFF"/>
        </w:rPr>
        <w:t xml:space="preserve"> 4.比较情况。</w:t>
      </w:r>
      <w:r>
        <w:rPr>
          <w:rFonts w:ascii="方正仿宋_GBK" w:hAnsi="方正仿宋_GBK" w:eastAsia="方正仿宋_GBK" w:cs="方正仿宋_GBK"/>
          <w:sz w:val="32"/>
          <w:szCs w:val="32"/>
          <w:shd w:val="clear" w:color="auto" w:fill="FFFFFF"/>
        </w:rPr>
        <w:t>本部门2024年度一般公共预算财政拨款支出主要用于以下几个方面：</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（1）一般公共服务支出</w:t>
      </w:r>
      <w:r>
        <w:rPr>
          <w:rFonts w:ascii="方正仿宋_GBK" w:hAnsi="方正仿宋_GBK" w:eastAsia="方正仿宋_GBK" w:cs="方正仿宋_GBK"/>
          <w:sz w:val="32"/>
          <w:szCs w:val="32"/>
        </w:rPr>
        <w:t>22.46</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0.18</w:t>
      </w:r>
      <w:r>
        <w:rPr>
          <w:rFonts w:ascii="方正仿宋_GBK" w:hAnsi="方正仿宋_GBK" w:eastAsia="方正仿宋_GBK" w:cs="方正仿宋_GBK"/>
          <w:sz w:val="32"/>
          <w:szCs w:val="32"/>
          <w:shd w:val="clear" w:color="auto" w:fill="FFFFFF"/>
        </w:rPr>
        <w:t>%，较年初预算数无增减。</w:t>
      </w:r>
    </w:p>
    <w:p>
      <w:pPr>
        <w:jc w:val="both"/>
        <w:rPr>
          <w:rFonts w:cs="宋体"/>
          <w:color w:val="000000"/>
          <w:sz w:val="20"/>
          <w:szCs w:val="20"/>
        </w:rPr>
      </w:pPr>
      <w:r>
        <w:rPr>
          <w:rFonts w:ascii="方正仿宋_GBK" w:hAnsi="方正仿宋_GBK" w:eastAsia="方正仿宋_GBK" w:cs="方正仿宋_GBK"/>
          <w:sz w:val="32"/>
          <w:szCs w:val="32"/>
          <w:shd w:val="clear" w:color="auto" w:fill="FFFFFF"/>
        </w:rPr>
        <w:t>（2）公共安全支出10334.97万元，占</w:t>
      </w:r>
      <w:r>
        <w:rPr>
          <w:rFonts w:ascii="方正仿宋_GBK" w:hAnsi="方正仿宋_GBK" w:eastAsia="方正仿宋_GBK" w:cs="方正仿宋_GBK"/>
          <w:sz w:val="32"/>
          <w:szCs w:val="32"/>
        </w:rPr>
        <w:t>84.76</w:t>
      </w:r>
      <w:r>
        <w:rPr>
          <w:rFonts w:ascii="方正仿宋_GBK" w:hAnsi="方正仿宋_GBK" w:eastAsia="方正仿宋_GBK" w:cs="方正仿宋_GBK"/>
          <w:sz w:val="32"/>
          <w:szCs w:val="32"/>
          <w:shd w:val="clear" w:color="auto" w:fill="FFFFFF"/>
        </w:rPr>
        <w:t>%，较年初预算数增加647.28万元，增长6.68%，主要原因是</w:t>
      </w:r>
      <w:r>
        <w:rPr>
          <w:rFonts w:ascii="方正仿宋_GBK" w:hAnsi="方正仿宋_GBK" w:eastAsia="方正仿宋_GBK" w:cs="方正仿宋_GBK"/>
          <w:color w:val="000000" w:themeColor="text1"/>
          <w:sz w:val="32"/>
          <w:szCs w:val="32"/>
          <w:shd w:val="clear" w:color="auto" w:fill="FFFFFF"/>
        </w:rPr>
        <w:t>人员工资变动及项目增加。</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color w:val="000000" w:themeColor="text1"/>
          <w:sz w:val="32"/>
          <w:szCs w:val="32"/>
        </w:rPr>
      </w:pPr>
      <w:r>
        <w:rPr>
          <w:rFonts w:ascii="方正仿宋_GBK" w:hAnsi="方正仿宋_GBK" w:eastAsia="方正仿宋_GBK" w:cs="方正仿宋_GBK"/>
          <w:color w:val="000000" w:themeColor="text1"/>
          <w:sz w:val="32"/>
          <w:szCs w:val="32"/>
          <w:shd w:val="clear" w:color="auto" w:fill="FFFFFF"/>
        </w:rPr>
        <w:t>（3）社会保障与就业支出</w:t>
      </w:r>
      <w:r>
        <w:rPr>
          <w:rFonts w:ascii="方正仿宋_GBK" w:hAnsi="方正仿宋_GBK" w:eastAsia="方正仿宋_GBK" w:cs="方正仿宋_GBK"/>
          <w:color w:val="000000" w:themeColor="text1"/>
          <w:sz w:val="32"/>
          <w:szCs w:val="32"/>
        </w:rPr>
        <w:t>1033.60</w:t>
      </w:r>
      <w:r>
        <w:rPr>
          <w:rFonts w:ascii="方正仿宋_GBK" w:hAnsi="方正仿宋_GBK" w:eastAsia="方正仿宋_GBK" w:cs="方正仿宋_GBK"/>
          <w:color w:val="000000" w:themeColor="text1"/>
          <w:sz w:val="32"/>
          <w:szCs w:val="32"/>
          <w:shd w:val="clear" w:color="auto" w:fill="FFFFFF"/>
        </w:rPr>
        <w:t>万元，占</w:t>
      </w:r>
      <w:r>
        <w:rPr>
          <w:rFonts w:ascii="方正仿宋_GBK" w:hAnsi="方正仿宋_GBK" w:eastAsia="方正仿宋_GBK" w:cs="方正仿宋_GBK"/>
          <w:color w:val="000000" w:themeColor="text1"/>
          <w:sz w:val="32"/>
          <w:szCs w:val="32"/>
        </w:rPr>
        <w:t>8.48</w:t>
      </w:r>
      <w:r>
        <w:rPr>
          <w:rFonts w:ascii="方正仿宋_GBK" w:hAnsi="方正仿宋_GBK" w:eastAsia="方正仿宋_GBK" w:cs="方正仿宋_GBK"/>
          <w:color w:val="000000" w:themeColor="text1"/>
          <w:sz w:val="32"/>
          <w:szCs w:val="32"/>
          <w:shd w:val="clear" w:color="auto" w:fill="FFFFFF"/>
        </w:rPr>
        <w:t>%，较年初预算数增加50.09万元，增长4.85%，主要原因是人员工资变动。</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（4）卫生健康支出</w:t>
      </w:r>
      <w:r>
        <w:rPr>
          <w:rFonts w:ascii="方正仿宋_GBK" w:hAnsi="方正仿宋_GBK" w:eastAsia="方正仿宋_GBK" w:cs="方正仿宋_GBK"/>
          <w:sz w:val="32"/>
          <w:szCs w:val="32"/>
        </w:rPr>
        <w:t>346.09</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2.84</w:t>
      </w:r>
      <w:r>
        <w:rPr>
          <w:rFonts w:ascii="方正仿宋_GBK" w:hAnsi="方正仿宋_GBK" w:eastAsia="方正仿宋_GBK" w:cs="方正仿宋_GBK"/>
          <w:sz w:val="32"/>
          <w:szCs w:val="32"/>
          <w:shd w:val="clear" w:color="auto" w:fill="FFFFFF"/>
        </w:rPr>
        <w:t>%，较年初预算数无增减</w:t>
      </w:r>
      <w:r>
        <w:rPr>
          <w:rFonts w:ascii="方正仿宋_GBK" w:hAnsi="方正仿宋_GBK" w:eastAsia="方正仿宋_GBK" w:cs="方正仿宋_GBK"/>
          <w:color w:val="FF0000"/>
          <w:sz w:val="32"/>
          <w:szCs w:val="32"/>
          <w:shd w:val="clear" w:color="auto" w:fill="FFFFFF"/>
        </w:rPr>
        <w:t>。</w:t>
      </w:r>
    </w:p>
    <w:p>
      <w:pPr>
        <w:pStyle w:val="6"/>
        <w:shd w:val="clear" w:color="auto" w:fill="FFFFFF"/>
        <w:spacing w:before="0" w:beforeAutospacing="0" w:after="0" w:afterAutospacing="0" w:line="600" w:lineRule="exact"/>
        <w:rPr>
          <w:rFonts w:ascii="方正仿宋_GBK" w:hAnsi="方正仿宋_GBK" w:eastAsia="方正仿宋_GBK" w:cs="方正仿宋_GBK"/>
          <w:color w:val="FF0000"/>
          <w:sz w:val="32"/>
          <w:szCs w:val="32"/>
          <w:shd w:val="clear" w:color="auto" w:fill="FFFFFF"/>
        </w:rPr>
      </w:pPr>
      <w:r>
        <w:rPr>
          <w:rFonts w:cs="宋体"/>
          <w:sz w:val="32"/>
          <w:szCs w:val="32"/>
          <w:shd w:val="clear" w:color="auto" w:fill="FFFFFF"/>
        </w:rPr>
        <w:t> </w:t>
      </w:r>
      <w:r>
        <w:rPr>
          <w:rFonts w:ascii="方正仿宋_GBK" w:hAnsi="方正仿宋_GBK" w:eastAsia="方正仿宋_GBK" w:cs="方正仿宋_GBK"/>
          <w:sz w:val="32"/>
          <w:szCs w:val="32"/>
          <w:shd w:val="clear" w:color="auto" w:fill="FFFFFF"/>
        </w:rPr>
        <w:t xml:space="preserve">  （5）</w:t>
      </w:r>
      <w:r>
        <w:rPr>
          <w:rFonts w:ascii="方正仿宋_GBK" w:hAnsi="方正仿宋_GBK" w:eastAsia="方正仿宋_GBK" w:cs="方正仿宋_GBK"/>
          <w:sz w:val="32"/>
          <w:szCs w:val="32"/>
        </w:rPr>
        <w:t>住房保障支出454.97</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3.74</w:t>
      </w:r>
      <w:r>
        <w:rPr>
          <w:rFonts w:ascii="方正仿宋_GBK" w:hAnsi="方正仿宋_GBK" w:eastAsia="方正仿宋_GBK" w:cs="方正仿宋_GBK"/>
          <w:sz w:val="32"/>
          <w:szCs w:val="32"/>
          <w:shd w:val="clear" w:color="auto" w:fill="FFFFFF"/>
        </w:rPr>
        <w:t>%，较年初预算数无增减</w:t>
      </w:r>
      <w:r>
        <w:rPr>
          <w:rFonts w:ascii="方正仿宋_GBK" w:hAnsi="方正仿宋_GBK" w:eastAsia="方正仿宋_GBK" w:cs="方正仿宋_GBK"/>
          <w:color w:val="FF0000"/>
          <w:sz w:val="32"/>
          <w:szCs w:val="32"/>
          <w:shd w:val="clear" w:color="auto" w:fill="FFFFFF"/>
        </w:rPr>
        <w:t>。</w:t>
      </w:r>
    </w:p>
    <w:p>
      <w:pPr>
        <w:pStyle w:val="11"/>
        <w:autoSpaceDE w:val="0"/>
        <w:spacing w:line="600" w:lineRule="exact"/>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 xml:space="preserve">（四）一般公共预算财政拨款基本支出决算情况说明 </w:t>
      </w:r>
    </w:p>
    <w:p>
      <w:pPr>
        <w:pStyle w:val="11"/>
        <w:autoSpaceDE w:val="0"/>
        <w:spacing w:line="600" w:lineRule="exact"/>
        <w:ind w:firstLine="643"/>
        <w:rPr>
          <w:rFonts w:hint="eastAsia" w:ascii="方正仿宋_GBK" w:hAnsi="方正仿宋_GBK" w:eastAsia="方正仿宋_GBK" w:cs="方正仿宋_GBK"/>
          <w:sz w:val="32"/>
          <w:szCs w:val="32"/>
          <w:shd w:val="clear" w:color="auto" w:fill="FFFFFF"/>
        </w:rPr>
      </w:pPr>
      <w:r>
        <w:rPr>
          <w:rFonts w:hint="eastAsia" w:ascii="楷体" w:hAnsi="楷体" w:eastAsia="楷体" w:cs="楷体"/>
          <w:b/>
          <w:bCs/>
          <w:sz w:val="32"/>
          <w:szCs w:val="32"/>
          <w:shd w:val="clear" w:color="auto" w:fill="FFFFFF"/>
        </w:rPr>
        <w:t xml:space="preserve">  </w:t>
      </w:r>
      <w:r>
        <w:rPr>
          <w:rFonts w:ascii="方正仿宋_GBK" w:hAnsi="方正仿宋_GBK" w:eastAsia="方正仿宋_GBK" w:cs="方正仿宋_GBK"/>
          <w:sz w:val="32"/>
          <w:szCs w:val="32"/>
          <w:shd w:val="clear" w:color="auto" w:fill="FFFFFF"/>
        </w:rPr>
        <w:t>202</w:t>
      </w:r>
      <w:r>
        <w:rPr>
          <w:rFonts w:hint="eastAsia" w:ascii="方正仿宋_GBK" w:hAnsi="方正仿宋_GBK" w:eastAsia="方正仿宋_GBK" w:cs="方正仿宋_GBK"/>
          <w:sz w:val="32"/>
          <w:szCs w:val="32"/>
          <w:shd w:val="clear" w:color="auto" w:fill="FFFFFF"/>
        </w:rPr>
        <w:t>4</w:t>
      </w:r>
      <w:r>
        <w:rPr>
          <w:rFonts w:ascii="方正仿宋_GBK" w:hAnsi="方正仿宋_GBK" w:eastAsia="方正仿宋_GBK" w:cs="方正仿宋_GBK"/>
          <w:sz w:val="32"/>
          <w:szCs w:val="32"/>
          <w:shd w:val="clear" w:color="auto" w:fill="FFFFFF"/>
        </w:rPr>
        <w:t>年度一般公共财政拨款基本支出</w:t>
      </w:r>
      <w:r>
        <w:rPr>
          <w:rFonts w:hint="eastAsia" w:ascii="方正仿宋_GBK" w:hAnsi="方正仿宋_GBK" w:eastAsia="方正仿宋_GBK" w:cs="方正仿宋_GBK"/>
          <w:sz w:val="32"/>
          <w:szCs w:val="32"/>
        </w:rPr>
        <w:t>8135.75</w:t>
      </w:r>
      <w:r>
        <w:rPr>
          <w:rFonts w:ascii="方正仿宋_GBK" w:hAnsi="方正仿宋_GBK" w:eastAsia="方正仿宋_GBK" w:cs="方正仿宋_GBK"/>
          <w:sz w:val="32"/>
          <w:szCs w:val="32"/>
          <w:shd w:val="clear" w:color="auto" w:fill="FFFFFF"/>
        </w:rPr>
        <w:t>万元。其中：人员经费</w:t>
      </w:r>
      <w:r>
        <w:rPr>
          <w:rFonts w:hint="eastAsia" w:ascii="方正仿宋_GBK" w:hAnsi="方正仿宋_GBK" w:eastAsia="方正仿宋_GBK" w:cs="方正仿宋_GBK"/>
          <w:sz w:val="32"/>
          <w:szCs w:val="32"/>
        </w:rPr>
        <w:t>6954.93</w:t>
      </w:r>
      <w:r>
        <w:rPr>
          <w:rFonts w:ascii="方正仿宋_GBK" w:hAnsi="方正仿宋_GBK" w:eastAsia="方正仿宋_GBK" w:cs="方正仿宋_GBK"/>
          <w:sz w:val="32"/>
          <w:szCs w:val="32"/>
          <w:shd w:val="clear" w:color="auto" w:fill="FFFFFF"/>
        </w:rPr>
        <w:t>万元，较上年决算数增加</w:t>
      </w:r>
      <w:r>
        <w:rPr>
          <w:rFonts w:hint="eastAsia" w:ascii="方正仿宋_GBK" w:hAnsi="方正仿宋_GBK" w:eastAsia="方正仿宋_GBK" w:cs="方正仿宋_GBK"/>
          <w:sz w:val="32"/>
          <w:szCs w:val="32"/>
          <w:shd w:val="clear" w:color="auto" w:fill="FFFFFF"/>
        </w:rPr>
        <w:t>195.68</w:t>
      </w:r>
      <w:r>
        <w:rPr>
          <w:rFonts w:ascii="方正仿宋_GBK" w:hAnsi="方正仿宋_GBK" w:eastAsia="方正仿宋_GBK" w:cs="方正仿宋_GBK"/>
          <w:sz w:val="32"/>
          <w:szCs w:val="32"/>
          <w:shd w:val="clear" w:color="auto" w:fill="FFFFFF"/>
        </w:rPr>
        <w:t>万元，增长</w:t>
      </w:r>
      <w:r>
        <w:rPr>
          <w:rFonts w:hint="eastAsia" w:ascii="方正仿宋_GBK" w:hAnsi="方正仿宋_GBK" w:eastAsia="方正仿宋_GBK" w:cs="方正仿宋_GBK"/>
          <w:sz w:val="32"/>
          <w:szCs w:val="32"/>
          <w:shd w:val="clear" w:color="auto" w:fill="FFFFFF"/>
        </w:rPr>
        <w:t>2.90</w:t>
      </w:r>
      <w:r>
        <w:rPr>
          <w:rFonts w:ascii="方正仿宋_GBK" w:hAnsi="方正仿宋_GBK" w:eastAsia="方正仿宋_GBK" w:cs="方正仿宋_GBK"/>
          <w:sz w:val="32"/>
          <w:szCs w:val="32"/>
          <w:shd w:val="clear" w:color="auto" w:fill="FFFFFF"/>
        </w:rPr>
        <w:t>%，主要原因是人员</w:t>
      </w:r>
      <w:r>
        <w:rPr>
          <w:rFonts w:hint="eastAsia" w:ascii="方正仿宋_GBK" w:hAnsi="方正仿宋_GBK" w:eastAsia="方正仿宋_GBK" w:cs="方正仿宋_GBK"/>
          <w:sz w:val="32"/>
          <w:szCs w:val="32"/>
          <w:shd w:val="clear" w:color="auto" w:fill="FFFFFF"/>
        </w:rPr>
        <w:t>职级职务晋升，</w:t>
      </w:r>
      <w:r>
        <w:rPr>
          <w:rFonts w:ascii="方正仿宋_GBK" w:hAnsi="方正仿宋_GBK" w:eastAsia="方正仿宋_GBK" w:cs="方正仿宋_GBK"/>
          <w:sz w:val="32"/>
          <w:szCs w:val="32"/>
          <w:shd w:val="clear" w:color="auto" w:fill="FFFFFF"/>
        </w:rPr>
        <w:t>工资</w:t>
      </w:r>
      <w:r>
        <w:rPr>
          <w:rFonts w:hint="eastAsia" w:ascii="方正仿宋_GBK" w:hAnsi="方正仿宋_GBK" w:eastAsia="方正仿宋_GBK" w:cs="方正仿宋_GBK"/>
          <w:sz w:val="32"/>
          <w:szCs w:val="32"/>
          <w:shd w:val="clear" w:color="auto" w:fill="FFFFFF"/>
        </w:rPr>
        <w:t>支出增加</w:t>
      </w:r>
      <w:r>
        <w:rPr>
          <w:rFonts w:ascii="方正仿宋_GBK" w:hAnsi="方正仿宋_GBK" w:eastAsia="方正仿宋_GBK" w:cs="方正仿宋_GBK"/>
          <w:sz w:val="32"/>
          <w:szCs w:val="32"/>
          <w:shd w:val="clear" w:color="auto" w:fill="FFFFFF"/>
        </w:rPr>
        <w:t>。人员经费用途主要包括基本工资、津贴补贴、奖金、养老保险、医疗保险、住房公积金、职业年金等。公用经费</w:t>
      </w:r>
      <w:r>
        <w:rPr>
          <w:rFonts w:hint="eastAsia" w:ascii="方正仿宋_GBK" w:hAnsi="方正仿宋_GBK" w:eastAsia="方正仿宋_GBK" w:cs="方正仿宋_GBK"/>
          <w:sz w:val="32"/>
          <w:szCs w:val="32"/>
          <w:shd w:val="clear" w:color="auto" w:fill="FFFFFF"/>
        </w:rPr>
        <w:t>1180.82</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rPr>
        <w:t>减少352.87</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rPr>
        <w:t>减少23.01</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rPr>
        <w:t>严格执行中央八项规定，缩减支出</w:t>
      </w:r>
      <w:r>
        <w:rPr>
          <w:rFonts w:ascii="方正仿宋_GBK" w:hAnsi="方正仿宋_GBK" w:eastAsia="方正仿宋_GBK" w:cs="方正仿宋_GBK"/>
          <w:sz w:val="32"/>
          <w:szCs w:val="32"/>
          <w:shd w:val="clear" w:color="auto" w:fill="FFFFFF"/>
        </w:rPr>
        <w:t>。公用经费用途主要包括办公费、印刷费、咨询费、手续费、水费、电费、邮电费、差旅费、因公出国（境）费、维修（护）费、租赁费、会议费、培训费、公务接待费、专用材料费、被装购置费、劳务费、委托业务费、工会经费、福利费、公务用车运行维护费、其他交通费、其他商品服务支出、办公设备购置等。</w:t>
      </w:r>
    </w:p>
    <w:p>
      <w:pPr>
        <w:pStyle w:val="11"/>
        <w:autoSpaceDE w:val="0"/>
        <w:spacing w:line="600" w:lineRule="exact"/>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本部门2024年度无政府性基金预算财政拨款收支。</w:t>
      </w:r>
    </w:p>
    <w:p>
      <w:pPr>
        <w:pStyle w:val="11"/>
        <w:autoSpaceDE w:val="0"/>
        <w:spacing w:line="600" w:lineRule="exact"/>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本部门2024年度无国有资本经营预算财政拨款支出。</w:t>
      </w:r>
    </w:p>
    <w:p>
      <w:pPr>
        <w:pStyle w:val="6"/>
        <w:shd w:val="clear" w:color="auto" w:fill="FFFFFF"/>
        <w:spacing w:before="0" w:beforeAutospacing="0" w:after="0" w:afterAutospacing="0" w:line="600" w:lineRule="exact"/>
        <w:ind w:firstLine="630" w:firstLineChars="196"/>
        <w:rPr>
          <w:rStyle w:val="10"/>
          <w:rFonts w:ascii="黑体" w:hAnsi="黑体" w:eastAsia="黑体" w:cs="黑体"/>
          <w:sz w:val="32"/>
          <w:szCs w:val="32"/>
          <w:shd w:val="clear" w:color="auto" w:fill="FFFFFF"/>
        </w:rPr>
      </w:pPr>
      <w:r>
        <w:rPr>
          <w:rStyle w:val="10"/>
          <w:rFonts w:ascii="黑体" w:hAnsi="黑体" w:eastAsia="黑体" w:cs="黑体"/>
          <w:sz w:val="32"/>
          <w:szCs w:val="32"/>
          <w:shd w:val="clear" w:color="auto" w:fill="FFFFFF"/>
        </w:rPr>
        <w:t>三、“三公”经费情况说明</w:t>
      </w:r>
    </w:p>
    <w:p>
      <w:pPr>
        <w:pStyle w:val="11"/>
        <w:autoSpaceDE w:val="0"/>
        <w:spacing w:line="600" w:lineRule="exact"/>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（一）“三公”经费支出总体情况说明</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2024年度“三公”经费支出共计</w:t>
      </w:r>
      <w:r>
        <w:rPr>
          <w:rFonts w:ascii="方正仿宋_GBK" w:hAnsi="方正仿宋_GBK" w:eastAsia="方正仿宋_GBK" w:cs="方正仿宋_GBK"/>
          <w:sz w:val="32"/>
          <w:szCs w:val="32"/>
        </w:rPr>
        <w:t>348.33</w:t>
      </w:r>
      <w:r>
        <w:rPr>
          <w:rFonts w:ascii="方正仿宋_GBK" w:hAnsi="方正仿宋_GBK" w:eastAsia="方正仿宋_GBK" w:cs="方正仿宋_GBK"/>
          <w:sz w:val="32"/>
          <w:szCs w:val="32"/>
          <w:shd w:val="clear" w:color="auto" w:fill="FFFFFF"/>
        </w:rPr>
        <w:t>万元，较年初预算数增加10.33万元，增长3.05%。较上年支出数减少6.20万元，下降27.42%，主要原因是严格控制支出，因公出国出境支出减少。</w:t>
      </w:r>
    </w:p>
    <w:p>
      <w:pPr>
        <w:pStyle w:val="11"/>
        <w:autoSpaceDE w:val="0"/>
        <w:spacing w:line="600" w:lineRule="exact"/>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（二）“三公”经费分项支出情况</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color w:val="000000" w:themeColor="text1"/>
          <w:sz w:val="32"/>
          <w:szCs w:val="32"/>
        </w:rPr>
      </w:pPr>
      <w:r>
        <w:rPr>
          <w:rFonts w:ascii="方正仿宋_GBK" w:hAnsi="方正仿宋_GBK" w:eastAsia="方正仿宋_GBK" w:cs="方正仿宋_GBK"/>
          <w:sz w:val="32"/>
          <w:szCs w:val="32"/>
          <w:shd w:val="clear" w:color="auto" w:fill="FFFFFF"/>
        </w:rPr>
        <w:t>2024年度本</w:t>
      </w:r>
      <w:r>
        <w:rPr>
          <w:rFonts w:ascii="方正仿宋_GBK" w:hAnsi="方正仿宋_GBK" w:eastAsia="方正仿宋_GBK" w:cs="方正仿宋_GBK"/>
          <w:color w:val="000000" w:themeColor="text1"/>
          <w:sz w:val="32"/>
          <w:szCs w:val="32"/>
          <w:shd w:val="clear" w:color="auto" w:fill="FFFFFF"/>
        </w:rPr>
        <w:t>部门因</w:t>
      </w:r>
      <w:r>
        <w:rPr>
          <w:rFonts w:ascii="方正仿宋_GBK" w:hAnsi="方正仿宋_GBK" w:eastAsia="方正仿宋_GBK" w:cs="方正仿宋_GBK"/>
          <w:sz w:val="32"/>
          <w:szCs w:val="32"/>
          <w:shd w:val="clear" w:color="auto" w:fill="FFFFFF"/>
        </w:rPr>
        <w:t>公出国（境）费用0</w:t>
      </w:r>
      <w:r>
        <w:rPr>
          <w:rFonts w:ascii="方正仿宋_GBK" w:hAnsi="方正仿宋_GBK" w:eastAsia="方正仿宋_GBK" w:cs="方正仿宋_GBK"/>
          <w:sz w:val="32"/>
          <w:szCs w:val="32"/>
        </w:rPr>
        <w:t>.00</w:t>
      </w:r>
      <w:r>
        <w:rPr>
          <w:rFonts w:ascii="方正仿宋_GBK" w:hAnsi="方正仿宋_GBK" w:eastAsia="方正仿宋_GBK" w:cs="方正仿宋_GBK"/>
          <w:sz w:val="32"/>
          <w:szCs w:val="32"/>
          <w:shd w:val="clear" w:color="auto" w:fill="FFFFFF"/>
        </w:rPr>
        <w:t>万元，主要是用于</w:t>
      </w:r>
      <w:r>
        <w:rPr>
          <w:rFonts w:ascii="方正仿宋_GBK" w:hAnsi="方正仿宋_GBK" w:eastAsia="方正仿宋_GBK" w:cs="方正仿宋_GBK"/>
          <w:color w:val="000000" w:themeColor="text1"/>
          <w:sz w:val="32"/>
          <w:szCs w:val="32"/>
          <w:shd w:val="clear" w:color="auto" w:fill="FFFFFF"/>
        </w:rPr>
        <w:t>到缅甸办案支出。费用支出较年初预算数无增减，主要原因是本年度无出国出境费用支出。较上年支出数减少9.61万元，下降100.00%，主要原因是本年度无出国出境费用支出。</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color w:val="000000" w:themeColor="text1"/>
          <w:sz w:val="32"/>
          <w:szCs w:val="32"/>
        </w:rPr>
      </w:pPr>
      <w:r>
        <w:rPr>
          <w:rFonts w:ascii="方正仿宋_GBK" w:hAnsi="方正仿宋_GBK" w:eastAsia="方正仿宋_GBK" w:cs="方正仿宋_GBK"/>
          <w:color w:val="000000" w:themeColor="text1"/>
          <w:sz w:val="32"/>
          <w:szCs w:val="32"/>
          <w:shd w:val="clear" w:color="auto" w:fill="FFFFFF"/>
        </w:rPr>
        <w:t>公务车购置费</w:t>
      </w:r>
      <w:r>
        <w:rPr>
          <w:rFonts w:ascii="方正仿宋_GBK" w:hAnsi="方正仿宋_GBK" w:eastAsia="方正仿宋_GBK" w:cs="方正仿宋_GBK"/>
          <w:color w:val="000000" w:themeColor="text1"/>
          <w:sz w:val="32"/>
          <w:szCs w:val="32"/>
        </w:rPr>
        <w:t>24.98</w:t>
      </w:r>
      <w:r>
        <w:rPr>
          <w:rFonts w:ascii="方正仿宋_GBK" w:hAnsi="方正仿宋_GBK" w:eastAsia="方正仿宋_GBK" w:cs="方正仿宋_GBK"/>
          <w:color w:val="000000" w:themeColor="text1"/>
          <w:sz w:val="32"/>
          <w:szCs w:val="32"/>
          <w:shd w:val="clear" w:color="auto" w:fill="FFFFFF"/>
        </w:rPr>
        <w:t>万元，主要原因是新购置执法车辆用车。较上年支出数增加了24.98万元，增加100.00%，主要原因是原执法执勤车辆报废，新购置了执法执勤车辆。</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color w:val="000000" w:themeColor="text1"/>
          <w:sz w:val="32"/>
          <w:szCs w:val="32"/>
        </w:rPr>
      </w:pPr>
      <w:r>
        <w:rPr>
          <w:rFonts w:ascii="方正仿宋_GBK" w:hAnsi="方正仿宋_GBK" w:eastAsia="方正仿宋_GBK" w:cs="方正仿宋_GBK"/>
          <w:sz w:val="32"/>
          <w:szCs w:val="32"/>
          <w:shd w:val="clear" w:color="auto" w:fill="FFFFFF"/>
        </w:rPr>
        <w:t>公务车运行维护费</w:t>
      </w:r>
      <w:r>
        <w:rPr>
          <w:rFonts w:ascii="方正仿宋_GBK" w:hAnsi="方正仿宋_GBK" w:eastAsia="方正仿宋_GBK" w:cs="方正仿宋_GBK"/>
          <w:sz w:val="32"/>
          <w:szCs w:val="32"/>
        </w:rPr>
        <w:t>281.25</w:t>
      </w:r>
      <w:r>
        <w:rPr>
          <w:rFonts w:ascii="方正仿宋_GBK" w:hAnsi="方正仿宋_GBK" w:eastAsia="方正仿宋_GBK" w:cs="方正仿宋_GBK"/>
          <w:sz w:val="32"/>
          <w:szCs w:val="32"/>
          <w:shd w:val="clear" w:color="auto" w:fill="FFFFFF"/>
        </w:rPr>
        <w:t>万元，主要用于</w:t>
      </w:r>
      <w:r>
        <w:rPr>
          <w:rFonts w:ascii="方正仿宋_GBK" w:hAnsi="方正仿宋_GBK" w:eastAsia="方正仿宋_GBK" w:cs="方正仿宋_GBK"/>
          <w:color w:val="000000" w:themeColor="text1"/>
          <w:sz w:val="32"/>
          <w:szCs w:val="32"/>
          <w:shd w:val="clear" w:color="auto" w:fill="FFFFFF"/>
        </w:rPr>
        <w:t>车辆维修、保险、燃料、停车过路费、洗车等费用支出。费用支出较年初预算数增加2.25万元，增长0.81%。较上年支出数减少11.05万元，下降3.78%，主要原因是紧缩开支。</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公务接待费</w:t>
      </w:r>
      <w:r>
        <w:rPr>
          <w:rFonts w:ascii="方正仿宋_GBK" w:hAnsi="方正仿宋_GBK" w:eastAsia="方正仿宋_GBK" w:cs="方正仿宋_GBK"/>
          <w:sz w:val="32"/>
          <w:szCs w:val="32"/>
        </w:rPr>
        <w:t>42.10</w:t>
      </w:r>
      <w:r>
        <w:rPr>
          <w:rFonts w:ascii="方正仿宋_GBK" w:hAnsi="方正仿宋_GBK" w:eastAsia="方正仿宋_GBK" w:cs="方正仿宋_GBK"/>
          <w:sz w:val="32"/>
          <w:szCs w:val="32"/>
          <w:shd w:val="clear" w:color="auto" w:fill="FFFFFF"/>
        </w:rPr>
        <w:t>万元，主要用于接待因公务相关人员的餐饮费。费用支出较年初预算数减少16.90万元，下降28.64%。较上年支出数减少10.52万元，下降19.99%，主要原因是严格贯彻落实中央八项规定精神，进一步强化和规范公务接待费监督和管理。</w:t>
      </w:r>
    </w:p>
    <w:p>
      <w:pPr>
        <w:pStyle w:val="11"/>
        <w:autoSpaceDE w:val="0"/>
        <w:spacing w:line="600" w:lineRule="exact"/>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2024年度本部门因公出国（境）共计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个团组，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人；公务用车购置</w:t>
      </w:r>
      <w:r>
        <w:rPr>
          <w:rFonts w:ascii="方正仿宋_GBK" w:hAnsi="方正仿宋_GBK" w:eastAsia="方正仿宋_GBK" w:cs="方正仿宋_GBK"/>
          <w:sz w:val="32"/>
          <w:szCs w:val="32"/>
        </w:rPr>
        <w:t>1</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71</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491</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2900</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人。2024年本部门人均接待费0.76万元，车均购置费24.98万元，车均维护费</w:t>
      </w:r>
      <w:r>
        <w:rPr>
          <w:rFonts w:ascii="方正仿宋_GBK" w:hAnsi="方正仿宋_GBK" w:eastAsia="方正仿宋_GBK" w:cs="方正仿宋_GBK"/>
          <w:sz w:val="32"/>
          <w:szCs w:val="32"/>
        </w:rPr>
        <w:t>3.96</w:t>
      </w:r>
      <w:r>
        <w:rPr>
          <w:rFonts w:ascii="方正仿宋_GBK" w:hAnsi="方正仿宋_GBK" w:eastAsia="方正仿宋_GBK" w:cs="方正仿宋_GBK"/>
          <w:sz w:val="32"/>
          <w:szCs w:val="32"/>
          <w:shd w:val="clear" w:color="auto" w:fill="FFFFFF"/>
        </w:rPr>
        <w:t>万元。</w:t>
      </w:r>
    </w:p>
    <w:p>
      <w:pPr>
        <w:pStyle w:val="6"/>
        <w:shd w:val="clear" w:color="auto" w:fill="FFFFFF"/>
        <w:spacing w:before="0" w:beforeAutospacing="0" w:after="0" w:afterAutospacing="0" w:line="600" w:lineRule="exact"/>
        <w:ind w:firstLine="630" w:firstLineChars="196"/>
        <w:rPr>
          <w:rStyle w:val="10"/>
          <w:rFonts w:ascii="方正仿宋_GBK" w:hAnsi="方正仿宋_GBK" w:eastAsia="方正仿宋_GBK" w:cs="方正仿宋_GBK"/>
          <w:sz w:val="32"/>
          <w:szCs w:val="32"/>
          <w:shd w:val="clear" w:color="auto" w:fill="FFFFFF"/>
        </w:rPr>
      </w:pPr>
      <w:r>
        <w:rPr>
          <w:rStyle w:val="10"/>
          <w:rFonts w:ascii="黑体" w:hAnsi="黑体" w:eastAsia="黑体" w:cs="黑体"/>
          <w:sz w:val="32"/>
          <w:szCs w:val="32"/>
          <w:shd w:val="clear" w:color="auto" w:fill="FFFFFF"/>
        </w:rPr>
        <w:t>四、其他需要说明的事项</w:t>
      </w:r>
    </w:p>
    <w:p>
      <w:pPr>
        <w:pStyle w:val="11"/>
        <w:autoSpaceDE w:val="0"/>
        <w:spacing w:line="600" w:lineRule="exact"/>
        <w:ind w:firstLine="418" w:firstLineChars="130"/>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（一）财政拨款会议费和培训费情况说明</w:t>
      </w:r>
    </w:p>
    <w:p>
      <w:pPr>
        <w:pStyle w:val="11"/>
        <w:autoSpaceDE w:val="0"/>
        <w:spacing w:line="600" w:lineRule="exact"/>
        <w:ind w:firstLine="416" w:firstLineChars="130"/>
        <w:rPr>
          <w:rFonts w:hint="eastAsia" w:ascii="楷体" w:hAnsi="楷体" w:eastAsia="楷体" w:cs="楷体"/>
          <w:b/>
          <w:bCs/>
          <w:sz w:val="32"/>
          <w:szCs w:val="32"/>
          <w:shd w:val="clear" w:color="auto" w:fill="FFFFFF"/>
        </w:rPr>
      </w:pPr>
      <w:r>
        <w:rPr>
          <w:rFonts w:ascii="方正仿宋_GBK" w:hAnsi="方正仿宋_GBK" w:eastAsia="方正仿宋_GBK" w:cs="方正仿宋_GBK"/>
          <w:sz w:val="32"/>
          <w:szCs w:val="32"/>
          <w:shd w:val="clear" w:color="auto" w:fill="FFFFFF"/>
        </w:rPr>
        <w:t>本年度会议费支出</w:t>
      </w:r>
      <w:r>
        <w:rPr>
          <w:rFonts w:ascii="方正仿宋_GBK" w:hAnsi="方正仿宋_GBK" w:eastAsia="方正仿宋_GBK" w:cs="方正仿宋_GBK"/>
          <w:sz w:val="32"/>
          <w:szCs w:val="32"/>
        </w:rPr>
        <w:t>3.48</w:t>
      </w:r>
      <w:r>
        <w:rPr>
          <w:rFonts w:ascii="方正仿宋_GBK" w:hAnsi="方正仿宋_GBK" w:eastAsia="方正仿宋_GBK" w:cs="方正仿宋_GBK"/>
          <w:sz w:val="32"/>
          <w:szCs w:val="32"/>
          <w:shd w:val="clear" w:color="auto" w:fill="FFFFFF"/>
        </w:rPr>
        <w:t>万元，较上年决算数增加0.79万元，增加29.25%，主要原因是疫情放开后，到市局参加会议人数及次数增多。本年度培训费支出</w:t>
      </w:r>
      <w:r>
        <w:rPr>
          <w:rFonts w:ascii="方正仿宋_GBK" w:hAnsi="方正仿宋_GBK" w:eastAsia="方正仿宋_GBK" w:cs="方正仿宋_GBK"/>
          <w:sz w:val="32"/>
          <w:szCs w:val="32"/>
        </w:rPr>
        <w:t>97.45</w:t>
      </w:r>
      <w:r>
        <w:rPr>
          <w:rFonts w:ascii="方正仿宋_GBK" w:hAnsi="方正仿宋_GBK" w:eastAsia="方正仿宋_GBK" w:cs="方正仿宋_GBK"/>
          <w:sz w:val="32"/>
          <w:szCs w:val="32"/>
          <w:shd w:val="clear" w:color="auto" w:fill="FFFFFF"/>
        </w:rPr>
        <w:t>万元，较上年决算数增加22.22万元，增长29.54%，主要原因是市局开展警务技术大比武，培训增加。</w:t>
      </w:r>
    </w:p>
    <w:p>
      <w:pPr>
        <w:pStyle w:val="11"/>
        <w:autoSpaceDE w:val="0"/>
        <w:spacing w:line="600" w:lineRule="exact"/>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pPr>
        <w:pStyle w:val="6"/>
        <w:snapToGrid w:val="0"/>
        <w:spacing w:before="0" w:beforeAutospacing="0" w:after="0" w:afterAutospacing="0" w:line="600" w:lineRule="exact"/>
        <w:ind w:firstLine="800" w:firstLineChars="25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2024年度本部门机关运行经费支出</w:t>
      </w:r>
      <w:r>
        <w:rPr>
          <w:rFonts w:ascii="方正仿宋_GBK" w:hAnsi="方正仿宋_GBK" w:eastAsia="方正仿宋_GBK" w:cs="方正仿宋_GBK"/>
          <w:sz w:val="32"/>
          <w:szCs w:val="32"/>
        </w:rPr>
        <w:t>1180.82</w:t>
      </w:r>
      <w:r>
        <w:rPr>
          <w:rFonts w:ascii="方正仿宋_GBK" w:hAnsi="方正仿宋_GBK" w:eastAsia="方正仿宋_GBK" w:cs="方正仿宋_GBK"/>
          <w:sz w:val="32"/>
          <w:szCs w:val="32"/>
          <w:shd w:val="clear" w:color="auto" w:fill="FFFFFF"/>
        </w:rPr>
        <w:t>万元，机关运行经费主要用于开支办公费、电费、水费、其他商品服务支出、工会费等。机关运行经费较上年支出数减少324.90万元，下降21.58%，主要原因是节约开支，机关运行经费较上年有所减少。</w:t>
      </w:r>
    </w:p>
    <w:p>
      <w:pPr>
        <w:pStyle w:val="11"/>
        <w:autoSpaceDE w:val="0"/>
        <w:spacing w:line="600" w:lineRule="exact"/>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xml:space="preserve"> 截至2024年12月31日，本部门共有车辆</w:t>
      </w:r>
      <w:r>
        <w:rPr>
          <w:rFonts w:ascii="方正仿宋_GBK" w:hAnsi="方正仿宋_GBK" w:eastAsia="方正仿宋_GBK" w:cs="方正仿宋_GBK"/>
          <w:sz w:val="32"/>
          <w:szCs w:val="32"/>
        </w:rPr>
        <w:t>71</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1</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70</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台（套）。</w:t>
      </w:r>
    </w:p>
    <w:p>
      <w:pPr>
        <w:pStyle w:val="11"/>
        <w:autoSpaceDE w:val="0"/>
        <w:spacing w:line="600" w:lineRule="exact"/>
        <w:ind w:firstLine="643"/>
        <w:rPr>
          <w:rFonts w:hint="eastAsia" w:ascii="楷体" w:hAnsi="楷体" w:eastAsia="楷体" w:cs="楷体"/>
          <w:b/>
          <w:bCs/>
          <w:color w:val="000000" w:themeColor="text1"/>
          <w:sz w:val="32"/>
          <w:szCs w:val="32"/>
          <w:shd w:val="clear" w:color="auto" w:fill="FFFFFF"/>
        </w:rPr>
      </w:pPr>
      <w:r>
        <w:rPr>
          <w:rFonts w:hint="eastAsia" w:ascii="楷体" w:hAnsi="楷体" w:eastAsia="楷体" w:cs="楷体"/>
          <w:b/>
          <w:bCs/>
          <w:color w:val="000000" w:themeColor="text1"/>
          <w:sz w:val="32"/>
          <w:szCs w:val="32"/>
          <w:shd w:val="clear" w:color="auto" w:fill="FFFFFF"/>
        </w:rPr>
        <w:t>（四）政府采购支出情况说明</w:t>
      </w:r>
    </w:p>
    <w:p>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color w:val="000000" w:themeColor="text1"/>
          <w:sz w:val="32"/>
          <w:szCs w:val="32"/>
          <w:shd w:val="clear" w:color="auto" w:fill="FFFFFF"/>
        </w:rPr>
        <w:t>2024年度本部门政府采购支出总额</w:t>
      </w:r>
      <w:r>
        <w:rPr>
          <w:rFonts w:ascii="方正仿宋_GBK" w:hAnsi="方正仿宋_GBK" w:eastAsia="方正仿宋_GBK" w:cs="方正仿宋_GBK"/>
          <w:color w:val="000000" w:themeColor="text1"/>
          <w:sz w:val="32"/>
          <w:szCs w:val="32"/>
        </w:rPr>
        <w:t>730.63</w:t>
      </w:r>
      <w:r>
        <w:rPr>
          <w:rFonts w:ascii="方正仿宋_GBK" w:hAnsi="方正仿宋_GBK" w:eastAsia="方正仿宋_GBK" w:cs="方正仿宋_GBK"/>
          <w:color w:val="000000" w:themeColor="text1"/>
          <w:sz w:val="32"/>
          <w:szCs w:val="32"/>
          <w:shd w:val="clear" w:color="auto" w:fill="FFFFFF"/>
        </w:rPr>
        <w:t>万元，其中：政府采购货物支出</w:t>
      </w:r>
      <w:r>
        <w:rPr>
          <w:rFonts w:ascii="方正仿宋_GBK" w:hAnsi="方正仿宋_GBK" w:eastAsia="方正仿宋_GBK" w:cs="方正仿宋_GBK"/>
          <w:color w:val="000000" w:themeColor="text1"/>
          <w:sz w:val="32"/>
          <w:szCs w:val="32"/>
        </w:rPr>
        <w:t>477.62</w:t>
      </w:r>
      <w:r>
        <w:rPr>
          <w:rFonts w:ascii="方正仿宋_GBK" w:hAnsi="方正仿宋_GBK" w:eastAsia="方正仿宋_GBK" w:cs="方正仿宋_GBK"/>
          <w:color w:val="000000" w:themeColor="text1"/>
          <w:sz w:val="32"/>
          <w:szCs w:val="32"/>
          <w:shd w:val="clear" w:color="auto" w:fill="FFFFFF"/>
        </w:rPr>
        <w:t>万元、政府采购服务支出</w:t>
      </w:r>
      <w:r>
        <w:rPr>
          <w:rFonts w:ascii="方正仿宋_GBK" w:hAnsi="方正仿宋_GBK" w:eastAsia="方正仿宋_GBK" w:cs="方正仿宋_GBK"/>
          <w:color w:val="000000" w:themeColor="text1"/>
          <w:sz w:val="32"/>
          <w:szCs w:val="32"/>
        </w:rPr>
        <w:t>253.01</w:t>
      </w:r>
      <w:r>
        <w:rPr>
          <w:rFonts w:ascii="方正仿宋_GBK" w:hAnsi="方正仿宋_GBK" w:eastAsia="方正仿宋_GBK" w:cs="方正仿宋_GBK"/>
          <w:color w:val="000000" w:themeColor="text1"/>
          <w:sz w:val="32"/>
          <w:szCs w:val="32"/>
          <w:shd w:val="clear" w:color="auto" w:fill="FFFFFF"/>
        </w:rPr>
        <w:t>万元。授予中小企业合同金额</w:t>
      </w:r>
      <w:r>
        <w:rPr>
          <w:rFonts w:ascii="方正仿宋_GBK" w:hAnsi="方正仿宋_GBK" w:eastAsia="方正仿宋_GBK" w:cs="方正仿宋_GBK"/>
          <w:color w:val="000000" w:themeColor="text1"/>
          <w:sz w:val="32"/>
          <w:szCs w:val="32"/>
        </w:rPr>
        <w:t>595.65万</w:t>
      </w:r>
      <w:r>
        <w:rPr>
          <w:rFonts w:ascii="方正仿宋_GBK" w:hAnsi="方正仿宋_GBK" w:eastAsia="方正仿宋_GBK" w:cs="方正仿宋_GBK"/>
          <w:color w:val="000000" w:themeColor="text1"/>
          <w:sz w:val="32"/>
          <w:szCs w:val="32"/>
          <w:shd w:val="clear" w:color="auto" w:fill="FFFFFF"/>
        </w:rPr>
        <w:t>元，占政府采购支出总额的</w:t>
      </w:r>
      <w:r>
        <w:rPr>
          <w:rFonts w:ascii="方正仿宋_GBK" w:hAnsi="方正仿宋_GBK" w:eastAsia="方正仿宋_GBK" w:cs="方正仿宋_GBK"/>
          <w:color w:val="000000" w:themeColor="text1"/>
          <w:sz w:val="32"/>
          <w:szCs w:val="32"/>
        </w:rPr>
        <w:t>81.53</w:t>
      </w:r>
      <w:r>
        <w:rPr>
          <w:rFonts w:ascii="方正仿宋_GBK" w:hAnsi="方正仿宋_GBK" w:eastAsia="方正仿宋_GBK" w:cs="方正仿宋_GBK"/>
          <w:color w:val="000000" w:themeColor="text1"/>
          <w:sz w:val="32"/>
          <w:szCs w:val="32"/>
          <w:shd w:val="clear" w:color="auto" w:fill="FFFFFF"/>
        </w:rPr>
        <w:t>%，其中：授予小微企业合同金额</w:t>
      </w:r>
      <w:r>
        <w:rPr>
          <w:rFonts w:ascii="方正仿宋_GBK" w:hAnsi="方正仿宋_GBK" w:eastAsia="方正仿宋_GBK" w:cs="方正仿宋_GBK"/>
          <w:color w:val="000000" w:themeColor="text1"/>
          <w:sz w:val="32"/>
          <w:szCs w:val="32"/>
        </w:rPr>
        <w:t>527.32</w:t>
      </w:r>
      <w:r>
        <w:rPr>
          <w:rFonts w:ascii="方正仿宋_GBK" w:hAnsi="方正仿宋_GBK" w:eastAsia="方正仿宋_GBK" w:cs="方正仿宋_GBK"/>
          <w:color w:val="000000" w:themeColor="text1"/>
          <w:sz w:val="32"/>
          <w:szCs w:val="32"/>
          <w:shd w:val="clear" w:color="auto" w:fill="FFFFFF"/>
        </w:rPr>
        <w:t>万元，</w:t>
      </w:r>
      <w:r>
        <w:rPr>
          <w:rFonts w:ascii="方正仿宋_GBK" w:hAnsi="方正仿宋_GBK" w:eastAsia="方正仿宋_GBK" w:cs="方正仿宋_GBK"/>
          <w:sz w:val="32"/>
          <w:szCs w:val="32"/>
          <w:shd w:val="clear" w:color="auto" w:fill="FFFFFF"/>
        </w:rPr>
        <w:t>占政府采购支出总额的</w:t>
      </w:r>
      <w:r>
        <w:rPr>
          <w:rFonts w:ascii="方正仿宋_GBK" w:hAnsi="方正仿宋_GBK" w:eastAsia="方正仿宋_GBK" w:cs="方正仿宋_GBK"/>
          <w:sz w:val="32"/>
          <w:szCs w:val="32"/>
        </w:rPr>
        <w:t>72.17</w:t>
      </w:r>
      <w:r>
        <w:rPr>
          <w:rFonts w:ascii="方正仿宋_GBK" w:hAnsi="方正仿宋_GBK" w:eastAsia="方正仿宋_GBK" w:cs="方正仿宋_GBK"/>
          <w:sz w:val="32"/>
          <w:szCs w:val="32"/>
          <w:shd w:val="clear" w:color="auto" w:fill="FFFFFF"/>
        </w:rPr>
        <w:t xml:space="preserve"> %。</w:t>
      </w:r>
    </w:p>
    <w:p>
      <w:pPr>
        <w:pStyle w:val="6"/>
        <w:numPr>
          <w:ilvl w:val="0"/>
          <w:numId w:val="1"/>
        </w:numPr>
        <w:shd w:val="clear" w:color="auto" w:fill="FFFFFF"/>
        <w:spacing w:before="0" w:beforeAutospacing="0" w:after="0" w:afterAutospacing="0" w:line="600" w:lineRule="exact"/>
        <w:ind w:firstLine="643" w:firstLineChars="200"/>
        <w:rPr>
          <w:rStyle w:val="10"/>
          <w:rFonts w:ascii="黑体" w:hAnsi="黑体" w:eastAsia="黑体" w:cs="黑体"/>
          <w:sz w:val="32"/>
          <w:szCs w:val="32"/>
          <w:shd w:val="clear" w:color="auto" w:fill="FFFFFF"/>
        </w:rPr>
      </w:pPr>
      <w:r>
        <w:rPr>
          <w:rStyle w:val="10"/>
          <w:rFonts w:ascii="黑体" w:hAnsi="黑体" w:eastAsia="黑体" w:cs="黑体"/>
          <w:sz w:val="32"/>
          <w:szCs w:val="32"/>
          <w:shd w:val="clear" w:color="auto" w:fill="FFFFFF"/>
        </w:rPr>
        <w:t>预算绩效管理情况说明</w:t>
      </w:r>
    </w:p>
    <w:p>
      <w:pPr>
        <w:pStyle w:val="11"/>
        <w:autoSpaceDE w:val="0"/>
        <w:spacing w:line="600" w:lineRule="exact"/>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（一）部门自评情况</w:t>
      </w:r>
    </w:p>
    <w:p>
      <w:pPr>
        <w:pStyle w:val="12"/>
        <w:autoSpaceDE w:val="0"/>
        <w:spacing w:before="0" w:beforeAutospacing="0" w:after="0" w:afterAutospacing="0" w:line="600" w:lineRule="exact"/>
        <w:ind w:firstLine="624"/>
        <w:rPr>
          <w:rFonts w:hint="eastAsia" w:ascii="方正仿宋_GBK" w:hAnsi="方正仿宋_GBK" w:eastAsia="方正仿宋_GBK" w:cs="方正仿宋_GBK"/>
          <w:sz w:val="28"/>
          <w:szCs w:val="28"/>
          <w:shd w:val="clear" w:color="auto" w:fill="FFFFFF"/>
        </w:rPr>
      </w:pPr>
      <w:r>
        <w:rPr>
          <w:rFonts w:hint="eastAsia" w:ascii="方正仿宋_GBK" w:hAnsi="方正仿宋_GBK" w:eastAsia="方正仿宋_GBK" w:cs="方正仿宋_GBK"/>
          <w:sz w:val="32"/>
          <w:szCs w:val="32"/>
          <w:shd w:val="clear" w:color="auto" w:fill="FFFFFF"/>
        </w:rPr>
        <w:t>根据预算绩效管理要求，我部门对部门整体和2个二级项目开展了绩效自评，涉及财政拨款项目支出资金1423.55万元。</w:t>
      </w:r>
      <w:r>
        <w:rPr>
          <w:rFonts w:hint="eastAsia" w:ascii="方正仿宋_GBK" w:hAnsi="方正仿宋_GBK" w:eastAsia="方正仿宋_GBK" w:cs="方正仿宋_GBK"/>
          <w:sz w:val="28"/>
          <w:szCs w:val="28"/>
          <w:shd w:val="clear" w:color="auto" w:fill="FFFFFF"/>
        </w:rPr>
        <w:t xml:space="preserve">   </w:t>
      </w:r>
    </w:p>
    <w:tbl>
      <w:tblPr>
        <w:tblStyle w:val="7"/>
        <w:tblW w:w="8784" w:type="dxa"/>
        <w:tblInd w:w="93" w:type="dxa"/>
        <w:tblLayout w:type="autofit"/>
        <w:tblCellMar>
          <w:top w:w="0" w:type="dxa"/>
          <w:left w:w="108" w:type="dxa"/>
          <w:bottom w:w="0" w:type="dxa"/>
          <w:right w:w="108" w:type="dxa"/>
        </w:tblCellMar>
      </w:tblPr>
      <w:tblGrid>
        <w:gridCol w:w="8784"/>
      </w:tblGrid>
      <w:tr>
        <w:tblPrEx>
          <w:tblCellMar>
            <w:top w:w="0" w:type="dxa"/>
            <w:left w:w="108" w:type="dxa"/>
            <w:bottom w:w="0" w:type="dxa"/>
            <w:right w:w="108" w:type="dxa"/>
          </w:tblCellMar>
        </w:tblPrEx>
        <w:trPr>
          <w:trHeight w:val="552" w:hRule="atLeast"/>
        </w:trPr>
        <w:tc>
          <w:tcPr>
            <w:tcW w:w="8784" w:type="dxa"/>
            <w:tcBorders>
              <w:top w:val="nil"/>
              <w:left w:val="nil"/>
              <w:bottom w:val="nil"/>
              <w:right w:val="nil"/>
            </w:tcBorders>
            <w:vAlign w:val="center"/>
          </w:tcPr>
          <w:p>
            <w:pPr>
              <w:jc w:val="center"/>
              <w:textAlignment w:val="center"/>
              <w:rPr>
                <w:rFonts w:ascii="方正小标宋_GBK" w:eastAsia="方正小标宋_GBK"/>
                <w:sz w:val="36"/>
                <w:szCs w:val="36"/>
              </w:rPr>
            </w:pPr>
            <w:r>
              <w:rPr>
                <w:rFonts w:ascii="方正小标宋_GBK" w:eastAsia="方正小标宋_GBK"/>
                <w:sz w:val="36"/>
                <w:szCs w:val="36"/>
              </w:rPr>
              <w:t>城口县公安局2024年度部门整体绩效自评表</w:t>
            </w:r>
          </w:p>
          <w:p>
            <w:pPr>
              <w:jc w:val="center"/>
              <w:textAlignment w:val="center"/>
              <w:rPr>
                <w:rFonts w:ascii="方正仿宋_GBK" w:eastAsia="方正仿宋_GBK"/>
                <w:sz w:val="18"/>
                <w:szCs w:val="18"/>
              </w:rPr>
            </w:pPr>
            <w:r>
              <w:rPr>
                <w:rFonts w:ascii="方正小标宋_GBK" w:eastAsia="方正小标宋_GBK"/>
                <w:sz w:val="36"/>
                <w:szCs w:val="36"/>
              </w:rPr>
              <w:t xml:space="preserve">                                       </w:t>
            </w:r>
            <w:r>
              <w:rPr>
                <w:rFonts w:ascii="方正仿宋_GBK" w:eastAsia="方正仿宋_GBK"/>
                <w:sz w:val="18"/>
                <w:szCs w:val="18"/>
              </w:rPr>
              <w:t>金额单位：万元</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3"/>
              <w:gridCol w:w="1583"/>
              <w:gridCol w:w="465"/>
              <w:gridCol w:w="459"/>
              <w:gridCol w:w="635"/>
              <w:gridCol w:w="764"/>
              <w:gridCol w:w="890"/>
              <w:gridCol w:w="673"/>
              <w:gridCol w:w="1173"/>
              <w:gridCol w:w="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01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填报单位</w:t>
                  </w:r>
                </w:p>
              </w:tc>
              <w:tc>
                <w:tcPr>
                  <w:tcW w:w="3906" w:type="dxa"/>
                  <w:gridSpan w:val="5"/>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312-城口县公安局</w:t>
                  </w:r>
                </w:p>
              </w:tc>
              <w:tc>
                <w:tcPr>
                  <w:tcW w:w="890"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财政归口处室</w:t>
                  </w:r>
                </w:p>
              </w:tc>
              <w:tc>
                <w:tcPr>
                  <w:tcW w:w="2749" w:type="dxa"/>
                  <w:gridSpan w:val="3"/>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001-行政财务和社会保障科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Merge w:val="restart"/>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部门预算执行情况</w:t>
                  </w:r>
                </w:p>
              </w:tc>
              <w:tc>
                <w:tcPr>
                  <w:tcW w:w="2048" w:type="dxa"/>
                  <w:gridSpan w:val="2"/>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预算数</w:t>
                  </w:r>
                </w:p>
              </w:tc>
              <w:tc>
                <w:tcPr>
                  <w:tcW w:w="1858" w:type="dxa"/>
                  <w:gridSpan w:val="3"/>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highlight w:val="yellow"/>
                    </w:rPr>
                    <w:t>监控节点执行数</w:t>
                  </w:r>
                </w:p>
              </w:tc>
              <w:tc>
                <w:tcPr>
                  <w:tcW w:w="1563" w:type="dxa"/>
                  <w:gridSpan w:val="2"/>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监控节点执行率</w:t>
                  </w:r>
                </w:p>
              </w:tc>
              <w:tc>
                <w:tcPr>
                  <w:tcW w:w="117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全年预算执行率</w:t>
                  </w:r>
                </w:p>
              </w:tc>
              <w:tc>
                <w:tcPr>
                  <w:tcW w:w="90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全年预计执行率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Merge w:val="continue"/>
                  <w:vAlign w:val="center"/>
                </w:tcPr>
                <w:p>
                  <w:pPr>
                    <w:widowControl w:val="0"/>
                    <w:jc w:val="center"/>
                    <w:textAlignment w:val="center"/>
                    <w:rPr>
                      <w:rFonts w:ascii="方正仿宋_GBK" w:eastAsia="方正仿宋_GBK"/>
                      <w:sz w:val="18"/>
                      <w:szCs w:val="18"/>
                    </w:rPr>
                  </w:pPr>
                </w:p>
              </w:tc>
              <w:tc>
                <w:tcPr>
                  <w:tcW w:w="2048" w:type="dxa"/>
                  <w:gridSpan w:val="2"/>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12192.07</w:t>
                  </w:r>
                </w:p>
              </w:tc>
              <w:tc>
                <w:tcPr>
                  <w:tcW w:w="1858" w:type="dxa"/>
                  <w:gridSpan w:val="3"/>
                  <w:vAlign w:val="center"/>
                </w:tcPr>
                <w:p>
                  <w:pPr>
                    <w:widowControl w:val="0"/>
                    <w:jc w:val="center"/>
                    <w:textAlignment w:val="center"/>
                    <w:rPr>
                      <w:rFonts w:ascii="方正仿宋_GBK" w:eastAsia="方正仿宋_GBK"/>
                      <w:sz w:val="18"/>
                      <w:szCs w:val="18"/>
                    </w:rPr>
                  </w:pPr>
                </w:p>
              </w:tc>
              <w:tc>
                <w:tcPr>
                  <w:tcW w:w="1563" w:type="dxa"/>
                  <w:gridSpan w:val="2"/>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0.00</w:t>
                  </w:r>
                </w:p>
              </w:tc>
              <w:tc>
                <w:tcPr>
                  <w:tcW w:w="1173" w:type="dxa"/>
                  <w:vAlign w:val="center"/>
                </w:tcPr>
                <w:p>
                  <w:pPr>
                    <w:widowControl w:val="0"/>
                    <w:jc w:val="center"/>
                    <w:textAlignment w:val="center"/>
                    <w:rPr>
                      <w:rFonts w:ascii="方正仿宋_GBK" w:eastAsia="方正仿宋_GBK"/>
                      <w:sz w:val="18"/>
                      <w:szCs w:val="18"/>
                    </w:rPr>
                  </w:pPr>
                </w:p>
              </w:tc>
              <w:tc>
                <w:tcPr>
                  <w:tcW w:w="903" w:type="dxa"/>
                  <w:vAlign w:val="center"/>
                </w:tcPr>
                <w:p>
                  <w:pPr>
                    <w:widowControl w:val="0"/>
                    <w:jc w:val="center"/>
                    <w:textAlignment w:val="center"/>
                    <w:rPr>
                      <w:rFonts w:ascii="方正仿宋_GBK"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Merge w:val="continue"/>
                  <w:vAlign w:val="center"/>
                </w:tcPr>
                <w:p>
                  <w:pPr>
                    <w:widowControl w:val="0"/>
                    <w:jc w:val="center"/>
                    <w:textAlignment w:val="center"/>
                    <w:rPr>
                      <w:rFonts w:ascii="方正仿宋_GBK" w:eastAsia="方正仿宋_GBK"/>
                      <w:sz w:val="18"/>
                      <w:szCs w:val="18"/>
                    </w:rPr>
                  </w:pPr>
                </w:p>
              </w:tc>
              <w:tc>
                <w:tcPr>
                  <w:tcW w:w="2048" w:type="dxa"/>
                  <w:gridSpan w:val="2"/>
                  <w:vAlign w:val="center"/>
                </w:tcPr>
                <w:p>
                  <w:pPr>
                    <w:widowControl w:val="0"/>
                    <w:jc w:val="center"/>
                    <w:textAlignment w:val="center"/>
                    <w:rPr>
                      <w:rFonts w:ascii="方正仿宋_GBK" w:eastAsia="方正仿宋_GBK"/>
                      <w:sz w:val="18"/>
                      <w:szCs w:val="18"/>
                    </w:rPr>
                  </w:pPr>
                </w:p>
              </w:tc>
              <w:tc>
                <w:tcPr>
                  <w:tcW w:w="1858" w:type="dxa"/>
                  <w:gridSpan w:val="3"/>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9788.50</w:t>
                  </w:r>
                </w:p>
              </w:tc>
              <w:tc>
                <w:tcPr>
                  <w:tcW w:w="1563" w:type="dxa"/>
                  <w:gridSpan w:val="2"/>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79.36</w:t>
                  </w:r>
                </w:p>
              </w:tc>
              <w:tc>
                <w:tcPr>
                  <w:tcW w:w="117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12333.54</w:t>
                  </w:r>
                </w:p>
              </w:tc>
              <w:tc>
                <w:tcPr>
                  <w:tcW w:w="90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Merge w:val="restart"/>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当年整体绩效目标</w:t>
                  </w:r>
                </w:p>
              </w:tc>
              <w:tc>
                <w:tcPr>
                  <w:tcW w:w="3906" w:type="dxa"/>
                  <w:gridSpan w:val="5"/>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当年绩效目标</w:t>
                  </w:r>
                </w:p>
              </w:tc>
              <w:tc>
                <w:tcPr>
                  <w:tcW w:w="1563" w:type="dxa"/>
                  <w:gridSpan w:val="2"/>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监控节点实际完成情况</w:t>
                  </w:r>
                </w:p>
              </w:tc>
              <w:tc>
                <w:tcPr>
                  <w:tcW w:w="2076" w:type="dxa"/>
                  <w:gridSpan w:val="2"/>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全年预计完成情况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0" w:hRule="atLeast"/>
              </w:trPr>
              <w:tc>
                <w:tcPr>
                  <w:tcW w:w="1013" w:type="dxa"/>
                  <w:vMerge w:val="continue"/>
                  <w:vAlign w:val="center"/>
                </w:tcPr>
                <w:p>
                  <w:pPr>
                    <w:widowControl w:val="0"/>
                    <w:jc w:val="center"/>
                    <w:textAlignment w:val="center"/>
                    <w:rPr>
                      <w:rFonts w:ascii="方正仿宋_GBK" w:eastAsia="方正仿宋_GBK"/>
                      <w:sz w:val="18"/>
                      <w:szCs w:val="18"/>
                    </w:rPr>
                  </w:pPr>
                </w:p>
              </w:tc>
              <w:tc>
                <w:tcPr>
                  <w:tcW w:w="3906" w:type="dxa"/>
                  <w:gridSpan w:val="5"/>
                  <w:vAlign w:val="center"/>
                </w:tcPr>
                <w:p>
                  <w:pPr>
                    <w:widowControl w:val="0"/>
                    <w:jc w:val="left"/>
                    <w:textAlignment w:val="center"/>
                    <w:rPr>
                      <w:rFonts w:ascii="方正仿宋_GBK" w:eastAsia="方正仿宋_GBK"/>
                      <w:sz w:val="18"/>
                      <w:szCs w:val="18"/>
                    </w:rPr>
                  </w:pPr>
                  <w:r>
                    <w:rPr>
                      <w:rFonts w:ascii="方正仿宋_GBK" w:eastAsia="方正仿宋_GBK"/>
                      <w:sz w:val="18"/>
                      <w:szCs w:val="18"/>
                    </w:rPr>
                    <w:t>完成本县辖区内危害国家安全和刑事犯罪案件的侦查工作，处置严重危害社会安定的聚众闹事、骚乱事件和治安案件；查处《刑法》规定由公安机关侦查的经济犯罪案件。保障全县道路交通安全，维护交通秩序，查处交通事故，开展交通安全宣传，管理机动车和驾驶员。完成社会治安管理，依法对户籍、居民身份证、出入境证件、特种行业、文化娱乐服务场所、枪支弹药、管制刀具、民用爆炸物品、剧毒物品、放射性同位素等进行日常管理。</w:t>
                  </w:r>
                </w:p>
              </w:tc>
              <w:tc>
                <w:tcPr>
                  <w:tcW w:w="1563" w:type="dxa"/>
                  <w:gridSpan w:val="2"/>
                  <w:vAlign w:val="center"/>
                </w:tcPr>
                <w:p>
                  <w:pPr>
                    <w:widowControl w:val="0"/>
                    <w:jc w:val="center"/>
                    <w:textAlignment w:val="center"/>
                    <w:rPr>
                      <w:rFonts w:ascii="方正仿宋_GBK" w:eastAsia="方正仿宋_GBK"/>
                      <w:sz w:val="18"/>
                      <w:szCs w:val="18"/>
                    </w:rPr>
                  </w:pPr>
                </w:p>
              </w:tc>
              <w:tc>
                <w:tcPr>
                  <w:tcW w:w="2076" w:type="dxa"/>
                  <w:gridSpan w:val="2"/>
                  <w:vAlign w:val="center"/>
                </w:tcPr>
                <w:p>
                  <w:pPr>
                    <w:widowControl w:val="0"/>
                    <w:jc w:val="center"/>
                    <w:textAlignment w:val="center"/>
                    <w:rPr>
                      <w:rFonts w:ascii="方正仿宋_GBK"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Merge w:val="restart"/>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绩效指标</w:t>
                  </w:r>
                </w:p>
              </w:tc>
              <w:tc>
                <w:tcPr>
                  <w:tcW w:w="158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指标</w:t>
                  </w:r>
                </w:p>
              </w:tc>
              <w:tc>
                <w:tcPr>
                  <w:tcW w:w="924" w:type="dxa"/>
                  <w:gridSpan w:val="2"/>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计量单位</w:t>
                  </w:r>
                </w:p>
              </w:tc>
              <w:tc>
                <w:tcPr>
                  <w:tcW w:w="635"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指标性质</w:t>
                  </w:r>
                </w:p>
              </w:tc>
              <w:tc>
                <w:tcPr>
                  <w:tcW w:w="764"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年初目标值</w:t>
                  </w:r>
                </w:p>
              </w:tc>
              <w:tc>
                <w:tcPr>
                  <w:tcW w:w="890"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监控节点完成值</w:t>
                  </w:r>
                </w:p>
              </w:tc>
              <w:tc>
                <w:tcPr>
                  <w:tcW w:w="67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完成程度（%）</w:t>
                  </w:r>
                </w:p>
              </w:tc>
              <w:tc>
                <w:tcPr>
                  <w:tcW w:w="117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偏差原因和纠正措施</w:t>
                  </w:r>
                </w:p>
              </w:tc>
              <w:tc>
                <w:tcPr>
                  <w:tcW w:w="90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全年完成目标可能性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Merge w:val="continue"/>
                  <w:vAlign w:val="center"/>
                </w:tcPr>
                <w:p>
                  <w:pPr>
                    <w:widowControl w:val="0"/>
                    <w:jc w:val="center"/>
                    <w:textAlignment w:val="center"/>
                    <w:rPr>
                      <w:rFonts w:ascii="方正仿宋_GBK" w:eastAsia="方正仿宋_GBK"/>
                      <w:sz w:val="18"/>
                      <w:szCs w:val="18"/>
                    </w:rPr>
                  </w:pPr>
                </w:p>
              </w:tc>
              <w:tc>
                <w:tcPr>
                  <w:tcW w:w="1583" w:type="dxa"/>
                  <w:vAlign w:val="center"/>
                </w:tcPr>
                <w:p>
                  <w:pPr>
                    <w:widowControl w:val="0"/>
                    <w:jc w:val="center"/>
                    <w:rPr>
                      <w:rFonts w:ascii="方正仿宋_GBK" w:eastAsia="方正仿宋_GBK"/>
                      <w:sz w:val="18"/>
                      <w:szCs w:val="18"/>
                    </w:rPr>
                  </w:pPr>
                  <w:r>
                    <w:rPr>
                      <w:rFonts w:ascii="方正仿宋_GBK" w:eastAsia="方正仿宋_GBK"/>
                      <w:sz w:val="18"/>
                      <w:szCs w:val="18"/>
                    </w:rPr>
                    <w:t>办理车驾管业务</w:t>
                  </w:r>
                </w:p>
              </w:tc>
              <w:tc>
                <w:tcPr>
                  <w:tcW w:w="924" w:type="dxa"/>
                  <w:gridSpan w:val="2"/>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万件</w:t>
                  </w:r>
                </w:p>
              </w:tc>
              <w:tc>
                <w:tcPr>
                  <w:tcW w:w="635"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w:t>
                  </w:r>
                </w:p>
              </w:tc>
              <w:tc>
                <w:tcPr>
                  <w:tcW w:w="764"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3.5</w:t>
                  </w:r>
                </w:p>
              </w:tc>
              <w:tc>
                <w:tcPr>
                  <w:tcW w:w="890"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3.5</w:t>
                  </w:r>
                </w:p>
              </w:tc>
              <w:tc>
                <w:tcPr>
                  <w:tcW w:w="67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100%</w:t>
                  </w:r>
                </w:p>
              </w:tc>
              <w:tc>
                <w:tcPr>
                  <w:tcW w:w="1173" w:type="dxa"/>
                  <w:vAlign w:val="center"/>
                </w:tcPr>
                <w:p>
                  <w:pPr>
                    <w:widowControl w:val="0"/>
                    <w:jc w:val="center"/>
                    <w:textAlignment w:val="center"/>
                    <w:rPr>
                      <w:rFonts w:ascii="方正仿宋_GBK" w:eastAsia="方正仿宋_GBK"/>
                      <w:sz w:val="18"/>
                      <w:szCs w:val="18"/>
                    </w:rPr>
                  </w:pPr>
                </w:p>
              </w:tc>
              <w:tc>
                <w:tcPr>
                  <w:tcW w:w="90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确定能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Merge w:val="continue"/>
                  <w:vAlign w:val="center"/>
                </w:tcPr>
                <w:p>
                  <w:pPr>
                    <w:widowControl w:val="0"/>
                    <w:jc w:val="center"/>
                    <w:textAlignment w:val="center"/>
                    <w:rPr>
                      <w:rFonts w:ascii="方正仿宋_GBK" w:eastAsia="方正仿宋_GBK"/>
                      <w:sz w:val="18"/>
                      <w:szCs w:val="18"/>
                    </w:rPr>
                  </w:pPr>
                </w:p>
              </w:tc>
              <w:tc>
                <w:tcPr>
                  <w:tcW w:w="158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全县总警情数量</w:t>
                  </w:r>
                </w:p>
              </w:tc>
              <w:tc>
                <w:tcPr>
                  <w:tcW w:w="924" w:type="dxa"/>
                  <w:gridSpan w:val="2"/>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万件</w:t>
                  </w:r>
                </w:p>
              </w:tc>
              <w:tc>
                <w:tcPr>
                  <w:tcW w:w="635"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w:t>
                  </w:r>
                </w:p>
              </w:tc>
              <w:tc>
                <w:tcPr>
                  <w:tcW w:w="764"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1.5</w:t>
                  </w:r>
                </w:p>
              </w:tc>
              <w:tc>
                <w:tcPr>
                  <w:tcW w:w="890"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1.5</w:t>
                  </w:r>
                </w:p>
              </w:tc>
              <w:tc>
                <w:tcPr>
                  <w:tcW w:w="67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100%</w:t>
                  </w:r>
                </w:p>
              </w:tc>
              <w:tc>
                <w:tcPr>
                  <w:tcW w:w="1173" w:type="dxa"/>
                  <w:vAlign w:val="center"/>
                </w:tcPr>
                <w:p>
                  <w:pPr>
                    <w:widowControl w:val="0"/>
                    <w:jc w:val="center"/>
                    <w:textAlignment w:val="center"/>
                    <w:rPr>
                      <w:rFonts w:ascii="方正仿宋_GBK" w:eastAsia="方正仿宋_GBK"/>
                      <w:sz w:val="18"/>
                      <w:szCs w:val="18"/>
                    </w:rPr>
                  </w:pPr>
                </w:p>
              </w:tc>
              <w:tc>
                <w:tcPr>
                  <w:tcW w:w="90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确定能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Merge w:val="continue"/>
                  <w:vAlign w:val="center"/>
                </w:tcPr>
                <w:p>
                  <w:pPr>
                    <w:widowControl w:val="0"/>
                    <w:jc w:val="center"/>
                    <w:textAlignment w:val="center"/>
                    <w:rPr>
                      <w:rFonts w:ascii="方正仿宋_GBK" w:eastAsia="方正仿宋_GBK"/>
                      <w:sz w:val="18"/>
                      <w:szCs w:val="18"/>
                    </w:rPr>
                  </w:pPr>
                </w:p>
              </w:tc>
              <w:tc>
                <w:tcPr>
                  <w:tcW w:w="158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办理身份证数量</w:t>
                  </w:r>
                </w:p>
              </w:tc>
              <w:tc>
                <w:tcPr>
                  <w:tcW w:w="924" w:type="dxa"/>
                  <w:gridSpan w:val="2"/>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万个</w:t>
                  </w:r>
                </w:p>
              </w:tc>
              <w:tc>
                <w:tcPr>
                  <w:tcW w:w="635"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w:t>
                  </w:r>
                </w:p>
              </w:tc>
              <w:tc>
                <w:tcPr>
                  <w:tcW w:w="764"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1.5</w:t>
                  </w:r>
                </w:p>
              </w:tc>
              <w:tc>
                <w:tcPr>
                  <w:tcW w:w="890"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1.5</w:t>
                  </w:r>
                </w:p>
              </w:tc>
              <w:tc>
                <w:tcPr>
                  <w:tcW w:w="67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100%</w:t>
                  </w:r>
                </w:p>
              </w:tc>
              <w:tc>
                <w:tcPr>
                  <w:tcW w:w="1173" w:type="dxa"/>
                  <w:vAlign w:val="center"/>
                </w:tcPr>
                <w:p>
                  <w:pPr>
                    <w:widowControl w:val="0"/>
                    <w:jc w:val="center"/>
                    <w:textAlignment w:val="center"/>
                    <w:rPr>
                      <w:rFonts w:ascii="方正仿宋_GBK" w:eastAsia="方正仿宋_GBK"/>
                      <w:sz w:val="18"/>
                      <w:szCs w:val="18"/>
                    </w:rPr>
                  </w:pPr>
                </w:p>
              </w:tc>
              <w:tc>
                <w:tcPr>
                  <w:tcW w:w="90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确定能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Merge w:val="continue"/>
                  <w:vAlign w:val="center"/>
                </w:tcPr>
                <w:p>
                  <w:pPr>
                    <w:widowControl w:val="0"/>
                    <w:jc w:val="center"/>
                    <w:textAlignment w:val="center"/>
                    <w:rPr>
                      <w:rFonts w:ascii="方正仿宋_GBK" w:eastAsia="方正仿宋_GBK"/>
                      <w:sz w:val="18"/>
                      <w:szCs w:val="18"/>
                    </w:rPr>
                  </w:pPr>
                </w:p>
              </w:tc>
              <w:tc>
                <w:tcPr>
                  <w:tcW w:w="158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第三季度预算执行率</w:t>
                  </w:r>
                </w:p>
              </w:tc>
              <w:tc>
                <w:tcPr>
                  <w:tcW w:w="924" w:type="dxa"/>
                  <w:gridSpan w:val="2"/>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w:t>
                  </w:r>
                </w:p>
              </w:tc>
              <w:tc>
                <w:tcPr>
                  <w:tcW w:w="635"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w:t>
                  </w:r>
                </w:p>
              </w:tc>
              <w:tc>
                <w:tcPr>
                  <w:tcW w:w="764"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75</w:t>
                  </w:r>
                </w:p>
              </w:tc>
              <w:tc>
                <w:tcPr>
                  <w:tcW w:w="890"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75</w:t>
                  </w:r>
                </w:p>
              </w:tc>
              <w:tc>
                <w:tcPr>
                  <w:tcW w:w="67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100%</w:t>
                  </w:r>
                </w:p>
              </w:tc>
              <w:tc>
                <w:tcPr>
                  <w:tcW w:w="1173" w:type="dxa"/>
                  <w:vAlign w:val="center"/>
                </w:tcPr>
                <w:p>
                  <w:pPr>
                    <w:widowControl w:val="0"/>
                    <w:jc w:val="center"/>
                    <w:textAlignment w:val="center"/>
                    <w:rPr>
                      <w:rFonts w:ascii="方正仿宋_GBK" w:eastAsia="方正仿宋_GBK"/>
                      <w:sz w:val="18"/>
                      <w:szCs w:val="18"/>
                    </w:rPr>
                  </w:pPr>
                </w:p>
              </w:tc>
              <w:tc>
                <w:tcPr>
                  <w:tcW w:w="90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确定能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Merge w:val="continue"/>
                  <w:vAlign w:val="center"/>
                </w:tcPr>
                <w:p>
                  <w:pPr>
                    <w:widowControl w:val="0"/>
                    <w:jc w:val="center"/>
                    <w:textAlignment w:val="center"/>
                    <w:rPr>
                      <w:rFonts w:ascii="方正仿宋_GBK" w:eastAsia="方正仿宋_GBK"/>
                      <w:sz w:val="18"/>
                      <w:szCs w:val="18"/>
                    </w:rPr>
                  </w:pPr>
                </w:p>
              </w:tc>
              <w:tc>
                <w:tcPr>
                  <w:tcW w:w="158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群众满意度</w:t>
                  </w:r>
                </w:p>
              </w:tc>
              <w:tc>
                <w:tcPr>
                  <w:tcW w:w="924" w:type="dxa"/>
                  <w:gridSpan w:val="2"/>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w:t>
                  </w:r>
                </w:p>
              </w:tc>
              <w:tc>
                <w:tcPr>
                  <w:tcW w:w="635"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w:t>
                  </w:r>
                </w:p>
              </w:tc>
              <w:tc>
                <w:tcPr>
                  <w:tcW w:w="764"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95</w:t>
                  </w:r>
                </w:p>
              </w:tc>
              <w:tc>
                <w:tcPr>
                  <w:tcW w:w="890"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95</w:t>
                  </w:r>
                </w:p>
              </w:tc>
              <w:tc>
                <w:tcPr>
                  <w:tcW w:w="67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100%</w:t>
                  </w:r>
                </w:p>
              </w:tc>
              <w:tc>
                <w:tcPr>
                  <w:tcW w:w="1173" w:type="dxa"/>
                  <w:vAlign w:val="center"/>
                </w:tcPr>
                <w:p>
                  <w:pPr>
                    <w:widowControl w:val="0"/>
                    <w:jc w:val="center"/>
                    <w:textAlignment w:val="center"/>
                    <w:rPr>
                      <w:rFonts w:ascii="方正仿宋_GBK" w:eastAsia="方正仿宋_GBK"/>
                      <w:sz w:val="18"/>
                      <w:szCs w:val="18"/>
                    </w:rPr>
                  </w:pPr>
                </w:p>
              </w:tc>
              <w:tc>
                <w:tcPr>
                  <w:tcW w:w="90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确定能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Merge w:val="continue"/>
                  <w:vAlign w:val="center"/>
                </w:tcPr>
                <w:p>
                  <w:pPr>
                    <w:widowControl w:val="0"/>
                    <w:jc w:val="center"/>
                    <w:textAlignment w:val="center"/>
                    <w:rPr>
                      <w:rFonts w:ascii="方正仿宋_GBK" w:eastAsia="方正仿宋_GBK"/>
                      <w:sz w:val="18"/>
                      <w:szCs w:val="18"/>
                    </w:rPr>
                  </w:pPr>
                </w:p>
              </w:tc>
              <w:tc>
                <w:tcPr>
                  <w:tcW w:w="158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部门预算按时公开率</w:t>
                  </w:r>
                </w:p>
              </w:tc>
              <w:tc>
                <w:tcPr>
                  <w:tcW w:w="924" w:type="dxa"/>
                  <w:gridSpan w:val="2"/>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w:t>
                  </w:r>
                </w:p>
              </w:tc>
              <w:tc>
                <w:tcPr>
                  <w:tcW w:w="635"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w:t>
                  </w:r>
                </w:p>
              </w:tc>
              <w:tc>
                <w:tcPr>
                  <w:tcW w:w="764"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100</w:t>
                  </w:r>
                </w:p>
              </w:tc>
              <w:tc>
                <w:tcPr>
                  <w:tcW w:w="890"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100</w:t>
                  </w:r>
                </w:p>
              </w:tc>
              <w:tc>
                <w:tcPr>
                  <w:tcW w:w="67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100%</w:t>
                  </w:r>
                </w:p>
              </w:tc>
              <w:tc>
                <w:tcPr>
                  <w:tcW w:w="1173" w:type="dxa"/>
                  <w:vAlign w:val="center"/>
                </w:tcPr>
                <w:p>
                  <w:pPr>
                    <w:widowControl w:val="0"/>
                    <w:jc w:val="center"/>
                    <w:textAlignment w:val="center"/>
                    <w:rPr>
                      <w:rFonts w:ascii="方正仿宋_GBK" w:eastAsia="方正仿宋_GBK"/>
                      <w:sz w:val="18"/>
                      <w:szCs w:val="18"/>
                    </w:rPr>
                  </w:pPr>
                </w:p>
              </w:tc>
              <w:tc>
                <w:tcPr>
                  <w:tcW w:w="90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确定能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Merge w:val="continue"/>
                  <w:vAlign w:val="center"/>
                </w:tcPr>
                <w:p>
                  <w:pPr>
                    <w:widowControl w:val="0"/>
                    <w:jc w:val="center"/>
                    <w:textAlignment w:val="center"/>
                    <w:rPr>
                      <w:rFonts w:ascii="方正仿宋_GBK" w:eastAsia="方正仿宋_GBK"/>
                      <w:sz w:val="18"/>
                      <w:szCs w:val="18"/>
                    </w:rPr>
                  </w:pPr>
                </w:p>
              </w:tc>
              <w:tc>
                <w:tcPr>
                  <w:tcW w:w="158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现行命案破案率</w:t>
                  </w:r>
                </w:p>
              </w:tc>
              <w:tc>
                <w:tcPr>
                  <w:tcW w:w="924" w:type="dxa"/>
                  <w:gridSpan w:val="2"/>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w:t>
                  </w:r>
                </w:p>
              </w:tc>
              <w:tc>
                <w:tcPr>
                  <w:tcW w:w="635"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w:t>
                  </w:r>
                </w:p>
              </w:tc>
              <w:tc>
                <w:tcPr>
                  <w:tcW w:w="764"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100</w:t>
                  </w:r>
                </w:p>
              </w:tc>
              <w:tc>
                <w:tcPr>
                  <w:tcW w:w="890"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100</w:t>
                  </w:r>
                </w:p>
              </w:tc>
              <w:tc>
                <w:tcPr>
                  <w:tcW w:w="67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100%</w:t>
                  </w:r>
                </w:p>
              </w:tc>
              <w:tc>
                <w:tcPr>
                  <w:tcW w:w="1173" w:type="dxa"/>
                  <w:vAlign w:val="center"/>
                </w:tcPr>
                <w:p>
                  <w:pPr>
                    <w:widowControl w:val="0"/>
                    <w:jc w:val="center"/>
                    <w:textAlignment w:val="center"/>
                    <w:rPr>
                      <w:rFonts w:ascii="方正仿宋_GBK" w:eastAsia="方正仿宋_GBK"/>
                      <w:sz w:val="18"/>
                      <w:szCs w:val="18"/>
                    </w:rPr>
                  </w:pPr>
                </w:p>
              </w:tc>
              <w:tc>
                <w:tcPr>
                  <w:tcW w:w="90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确定能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Merge w:val="continue"/>
                  <w:vAlign w:val="center"/>
                </w:tcPr>
                <w:p>
                  <w:pPr>
                    <w:widowControl w:val="0"/>
                    <w:jc w:val="center"/>
                    <w:textAlignment w:val="center"/>
                    <w:rPr>
                      <w:rFonts w:ascii="方正小标宋_GBK" w:eastAsia="方正小标宋_GBK"/>
                      <w:sz w:val="18"/>
                      <w:szCs w:val="18"/>
                    </w:rPr>
                  </w:pPr>
                </w:p>
              </w:tc>
              <w:tc>
                <w:tcPr>
                  <w:tcW w:w="158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全年预算执行率</w:t>
                  </w:r>
                </w:p>
              </w:tc>
              <w:tc>
                <w:tcPr>
                  <w:tcW w:w="924" w:type="dxa"/>
                  <w:gridSpan w:val="2"/>
                  <w:vAlign w:val="center"/>
                </w:tcPr>
                <w:p>
                  <w:pPr>
                    <w:widowControl w:val="0"/>
                    <w:jc w:val="center"/>
                    <w:textAlignment w:val="center"/>
                    <w:rPr>
                      <w:rFonts w:ascii="方正小标宋_GBK" w:eastAsia="方正小标宋_GBK"/>
                      <w:sz w:val="18"/>
                      <w:szCs w:val="18"/>
                    </w:rPr>
                  </w:pPr>
                  <w:r>
                    <w:rPr>
                      <w:rFonts w:ascii="方正仿宋_GBK" w:eastAsia="方正仿宋_GBK"/>
                      <w:sz w:val="18"/>
                      <w:szCs w:val="18"/>
                    </w:rPr>
                    <w:t>%</w:t>
                  </w:r>
                </w:p>
              </w:tc>
              <w:tc>
                <w:tcPr>
                  <w:tcW w:w="635"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w:t>
                  </w:r>
                </w:p>
              </w:tc>
              <w:tc>
                <w:tcPr>
                  <w:tcW w:w="764"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100</w:t>
                  </w:r>
                </w:p>
              </w:tc>
              <w:tc>
                <w:tcPr>
                  <w:tcW w:w="890"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100</w:t>
                  </w:r>
                </w:p>
              </w:tc>
              <w:tc>
                <w:tcPr>
                  <w:tcW w:w="67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100%</w:t>
                  </w:r>
                </w:p>
              </w:tc>
              <w:tc>
                <w:tcPr>
                  <w:tcW w:w="1173" w:type="dxa"/>
                  <w:vAlign w:val="center"/>
                </w:tcPr>
                <w:p>
                  <w:pPr>
                    <w:widowControl w:val="0"/>
                    <w:jc w:val="center"/>
                    <w:textAlignment w:val="center"/>
                    <w:rPr>
                      <w:rFonts w:ascii="方正小标宋_GBK" w:eastAsia="方正小标宋_GBK"/>
                      <w:sz w:val="18"/>
                      <w:szCs w:val="18"/>
                    </w:rPr>
                  </w:pPr>
                </w:p>
              </w:tc>
              <w:tc>
                <w:tcPr>
                  <w:tcW w:w="903" w:type="dxa"/>
                  <w:vAlign w:val="center"/>
                </w:tcPr>
                <w:p>
                  <w:pPr>
                    <w:widowControl w:val="0"/>
                    <w:jc w:val="center"/>
                    <w:textAlignment w:val="center"/>
                    <w:rPr>
                      <w:rFonts w:ascii="方正小标宋_GBK" w:eastAsia="方正小标宋_GBK"/>
                      <w:sz w:val="18"/>
                      <w:szCs w:val="18"/>
                    </w:rPr>
                  </w:pPr>
                  <w:r>
                    <w:rPr>
                      <w:rFonts w:ascii="方正仿宋_GBK" w:eastAsia="方正仿宋_GBK"/>
                      <w:sz w:val="18"/>
                      <w:szCs w:val="18"/>
                    </w:rPr>
                    <w:t>确定能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联系人</w:t>
                  </w:r>
                </w:p>
              </w:tc>
              <w:tc>
                <w:tcPr>
                  <w:tcW w:w="3906" w:type="dxa"/>
                  <w:gridSpan w:val="5"/>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胡微</w:t>
                  </w:r>
                </w:p>
              </w:tc>
              <w:tc>
                <w:tcPr>
                  <w:tcW w:w="890"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联系电话</w:t>
                  </w:r>
                </w:p>
              </w:tc>
              <w:tc>
                <w:tcPr>
                  <w:tcW w:w="2749" w:type="dxa"/>
                  <w:gridSpan w:val="3"/>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023-59222947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其他说明</w:t>
                  </w:r>
                </w:p>
              </w:tc>
              <w:tc>
                <w:tcPr>
                  <w:tcW w:w="7545" w:type="dxa"/>
                  <w:gridSpan w:val="9"/>
                  <w:vAlign w:val="center"/>
                </w:tcPr>
                <w:p>
                  <w:pPr>
                    <w:widowControl w:val="0"/>
                    <w:jc w:val="center"/>
                    <w:textAlignment w:val="center"/>
                    <w:rPr>
                      <w:rFonts w:ascii="方正仿宋_GBK"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vAlign w:val="center"/>
                </w:tcPr>
                <w:p>
                  <w:pPr>
                    <w:widowControl w:val="0"/>
                    <w:jc w:val="center"/>
                    <w:textAlignment w:val="center"/>
                    <w:rPr>
                      <w:rFonts w:ascii="方正仿宋_GBK" w:eastAsia="方正仿宋_GBK"/>
                      <w:sz w:val="18"/>
                      <w:szCs w:val="18"/>
                    </w:rPr>
                  </w:pPr>
                  <w:r>
                    <w:rPr>
                      <w:rFonts w:ascii="方正仿宋_GBK" w:eastAsia="方正仿宋_GBK"/>
                      <w:sz w:val="18"/>
                      <w:szCs w:val="18"/>
                    </w:rPr>
                    <w:t>添加附件</w:t>
                  </w:r>
                </w:p>
              </w:tc>
              <w:tc>
                <w:tcPr>
                  <w:tcW w:w="7545" w:type="dxa"/>
                  <w:gridSpan w:val="9"/>
                  <w:vAlign w:val="center"/>
                </w:tcPr>
                <w:p>
                  <w:pPr>
                    <w:widowControl w:val="0"/>
                    <w:jc w:val="center"/>
                    <w:textAlignment w:val="center"/>
                    <w:rPr>
                      <w:rFonts w:ascii="方正仿宋_GBK" w:eastAsia="方正仿宋_GBK"/>
                      <w:sz w:val="18"/>
                      <w:szCs w:val="18"/>
                    </w:rPr>
                  </w:pPr>
                </w:p>
              </w:tc>
            </w:tr>
          </w:tbl>
          <w:p>
            <w:pPr>
              <w:jc w:val="center"/>
              <w:textAlignment w:val="center"/>
              <w:rPr>
                <w:rFonts w:ascii="方正小标宋_GBK" w:eastAsia="方正小标宋_GBK"/>
                <w:kern w:val="2"/>
                <w:sz w:val="36"/>
                <w:szCs w:val="36"/>
              </w:rPr>
            </w:pPr>
          </w:p>
        </w:tc>
      </w:tr>
    </w:tbl>
    <w:p>
      <w:pPr>
        <w:pStyle w:val="12"/>
        <w:spacing w:before="0" w:beforeAutospacing="0" w:line="600" w:lineRule="exact"/>
        <w:rPr>
          <w:rFonts w:hint="eastAsia" w:ascii="方正仿宋_GBK" w:hAnsi="方正仿宋_GBK" w:eastAsia="方正仿宋_GBK" w:cs="方正仿宋_GBK"/>
          <w:sz w:val="28"/>
          <w:szCs w:val="28"/>
          <w:shd w:val="clear" w:color="auto" w:fill="FFFFFF"/>
        </w:rPr>
      </w:pPr>
      <w:r>
        <w:rPr>
          <w:rFonts w:hint="eastAsia" w:ascii="方正仿宋_GBK" w:hAnsi="方正仿宋_GBK" w:eastAsia="方正仿宋_GBK" w:cs="方正仿宋_GBK"/>
          <w:sz w:val="28"/>
          <w:szCs w:val="28"/>
          <w:shd w:val="clear" w:color="auto" w:fill="FFFFFF"/>
        </w:rPr>
        <w:t>项目支出绩效自评表（二级项目）</w:t>
      </w:r>
    </w:p>
    <w:p>
      <w:pPr>
        <w:pStyle w:val="12"/>
        <w:spacing w:before="0" w:beforeAutospacing="0" w:line="600" w:lineRule="exact"/>
        <w:rPr>
          <w:rFonts w:hint="eastAsia" w:ascii="方正小标宋_GBK" w:eastAsia="方正小标宋_GBK"/>
          <w:sz w:val="36"/>
          <w:szCs w:val="36"/>
        </w:rPr>
      </w:pPr>
      <w:r>
        <w:rPr>
          <w:rFonts w:hint="eastAsia" w:ascii="方正小标宋_GBK" w:eastAsia="方正小标宋_GBK"/>
          <w:sz w:val="36"/>
          <w:szCs w:val="36"/>
        </w:rPr>
        <w:t>城口县公安局2024年度项目支出绩效自评情况表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1688"/>
        <w:gridCol w:w="917"/>
        <w:gridCol w:w="636"/>
        <w:gridCol w:w="746"/>
        <w:gridCol w:w="636"/>
        <w:gridCol w:w="655"/>
        <w:gridCol w:w="886"/>
        <w:gridCol w:w="637"/>
        <w:gridCol w:w="49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0" w:type="auto"/>
            <w:vAlign w:val="center"/>
          </w:tcPr>
          <w:p>
            <w:pPr>
              <w:pStyle w:val="12"/>
              <w:widowControl w:val="0"/>
              <w:spacing w:before="0" w:beforeAutospacing="0" w:line="200" w:lineRule="atLeast"/>
              <w:jc w:val="center"/>
              <w:rPr>
                <w:rFonts w:hint="eastAsia" w:ascii="黑体" w:hAnsi="黑体" w:eastAsia="黑体" w:cs="方正仿宋_GBK"/>
                <w:sz w:val="21"/>
                <w:szCs w:val="21"/>
                <w:shd w:val="clear" w:color="auto" w:fill="FFFFFF"/>
              </w:rPr>
            </w:pPr>
            <w:r>
              <w:rPr>
                <w:rFonts w:hint="eastAsia" w:ascii="黑体" w:hAnsi="黑体" w:eastAsia="黑体" w:cs="方正仿宋_GBK"/>
                <w:sz w:val="21"/>
                <w:szCs w:val="21"/>
                <w:shd w:val="clear" w:color="auto" w:fill="FFFFFF"/>
              </w:rPr>
              <w:t>序号</w:t>
            </w:r>
          </w:p>
        </w:tc>
        <w:tc>
          <w:tcPr>
            <w:tcW w:w="0" w:type="auto"/>
            <w:vAlign w:val="center"/>
          </w:tcPr>
          <w:p>
            <w:pPr>
              <w:pStyle w:val="12"/>
              <w:widowControl w:val="0"/>
              <w:spacing w:before="0" w:beforeAutospacing="0" w:line="200" w:lineRule="atLeast"/>
              <w:jc w:val="center"/>
              <w:rPr>
                <w:rFonts w:hint="eastAsia" w:ascii="黑体" w:hAnsi="黑体" w:eastAsia="黑体" w:cs="方正仿宋_GBK"/>
                <w:sz w:val="21"/>
                <w:szCs w:val="21"/>
                <w:shd w:val="clear" w:color="auto" w:fill="FFFFFF"/>
              </w:rPr>
            </w:pPr>
            <w:r>
              <w:rPr>
                <w:rFonts w:hint="eastAsia" w:ascii="黑体" w:hAnsi="黑体" w:eastAsia="黑体" w:cs="方正仿宋_GBK"/>
                <w:sz w:val="21"/>
                <w:szCs w:val="21"/>
                <w:shd w:val="clear" w:color="auto" w:fill="FFFFFF"/>
              </w:rPr>
              <w:t>项目名称</w:t>
            </w:r>
          </w:p>
        </w:tc>
        <w:tc>
          <w:tcPr>
            <w:tcW w:w="0" w:type="auto"/>
            <w:vAlign w:val="center"/>
          </w:tcPr>
          <w:p>
            <w:pPr>
              <w:pStyle w:val="12"/>
              <w:widowControl w:val="0"/>
              <w:spacing w:before="0" w:beforeAutospacing="0" w:line="200" w:lineRule="atLeast"/>
              <w:jc w:val="center"/>
              <w:rPr>
                <w:rFonts w:hint="eastAsia" w:ascii="黑体" w:hAnsi="黑体" w:eastAsia="黑体" w:cs="方正仿宋_GBK"/>
                <w:sz w:val="21"/>
                <w:szCs w:val="21"/>
                <w:shd w:val="clear" w:color="auto" w:fill="FFFFFF"/>
              </w:rPr>
            </w:pPr>
            <w:r>
              <w:rPr>
                <w:rFonts w:hint="eastAsia" w:ascii="黑体" w:hAnsi="黑体" w:eastAsia="黑体" w:cs="方正仿宋_GBK"/>
                <w:sz w:val="21"/>
                <w:szCs w:val="21"/>
                <w:shd w:val="clear" w:color="auto" w:fill="FFFFFF"/>
              </w:rPr>
              <w:t>指标名称</w:t>
            </w:r>
          </w:p>
        </w:tc>
        <w:tc>
          <w:tcPr>
            <w:tcW w:w="0" w:type="auto"/>
            <w:vAlign w:val="center"/>
          </w:tcPr>
          <w:p>
            <w:pPr>
              <w:pStyle w:val="12"/>
              <w:widowControl w:val="0"/>
              <w:spacing w:before="0" w:beforeAutospacing="0" w:line="200" w:lineRule="atLeast"/>
              <w:jc w:val="center"/>
              <w:rPr>
                <w:rFonts w:hint="eastAsia" w:ascii="黑体" w:hAnsi="黑体" w:eastAsia="黑体" w:cs="方正仿宋_GBK"/>
                <w:sz w:val="21"/>
                <w:szCs w:val="21"/>
                <w:shd w:val="clear" w:color="auto" w:fill="FFFFFF"/>
              </w:rPr>
            </w:pPr>
            <w:r>
              <w:rPr>
                <w:rFonts w:hint="eastAsia" w:ascii="黑体" w:hAnsi="黑体" w:eastAsia="黑体" w:cs="方正仿宋_GBK"/>
                <w:sz w:val="21"/>
                <w:szCs w:val="21"/>
                <w:shd w:val="clear" w:color="auto" w:fill="FFFFFF"/>
              </w:rPr>
              <w:t>指标性质</w:t>
            </w:r>
          </w:p>
        </w:tc>
        <w:tc>
          <w:tcPr>
            <w:tcW w:w="0" w:type="auto"/>
            <w:vAlign w:val="center"/>
          </w:tcPr>
          <w:p>
            <w:pPr>
              <w:pStyle w:val="12"/>
              <w:widowControl w:val="0"/>
              <w:spacing w:before="0" w:beforeAutospacing="0" w:line="200" w:lineRule="atLeast"/>
              <w:jc w:val="center"/>
              <w:rPr>
                <w:rFonts w:hint="eastAsia" w:ascii="黑体" w:hAnsi="黑体" w:eastAsia="黑体" w:cs="方正仿宋_GBK"/>
                <w:sz w:val="21"/>
                <w:szCs w:val="21"/>
                <w:shd w:val="clear" w:color="auto" w:fill="FFFFFF"/>
              </w:rPr>
            </w:pPr>
            <w:r>
              <w:rPr>
                <w:rFonts w:hint="eastAsia" w:ascii="黑体" w:hAnsi="黑体" w:eastAsia="黑体" w:cs="方正仿宋_GBK"/>
                <w:sz w:val="21"/>
                <w:szCs w:val="21"/>
                <w:shd w:val="clear" w:color="auto" w:fill="FFFFFF"/>
              </w:rPr>
              <w:t>指标值</w:t>
            </w:r>
          </w:p>
        </w:tc>
        <w:tc>
          <w:tcPr>
            <w:tcW w:w="0" w:type="auto"/>
            <w:vAlign w:val="center"/>
          </w:tcPr>
          <w:p>
            <w:pPr>
              <w:pStyle w:val="12"/>
              <w:widowControl w:val="0"/>
              <w:spacing w:before="0" w:beforeAutospacing="0" w:line="200" w:lineRule="atLeast"/>
              <w:jc w:val="center"/>
              <w:rPr>
                <w:rFonts w:hint="eastAsia" w:ascii="黑体" w:hAnsi="黑体" w:eastAsia="黑体" w:cs="方正仿宋_GBK"/>
                <w:sz w:val="21"/>
                <w:szCs w:val="21"/>
                <w:shd w:val="clear" w:color="auto" w:fill="FFFFFF"/>
              </w:rPr>
            </w:pPr>
            <w:r>
              <w:rPr>
                <w:rFonts w:hint="eastAsia" w:ascii="黑体" w:hAnsi="黑体" w:eastAsia="黑体" w:cs="方正仿宋_GBK"/>
                <w:sz w:val="21"/>
                <w:szCs w:val="21"/>
                <w:shd w:val="clear" w:color="auto" w:fill="FFFFFF"/>
              </w:rPr>
              <w:t>计量单位</w:t>
            </w:r>
          </w:p>
        </w:tc>
        <w:tc>
          <w:tcPr>
            <w:tcW w:w="0" w:type="auto"/>
            <w:vAlign w:val="center"/>
          </w:tcPr>
          <w:p>
            <w:pPr>
              <w:pStyle w:val="12"/>
              <w:widowControl w:val="0"/>
              <w:spacing w:before="0" w:beforeAutospacing="0" w:line="200" w:lineRule="atLeast"/>
              <w:jc w:val="center"/>
              <w:rPr>
                <w:rFonts w:hint="eastAsia" w:ascii="黑体" w:hAnsi="黑体" w:eastAsia="黑体" w:cs="方正仿宋_GBK"/>
                <w:sz w:val="21"/>
                <w:szCs w:val="21"/>
                <w:shd w:val="clear" w:color="auto" w:fill="FFFFFF"/>
              </w:rPr>
            </w:pPr>
            <w:r>
              <w:rPr>
                <w:rFonts w:hint="eastAsia" w:ascii="黑体" w:hAnsi="黑体" w:eastAsia="黑体" w:cs="方正仿宋_GBK"/>
                <w:sz w:val="21"/>
                <w:szCs w:val="21"/>
                <w:shd w:val="clear" w:color="auto" w:fill="FFFFFF"/>
              </w:rPr>
              <w:t>指标权重</w:t>
            </w:r>
          </w:p>
        </w:tc>
        <w:tc>
          <w:tcPr>
            <w:tcW w:w="0" w:type="auto"/>
            <w:vAlign w:val="center"/>
          </w:tcPr>
          <w:p>
            <w:pPr>
              <w:pStyle w:val="12"/>
              <w:widowControl w:val="0"/>
              <w:spacing w:before="0" w:beforeAutospacing="0" w:line="200" w:lineRule="atLeast"/>
              <w:jc w:val="center"/>
              <w:rPr>
                <w:rFonts w:hint="eastAsia" w:ascii="黑体" w:hAnsi="黑体" w:eastAsia="黑体" w:cs="方正仿宋_GBK"/>
                <w:sz w:val="21"/>
                <w:szCs w:val="21"/>
                <w:shd w:val="clear" w:color="auto" w:fill="FFFFFF"/>
              </w:rPr>
            </w:pPr>
            <w:r>
              <w:rPr>
                <w:rFonts w:hint="eastAsia" w:ascii="黑体" w:hAnsi="黑体" w:eastAsia="黑体" w:cs="方正仿宋_GBK"/>
                <w:sz w:val="21"/>
                <w:szCs w:val="21"/>
                <w:shd w:val="clear" w:color="auto" w:fill="FFFFFF"/>
              </w:rPr>
              <w:t>全年完成值</w:t>
            </w:r>
          </w:p>
        </w:tc>
        <w:tc>
          <w:tcPr>
            <w:tcW w:w="0" w:type="auto"/>
            <w:vAlign w:val="center"/>
          </w:tcPr>
          <w:p>
            <w:pPr>
              <w:pStyle w:val="12"/>
              <w:widowControl w:val="0"/>
              <w:spacing w:before="0" w:beforeAutospacing="0" w:line="200" w:lineRule="atLeast"/>
              <w:jc w:val="center"/>
              <w:rPr>
                <w:rFonts w:hint="eastAsia" w:ascii="黑体" w:hAnsi="黑体" w:eastAsia="黑体" w:cs="方正仿宋_GBK"/>
                <w:sz w:val="21"/>
                <w:szCs w:val="21"/>
                <w:shd w:val="clear" w:color="auto" w:fill="FFFFFF"/>
              </w:rPr>
            </w:pPr>
            <w:r>
              <w:rPr>
                <w:rFonts w:hint="eastAsia" w:ascii="黑体" w:hAnsi="黑体" w:eastAsia="黑体" w:cs="方正仿宋_GBK"/>
                <w:sz w:val="21"/>
                <w:szCs w:val="21"/>
                <w:shd w:val="clear" w:color="auto" w:fill="FFFFFF"/>
              </w:rPr>
              <w:t>指标得分</w:t>
            </w:r>
          </w:p>
        </w:tc>
        <w:tc>
          <w:tcPr>
            <w:tcW w:w="0" w:type="auto"/>
            <w:vAlign w:val="center"/>
          </w:tcPr>
          <w:p>
            <w:pPr>
              <w:pStyle w:val="12"/>
              <w:widowControl w:val="0"/>
              <w:spacing w:before="0" w:beforeAutospacing="0" w:line="200" w:lineRule="atLeast"/>
              <w:jc w:val="center"/>
              <w:rPr>
                <w:rFonts w:hint="eastAsia" w:ascii="黑体" w:hAnsi="黑体" w:eastAsia="黑体" w:cs="方正仿宋_GBK"/>
                <w:sz w:val="21"/>
                <w:szCs w:val="21"/>
                <w:shd w:val="clear" w:color="auto" w:fill="FFFFFF"/>
              </w:rPr>
            </w:pPr>
            <w:r>
              <w:rPr>
                <w:rFonts w:hint="eastAsia" w:ascii="黑体" w:hAnsi="黑体" w:eastAsia="黑体" w:cs="方正仿宋_GBK"/>
                <w:sz w:val="21"/>
                <w:szCs w:val="21"/>
                <w:shd w:val="clear" w:color="auto" w:fill="FFFFFF"/>
              </w:rPr>
              <w:t>说明</w:t>
            </w:r>
          </w:p>
        </w:tc>
        <w:tc>
          <w:tcPr>
            <w:tcW w:w="0" w:type="auto"/>
            <w:vAlign w:val="center"/>
          </w:tcPr>
          <w:p>
            <w:pPr>
              <w:pStyle w:val="12"/>
              <w:widowControl w:val="0"/>
              <w:spacing w:before="0" w:beforeAutospacing="0" w:line="200" w:lineRule="atLeast"/>
              <w:jc w:val="center"/>
              <w:rPr>
                <w:rFonts w:hint="eastAsia" w:ascii="黑体" w:hAnsi="黑体" w:eastAsia="黑体" w:cs="方正仿宋_GBK"/>
                <w:sz w:val="21"/>
                <w:szCs w:val="21"/>
                <w:shd w:val="clear" w:color="auto" w:fill="FFFFFF"/>
              </w:rPr>
            </w:pPr>
            <w:r>
              <w:rPr>
                <w:rFonts w:hint="eastAsia" w:ascii="黑体" w:hAnsi="黑体" w:eastAsia="黑体" w:cs="方正仿宋_GBK"/>
                <w:sz w:val="21"/>
                <w:szCs w:val="21"/>
                <w:shd w:val="clear" w:color="auto" w:fill="FFFFFF"/>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0" w:type="auto"/>
            <w:vMerge w:val="restart"/>
            <w:vAlign w:val="center"/>
          </w:tcPr>
          <w:p>
            <w:pPr>
              <w:pStyle w:val="12"/>
              <w:widowControl w:val="0"/>
              <w:spacing w:before="0" w:beforeAutospacing="0" w:line="400" w:lineRule="exact"/>
              <w:jc w:val="center"/>
              <w:rPr>
                <w:rFonts w:hint="eastAsia" w:ascii="方正仿宋_GBK" w:hAnsi="方正仿宋_GBK" w:eastAsia="方正仿宋_GBK" w:cs="方正仿宋_GBK"/>
                <w:sz w:val="28"/>
                <w:szCs w:val="28"/>
                <w:shd w:val="clear" w:color="auto" w:fill="FFFFFF"/>
              </w:rPr>
            </w:pPr>
            <w:r>
              <w:rPr>
                <w:rFonts w:hint="eastAsia" w:ascii="方正仿宋_GBK" w:hAnsi="方正仿宋_GBK" w:eastAsia="方正仿宋_GBK" w:cs="方正仿宋_GBK"/>
                <w:sz w:val="28"/>
                <w:szCs w:val="28"/>
                <w:shd w:val="clear" w:color="auto" w:fill="FFFFFF"/>
              </w:rPr>
              <w:t>1</w:t>
            </w:r>
          </w:p>
        </w:tc>
        <w:tc>
          <w:tcPr>
            <w:tcW w:w="0" w:type="auto"/>
            <w:vMerge w:val="restart"/>
            <w:vAlign w:val="center"/>
          </w:tcPr>
          <w:p>
            <w:pPr>
              <w:pStyle w:val="12"/>
              <w:widowControl w:val="0"/>
              <w:spacing w:before="0" w:beforeAutospacing="0" w:line="3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反假货币奖励经费</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完成项目时限</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2024</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年</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40</w:t>
            </w:r>
          </w:p>
        </w:tc>
        <w:tc>
          <w:tcPr>
            <w:tcW w:w="0" w:type="auto"/>
            <w:vAlign w:val="center"/>
          </w:tcPr>
          <w:p>
            <w:pPr>
              <w:widowControl w:val="0"/>
              <w:jc w:val="both"/>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0" w:type="auto"/>
            <w:vMerge w:val="continue"/>
            <w:vAlign w:val="center"/>
          </w:tcPr>
          <w:p>
            <w:pPr>
              <w:pStyle w:val="12"/>
              <w:widowControl w:val="0"/>
              <w:spacing w:before="0" w:beforeAutospacing="0" w:line="400" w:lineRule="exact"/>
              <w:jc w:val="center"/>
              <w:rPr>
                <w:rFonts w:hint="eastAsia" w:ascii="方正仿宋_GBK" w:hAnsi="方正仿宋_GBK" w:eastAsia="方正仿宋_GBK" w:cs="方正仿宋_GBK"/>
                <w:sz w:val="28"/>
                <w:szCs w:val="28"/>
                <w:shd w:val="clear" w:color="auto" w:fill="FFFFFF"/>
              </w:rPr>
            </w:pPr>
          </w:p>
        </w:tc>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发挥项目资金效益</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40</w:t>
            </w:r>
          </w:p>
        </w:tc>
        <w:tc>
          <w:tcPr>
            <w:tcW w:w="0" w:type="auto"/>
            <w:vAlign w:val="center"/>
          </w:tcPr>
          <w:p>
            <w:pPr>
              <w:widowControl w:val="0"/>
              <w:jc w:val="both"/>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0" w:type="auto"/>
            <w:vMerge w:val="continue"/>
            <w:vAlign w:val="center"/>
          </w:tcPr>
          <w:p>
            <w:pPr>
              <w:pStyle w:val="12"/>
              <w:widowControl w:val="0"/>
              <w:spacing w:before="0" w:beforeAutospacing="0" w:line="400" w:lineRule="exact"/>
              <w:jc w:val="center"/>
              <w:rPr>
                <w:rFonts w:hint="eastAsia" w:ascii="方正仿宋_GBK" w:hAnsi="方正仿宋_GBK" w:eastAsia="方正仿宋_GBK" w:cs="方正仿宋_GBK"/>
                <w:sz w:val="28"/>
                <w:szCs w:val="28"/>
                <w:shd w:val="clear" w:color="auto" w:fill="FFFFFF"/>
              </w:rPr>
            </w:pPr>
          </w:p>
        </w:tc>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服务对象满意度</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99</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w:t>
            </w:r>
          </w:p>
        </w:tc>
        <w:tc>
          <w:tcPr>
            <w:tcW w:w="0" w:type="auto"/>
            <w:vAlign w:val="center"/>
          </w:tcPr>
          <w:p>
            <w:pPr>
              <w:widowControl w:val="0"/>
              <w:jc w:val="both"/>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0" w:type="auto"/>
            <w:vMerge w:val="restart"/>
            <w:vAlign w:val="center"/>
          </w:tcPr>
          <w:p>
            <w:pPr>
              <w:pStyle w:val="12"/>
              <w:widowControl w:val="0"/>
              <w:spacing w:before="0" w:beforeAutospacing="0" w:line="400" w:lineRule="exact"/>
              <w:jc w:val="center"/>
              <w:rPr>
                <w:rFonts w:hint="eastAsia" w:ascii="方正仿宋_GBK" w:hAnsi="方正仿宋_GBK" w:eastAsia="方正仿宋_GBK" w:cs="方正仿宋_GBK"/>
                <w:sz w:val="28"/>
                <w:szCs w:val="28"/>
                <w:shd w:val="clear" w:color="auto" w:fill="FFFFFF"/>
              </w:rPr>
            </w:pPr>
            <w:r>
              <w:rPr>
                <w:rFonts w:hint="eastAsia" w:ascii="方正仿宋_GBK" w:hAnsi="方正仿宋_GBK" w:eastAsia="方正仿宋_GBK" w:cs="方正仿宋_GBK"/>
                <w:sz w:val="28"/>
                <w:szCs w:val="28"/>
                <w:shd w:val="clear" w:color="auto" w:fill="FFFFFF"/>
              </w:rPr>
              <w:t>2</w:t>
            </w:r>
          </w:p>
        </w:tc>
        <w:tc>
          <w:tcPr>
            <w:tcW w:w="0" w:type="auto"/>
            <w:vMerge w:val="restart"/>
            <w:vAlign w:val="center"/>
          </w:tcPr>
          <w:p>
            <w:pPr>
              <w:pStyle w:val="12"/>
              <w:widowControl w:val="0"/>
              <w:spacing w:before="0" w:beforeAutospacing="0" w:line="3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公安信息网网络运行维修管控系统建设</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财力控制数</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10.5</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 xml:space="preserve">万元 </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20</w:t>
            </w:r>
          </w:p>
        </w:tc>
        <w:tc>
          <w:tcPr>
            <w:tcW w:w="0" w:type="auto"/>
            <w:vAlign w:val="center"/>
          </w:tcPr>
          <w:p>
            <w:pPr>
              <w:widowControl w:val="0"/>
              <w:jc w:val="both"/>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p>
        </w:tc>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项目完成时限</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2024</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年</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20</w:t>
            </w:r>
          </w:p>
        </w:tc>
        <w:tc>
          <w:tcPr>
            <w:tcW w:w="0" w:type="auto"/>
            <w:vAlign w:val="center"/>
          </w:tcPr>
          <w:p>
            <w:pPr>
              <w:widowControl w:val="0"/>
              <w:jc w:val="both"/>
              <w:rPr>
                <w:sz w:val="22"/>
                <w:szCs w:val="22"/>
              </w:rPr>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p>
        </w:tc>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发挥项目资金效益</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40</w:t>
            </w:r>
          </w:p>
        </w:tc>
        <w:tc>
          <w:tcPr>
            <w:tcW w:w="0" w:type="auto"/>
            <w:vAlign w:val="center"/>
          </w:tcPr>
          <w:p>
            <w:pPr>
              <w:widowControl w:val="0"/>
              <w:jc w:val="both"/>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p>
        </w:tc>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满意度</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95</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w:t>
            </w:r>
          </w:p>
        </w:tc>
        <w:tc>
          <w:tcPr>
            <w:tcW w:w="0" w:type="auto"/>
            <w:vAlign w:val="center"/>
          </w:tcPr>
          <w:p>
            <w:pPr>
              <w:widowControl w:val="0"/>
              <w:jc w:val="both"/>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0" w:type="auto"/>
            <w:vMerge w:val="restart"/>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r>
              <w:rPr>
                <w:rFonts w:hint="eastAsia" w:ascii="方正仿宋_GBK" w:hAnsi="方正仿宋_GBK" w:eastAsia="方正仿宋_GBK" w:cs="方正仿宋_GBK"/>
                <w:sz w:val="28"/>
                <w:szCs w:val="28"/>
                <w:shd w:val="clear" w:color="auto" w:fill="FFFFFF"/>
              </w:rPr>
              <w:t>3</w:t>
            </w:r>
          </w:p>
        </w:tc>
        <w:tc>
          <w:tcPr>
            <w:tcW w:w="0" w:type="auto"/>
            <w:vMerge w:val="restart"/>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警犬生活训练</w:t>
            </w:r>
          </w:p>
          <w:p>
            <w:pPr>
              <w:pStyle w:val="12"/>
              <w:widowControl w:val="0"/>
              <w:spacing w:before="0" w:beforeAutospacing="0" w:line="200" w:lineRule="exact"/>
              <w:jc w:val="center"/>
              <w:rPr>
                <w:rFonts w:hint="eastAsia" w:ascii="方正仿宋_GBK" w:hAnsi="方正仿宋_GBK" w:eastAsia="方正仿宋_GBK" w:cs="方正仿宋_GBK"/>
                <w:sz w:val="22"/>
                <w:szCs w:val="22"/>
                <w:shd w:val="pct10" w:color="auto" w:fill="FFFFFF"/>
              </w:rPr>
            </w:pPr>
            <w:r>
              <w:rPr>
                <w:rFonts w:ascii="方正仿宋_GBK" w:hAnsi="方正仿宋_GBK" w:eastAsia="方正仿宋_GBK" w:cs="方正仿宋_GBK"/>
                <w:sz w:val="21"/>
                <w:szCs w:val="21"/>
                <w:shd w:val="clear" w:color="auto" w:fill="FFFFFF"/>
              </w:rPr>
              <w:t>等经费</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警犬日常训练</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次</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30</w:t>
            </w:r>
          </w:p>
        </w:tc>
        <w:tc>
          <w:tcPr>
            <w:tcW w:w="0" w:type="auto"/>
            <w:vAlign w:val="center"/>
          </w:tcPr>
          <w:p>
            <w:pPr>
              <w:widowControl w:val="0"/>
              <w:jc w:val="both"/>
              <w:rPr>
                <w:sz w:val="22"/>
                <w:szCs w:val="22"/>
              </w:rPr>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p>
        </w:tc>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2"/>
                <w:szCs w:val="22"/>
                <w:shd w:val="pct10"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项目预算控制数</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3.6</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万元</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20</w:t>
            </w:r>
          </w:p>
        </w:tc>
        <w:tc>
          <w:tcPr>
            <w:tcW w:w="0" w:type="auto"/>
            <w:vAlign w:val="center"/>
          </w:tcPr>
          <w:p>
            <w:pPr>
              <w:widowControl w:val="0"/>
              <w:jc w:val="both"/>
              <w:rPr>
                <w:sz w:val="22"/>
                <w:szCs w:val="22"/>
              </w:rPr>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p>
        </w:tc>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2"/>
                <w:szCs w:val="22"/>
                <w:shd w:val="pct10"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完成安保任务</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2</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件</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20</w:t>
            </w:r>
          </w:p>
        </w:tc>
        <w:tc>
          <w:tcPr>
            <w:tcW w:w="0" w:type="auto"/>
            <w:vAlign w:val="center"/>
          </w:tcPr>
          <w:p>
            <w:pPr>
              <w:widowControl w:val="0"/>
              <w:jc w:val="both"/>
              <w:rPr>
                <w:sz w:val="22"/>
                <w:szCs w:val="22"/>
              </w:rPr>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p>
        </w:tc>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2"/>
                <w:szCs w:val="22"/>
                <w:shd w:val="pct10"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侦破案件</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件</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20</w:t>
            </w:r>
          </w:p>
        </w:tc>
        <w:tc>
          <w:tcPr>
            <w:tcW w:w="0" w:type="auto"/>
            <w:vAlign w:val="center"/>
          </w:tcPr>
          <w:p>
            <w:pPr>
              <w:widowControl w:val="0"/>
              <w:jc w:val="both"/>
              <w:rPr>
                <w:sz w:val="22"/>
                <w:szCs w:val="22"/>
              </w:rPr>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0" w:type="auto"/>
            <w:vMerge w:val="restart"/>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r>
              <w:rPr>
                <w:rFonts w:hint="eastAsia" w:ascii="方正仿宋_GBK" w:hAnsi="方正仿宋_GBK" w:eastAsia="方正仿宋_GBK" w:cs="方正仿宋_GBK"/>
                <w:sz w:val="28"/>
                <w:szCs w:val="28"/>
                <w:shd w:val="clear" w:color="auto" w:fill="FFFFFF"/>
              </w:rPr>
              <w:t>4</w:t>
            </w:r>
          </w:p>
        </w:tc>
        <w:tc>
          <w:tcPr>
            <w:tcW w:w="0" w:type="auto"/>
            <w:vMerge w:val="restart"/>
            <w:vAlign w:val="center"/>
          </w:tcPr>
          <w:p>
            <w:pPr>
              <w:pStyle w:val="12"/>
              <w:widowControl w:val="0"/>
              <w:spacing w:before="0" w:beforeAutospacing="0" w:line="200" w:lineRule="exact"/>
              <w:jc w:val="center"/>
              <w:rPr>
                <w:rFonts w:hint="eastAsia" w:ascii="方正仿宋_GBK" w:hAnsi="方正仿宋_GBK" w:eastAsia="方正仿宋_GBK" w:cs="方正仿宋_GBK"/>
                <w:sz w:val="22"/>
                <w:szCs w:val="22"/>
                <w:shd w:val="pct10" w:color="auto" w:fill="FFFFFF"/>
              </w:rPr>
            </w:pPr>
            <w:r>
              <w:rPr>
                <w:rFonts w:ascii="方正仿宋_GBK" w:hAnsi="方正仿宋_GBK" w:eastAsia="方正仿宋_GBK" w:cs="方正仿宋_GBK"/>
                <w:sz w:val="21"/>
                <w:szCs w:val="21"/>
                <w:shd w:val="clear" w:color="auto" w:fill="FFFFFF"/>
              </w:rPr>
              <w:t>看守所、拘留所</w:t>
            </w:r>
            <w:r>
              <w:rPr>
                <w:rFonts w:hint="eastAsia" w:ascii="方正仿宋_GBK" w:hAnsi="方正仿宋_GBK" w:eastAsia="方正仿宋_GBK" w:cs="方正仿宋_GBK"/>
                <w:sz w:val="21"/>
                <w:szCs w:val="21"/>
                <w:shd w:val="clear" w:color="auto" w:fill="FFFFFF"/>
              </w:rPr>
              <w:t>、</w:t>
            </w:r>
            <w:r>
              <w:rPr>
                <w:rFonts w:ascii="方正仿宋_GBK" w:hAnsi="方正仿宋_GBK" w:eastAsia="方正仿宋_GBK" w:cs="方正仿宋_GBK"/>
                <w:sz w:val="21"/>
                <w:szCs w:val="21"/>
                <w:shd w:val="clear" w:color="auto" w:fill="FFFFFF"/>
              </w:rPr>
              <w:t>运行业务经费</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财力控制数</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66.45</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万元</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40</w:t>
            </w:r>
          </w:p>
        </w:tc>
        <w:tc>
          <w:tcPr>
            <w:tcW w:w="0" w:type="auto"/>
            <w:vAlign w:val="center"/>
          </w:tcPr>
          <w:p>
            <w:pPr>
              <w:widowControl w:val="0"/>
              <w:jc w:val="both"/>
              <w:rPr>
                <w:sz w:val="22"/>
                <w:szCs w:val="22"/>
              </w:rPr>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p>
        </w:tc>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2"/>
                <w:szCs w:val="22"/>
                <w:shd w:val="pct10"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维护社会稳定</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优</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优</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30</w:t>
            </w:r>
          </w:p>
        </w:tc>
        <w:tc>
          <w:tcPr>
            <w:tcW w:w="0" w:type="auto"/>
            <w:vAlign w:val="center"/>
          </w:tcPr>
          <w:p>
            <w:pPr>
              <w:widowControl w:val="0"/>
              <w:jc w:val="both"/>
              <w:rPr>
                <w:sz w:val="22"/>
                <w:szCs w:val="22"/>
              </w:rPr>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p>
        </w:tc>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2"/>
                <w:szCs w:val="22"/>
                <w:shd w:val="pct10"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服务群众满意度</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98</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w:t>
            </w:r>
          </w:p>
        </w:tc>
        <w:tc>
          <w:tcPr>
            <w:tcW w:w="0" w:type="auto"/>
            <w:vAlign w:val="center"/>
          </w:tcPr>
          <w:p>
            <w:pPr>
              <w:widowControl w:val="0"/>
              <w:jc w:val="both"/>
              <w:rPr>
                <w:sz w:val="22"/>
                <w:szCs w:val="22"/>
              </w:rPr>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0" w:type="auto"/>
            <w:vMerge w:val="restart"/>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r>
              <w:rPr>
                <w:rFonts w:hint="eastAsia" w:ascii="方正仿宋_GBK" w:hAnsi="方正仿宋_GBK" w:eastAsia="方正仿宋_GBK" w:cs="方正仿宋_GBK"/>
                <w:sz w:val="28"/>
                <w:szCs w:val="28"/>
                <w:shd w:val="clear" w:color="auto" w:fill="FFFFFF"/>
              </w:rPr>
              <w:t>5</w:t>
            </w:r>
          </w:p>
        </w:tc>
        <w:tc>
          <w:tcPr>
            <w:tcW w:w="0" w:type="auto"/>
            <w:vMerge w:val="restart"/>
            <w:vAlign w:val="center"/>
          </w:tcPr>
          <w:p>
            <w:pPr>
              <w:pStyle w:val="12"/>
              <w:widowControl w:val="0"/>
              <w:spacing w:before="0" w:beforeAutospacing="0" w:line="200" w:lineRule="exact"/>
              <w:jc w:val="center"/>
              <w:rPr>
                <w:rFonts w:hint="eastAsia" w:ascii="方正仿宋_GBK" w:hAnsi="方正仿宋_GBK" w:eastAsia="方正仿宋_GBK" w:cs="方正仿宋_GBK"/>
                <w:sz w:val="22"/>
                <w:szCs w:val="22"/>
                <w:shd w:val="pct10" w:color="auto" w:fill="FFFFFF"/>
              </w:rPr>
            </w:pPr>
            <w:r>
              <w:rPr>
                <w:rFonts w:hint="eastAsia" w:ascii="方正仿宋_GBK" w:hAnsi="方正仿宋_GBK" w:eastAsia="方正仿宋_GBK" w:cs="方正仿宋_GBK"/>
                <w:sz w:val="21"/>
                <w:szCs w:val="21"/>
                <w:shd w:val="clear" w:color="auto" w:fill="FFFFFF"/>
              </w:rPr>
              <w:t>警务体制改革</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协助完成治安案件</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件</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40</w:t>
            </w:r>
          </w:p>
        </w:tc>
        <w:tc>
          <w:tcPr>
            <w:tcW w:w="0" w:type="auto"/>
            <w:vAlign w:val="center"/>
          </w:tcPr>
          <w:p>
            <w:pPr>
              <w:widowControl w:val="0"/>
              <w:jc w:val="both"/>
              <w:rPr>
                <w:sz w:val="22"/>
                <w:szCs w:val="22"/>
              </w:rPr>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p>
        </w:tc>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2"/>
                <w:szCs w:val="22"/>
                <w:shd w:val="pct10"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维护社会稳定</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40</w:t>
            </w:r>
          </w:p>
        </w:tc>
        <w:tc>
          <w:tcPr>
            <w:tcW w:w="0" w:type="auto"/>
            <w:vAlign w:val="center"/>
          </w:tcPr>
          <w:p>
            <w:pPr>
              <w:widowControl w:val="0"/>
              <w:jc w:val="both"/>
              <w:rPr>
                <w:sz w:val="22"/>
                <w:szCs w:val="22"/>
              </w:rPr>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p>
        </w:tc>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2"/>
                <w:szCs w:val="22"/>
                <w:shd w:val="pct10"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满意度</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95</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w:t>
            </w:r>
          </w:p>
        </w:tc>
        <w:tc>
          <w:tcPr>
            <w:tcW w:w="0" w:type="auto"/>
            <w:vAlign w:val="center"/>
          </w:tcPr>
          <w:p>
            <w:pPr>
              <w:widowControl w:val="0"/>
              <w:jc w:val="both"/>
              <w:rPr>
                <w:sz w:val="22"/>
                <w:szCs w:val="22"/>
              </w:rPr>
            </w:pPr>
            <w:r>
              <w:rPr>
                <w:sz w:val="22"/>
                <w:szCs w:val="22"/>
              </w:rPr>
              <w:t>100%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0" w:type="auto"/>
            <w:vMerge w:val="restart"/>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r>
              <w:rPr>
                <w:rFonts w:hint="eastAsia" w:ascii="方正仿宋_GBK" w:hAnsi="方正仿宋_GBK" w:eastAsia="方正仿宋_GBK" w:cs="方正仿宋_GBK"/>
                <w:sz w:val="28"/>
                <w:szCs w:val="28"/>
                <w:shd w:val="clear" w:color="auto" w:fill="FFFFFF"/>
              </w:rPr>
              <w:t>6</w:t>
            </w:r>
          </w:p>
        </w:tc>
        <w:tc>
          <w:tcPr>
            <w:tcW w:w="0" w:type="auto"/>
            <w:vMerge w:val="restart"/>
            <w:vAlign w:val="center"/>
          </w:tcPr>
          <w:p>
            <w:pPr>
              <w:pStyle w:val="12"/>
              <w:widowControl w:val="0"/>
              <w:spacing w:before="0" w:beforeAutospacing="0" w:line="200" w:lineRule="exact"/>
              <w:jc w:val="center"/>
              <w:rPr>
                <w:rFonts w:hint="eastAsia" w:ascii="方正仿宋_GBK" w:hAnsi="方正仿宋_GBK" w:eastAsia="方正仿宋_GBK" w:cs="方正仿宋_GBK"/>
                <w:sz w:val="22"/>
                <w:szCs w:val="22"/>
                <w:shd w:val="pct10" w:color="auto" w:fill="FFFFFF"/>
              </w:rPr>
            </w:pPr>
            <w:r>
              <w:rPr>
                <w:rFonts w:hint="eastAsia" w:ascii="方正仿宋_GBK" w:hAnsi="方正仿宋_GBK" w:eastAsia="方正仿宋_GBK" w:cs="方正仿宋_GBK"/>
                <w:sz w:val="21"/>
                <w:szCs w:val="21"/>
                <w:shd w:val="clear" w:color="auto" w:fill="FFFFFF"/>
              </w:rPr>
              <w:t>见义勇为资金</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及时兑现</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2024</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年</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40</w:t>
            </w:r>
          </w:p>
        </w:tc>
        <w:tc>
          <w:tcPr>
            <w:tcW w:w="0" w:type="auto"/>
          </w:tcPr>
          <w:p>
            <w:pPr>
              <w:widowControl w:val="0"/>
              <w:jc w:val="both"/>
              <w:rPr>
                <w:sz w:val="22"/>
                <w:szCs w:val="22"/>
              </w:rPr>
            </w:pPr>
            <w:r>
              <w:t>100%</w:t>
            </w:r>
          </w:p>
        </w:tc>
        <w:tc>
          <w:tcPr>
            <w:tcW w:w="0" w:type="auto"/>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p>
        </w:tc>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2"/>
                <w:szCs w:val="22"/>
                <w:shd w:val="pct10"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提高资金绩效</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200</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40</w:t>
            </w:r>
          </w:p>
        </w:tc>
        <w:tc>
          <w:tcPr>
            <w:tcW w:w="0" w:type="auto"/>
          </w:tcPr>
          <w:p>
            <w:pPr>
              <w:widowControl w:val="0"/>
              <w:jc w:val="both"/>
              <w:rPr>
                <w:sz w:val="22"/>
                <w:szCs w:val="22"/>
              </w:rPr>
            </w:pPr>
            <w:r>
              <w:t>100%</w:t>
            </w:r>
          </w:p>
        </w:tc>
        <w:tc>
          <w:tcPr>
            <w:tcW w:w="0" w:type="auto"/>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8"/>
                <w:szCs w:val="28"/>
                <w:shd w:val="clear" w:color="auto" w:fill="FFFFFF"/>
              </w:rPr>
            </w:pPr>
          </w:p>
        </w:tc>
        <w:tc>
          <w:tcPr>
            <w:tcW w:w="0" w:type="auto"/>
            <w:vMerge w:val="continue"/>
            <w:vAlign w:val="center"/>
          </w:tcPr>
          <w:p>
            <w:pPr>
              <w:pStyle w:val="12"/>
              <w:widowControl w:val="0"/>
              <w:spacing w:before="0" w:beforeAutospacing="0" w:line="200" w:lineRule="exact"/>
              <w:jc w:val="center"/>
              <w:rPr>
                <w:rFonts w:hint="eastAsia" w:ascii="方正仿宋_GBK" w:hAnsi="方正仿宋_GBK" w:eastAsia="方正仿宋_GBK" w:cs="方正仿宋_GBK"/>
                <w:sz w:val="22"/>
                <w:szCs w:val="22"/>
                <w:shd w:val="pct10" w:color="auto" w:fill="FFFFFF"/>
              </w:rPr>
            </w:pP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满意度</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99</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w:t>
            </w:r>
          </w:p>
        </w:tc>
        <w:tc>
          <w:tcPr>
            <w:tcW w:w="0" w:type="auto"/>
            <w:vAlign w:val="center"/>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rPr>
                <w:rFonts w:hint="eastAsia" w:ascii="方正仿宋_GBK" w:hAnsi="方正仿宋_GBK" w:eastAsia="方正仿宋_GBK" w:cs="方正仿宋_GBK"/>
                <w:sz w:val="21"/>
                <w:szCs w:val="21"/>
                <w:shd w:val="clear" w:color="auto" w:fill="FFFFFF"/>
              </w:rPr>
              <w:t>10</w:t>
            </w:r>
          </w:p>
        </w:tc>
        <w:tc>
          <w:tcPr>
            <w:tcW w:w="0" w:type="auto"/>
          </w:tcPr>
          <w:p>
            <w:pPr>
              <w:widowControl w:val="0"/>
              <w:jc w:val="both"/>
              <w:rPr>
                <w:sz w:val="22"/>
                <w:szCs w:val="22"/>
              </w:rPr>
            </w:pPr>
            <w:r>
              <w:t>100%</w:t>
            </w:r>
          </w:p>
        </w:tc>
        <w:tc>
          <w:tcPr>
            <w:tcW w:w="0" w:type="auto"/>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p>
        </w:tc>
        <w:tc>
          <w:tcPr>
            <w:tcW w:w="0" w:type="auto"/>
          </w:tcPr>
          <w:p>
            <w:pPr>
              <w:pStyle w:val="12"/>
              <w:widowControl w:val="0"/>
              <w:spacing w:before="0" w:beforeAutospacing="0" w:line="200" w:lineRule="exact"/>
              <w:jc w:val="center"/>
              <w:rPr>
                <w:rFonts w:hint="eastAsia" w:ascii="方正仿宋_GBK" w:hAnsi="方正仿宋_GBK" w:eastAsia="方正仿宋_GBK" w:cs="方正仿宋_GBK"/>
                <w:sz w:val="21"/>
                <w:szCs w:val="21"/>
                <w:shd w:val="clear" w:color="auto" w:fill="FFFFFF"/>
              </w:rPr>
            </w:pPr>
            <w:r>
              <w:t>100</w:t>
            </w:r>
          </w:p>
        </w:tc>
      </w:tr>
    </w:tbl>
    <w:p>
      <w:pPr>
        <w:pStyle w:val="11"/>
        <w:autoSpaceDE w:val="0"/>
        <w:spacing w:line="600" w:lineRule="exact"/>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（二）部门绩效评价情况</w:t>
      </w:r>
    </w:p>
    <w:p>
      <w:pPr>
        <w:pStyle w:val="11"/>
        <w:autoSpaceDE w:val="0"/>
        <w:spacing w:line="600" w:lineRule="exact"/>
        <w:ind w:firstLine="64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 xml:space="preserve"> 我部门未组织开展绩效评价 。</w:t>
      </w:r>
    </w:p>
    <w:p>
      <w:pPr>
        <w:pStyle w:val="11"/>
        <w:autoSpaceDE w:val="0"/>
        <w:spacing w:line="600" w:lineRule="exact"/>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（三）财政绩效评价情况</w:t>
      </w:r>
    </w:p>
    <w:p>
      <w:pPr>
        <w:pStyle w:val="11"/>
        <w:autoSpaceDE w:val="0"/>
        <w:spacing w:line="600" w:lineRule="exact"/>
        <w:ind w:firstLine="640"/>
        <w:rPr>
          <w:rFonts w:hint="eastAsia" w:ascii="方正仿宋_GBK" w:hAnsi="方正仿宋_GBK" w:eastAsia="方正仿宋_GBK" w:cs="方正仿宋_GBK"/>
          <w:sz w:val="32"/>
          <w:szCs w:val="32"/>
          <w:shd w:val="clear" w:color="auto" w:fill="FFFFFF"/>
        </w:rPr>
      </w:pPr>
      <w:bookmarkStart w:id="1" w:name="_Hlk213779216"/>
      <w:r>
        <w:rPr>
          <w:rFonts w:hint="eastAsia" w:ascii="方正仿宋_GBK" w:hAnsi="方正仿宋_GBK" w:eastAsia="方正仿宋_GBK" w:cs="方正仿宋_GBK"/>
          <w:sz w:val="32"/>
          <w:szCs w:val="32"/>
          <w:shd w:val="clear" w:color="auto" w:fill="FFFFFF"/>
        </w:rPr>
        <w:t xml:space="preserve"> 县财政局未委托第三方对我部门开展绩效评价</w:t>
      </w:r>
      <w:bookmarkEnd w:id="1"/>
      <w:r>
        <w:rPr>
          <w:rFonts w:hint="eastAsia" w:ascii="方正仿宋_GBK" w:hAnsi="方正仿宋_GBK" w:eastAsia="方正仿宋_GBK" w:cs="方正仿宋_GBK"/>
          <w:sz w:val="32"/>
          <w:szCs w:val="32"/>
          <w:shd w:val="clear" w:color="auto" w:fill="FFFFFF"/>
        </w:rPr>
        <w:t>。</w:t>
      </w:r>
    </w:p>
    <w:p>
      <w:pPr>
        <w:pStyle w:val="12"/>
        <w:autoSpaceDE w:val="0"/>
        <w:spacing w:before="0" w:beforeAutospacing="0" w:after="0" w:afterAutospacing="0" w:line="596" w:lineRule="exact"/>
        <w:rPr>
          <w:rFonts w:hint="eastAsia" w:ascii="方正仿宋_GBK" w:hAnsi="方正仿宋_GBK" w:eastAsia="方正仿宋_GBK" w:cs="方正仿宋_GBK"/>
          <w:sz w:val="32"/>
          <w:szCs w:val="32"/>
        </w:rPr>
      </w:pPr>
      <w:r>
        <w:rPr>
          <w:rStyle w:val="13"/>
          <w:rFonts w:hint="eastAsia" w:ascii="方正仿宋_GBK" w:hAnsi="方正仿宋_GBK" w:eastAsia="方正仿宋_GBK" w:cs="方正仿宋_GBK"/>
          <w:sz w:val="32"/>
          <w:szCs w:val="32"/>
          <w:shd w:val="clear" w:color="auto" w:fill="FFFFFF"/>
        </w:rPr>
        <w:t xml:space="preserve">   </w:t>
      </w:r>
      <w:r>
        <w:rPr>
          <w:rStyle w:val="10"/>
          <w:rFonts w:hint="eastAsia" w:ascii="黑体" w:hAnsi="黑体" w:eastAsia="黑体" w:cs="黑体"/>
          <w:sz w:val="32"/>
          <w:szCs w:val="32"/>
          <w:shd w:val="clear" w:color="auto" w:fill="FFFFFF"/>
        </w:rPr>
        <w:t xml:space="preserve"> 六、专业名词解释</w:t>
      </w:r>
    </w:p>
    <w:p>
      <w:pPr>
        <w:pStyle w:val="12"/>
        <w:spacing w:before="0" w:beforeAutospacing="0" w:after="0" w:afterAutospacing="0" w:line="596" w:lineRule="exact"/>
        <w:ind w:firstLine="321" w:firstLineChars="1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12"/>
        <w:spacing w:before="0" w:beforeAutospacing="0" w:after="0" w:afterAutospacing="0" w:line="596" w:lineRule="exact"/>
        <w:ind w:firstLine="321" w:firstLineChars="1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（二）事业收入：</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12"/>
        <w:spacing w:before="0" w:beforeAutospacing="0" w:after="0" w:afterAutospacing="0" w:line="596" w:lineRule="exact"/>
        <w:ind w:firstLine="321" w:firstLineChars="1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（三）经营收入：</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12"/>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（四）其他收入：</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2"/>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（五）使用非财政拨款结余（含专用结余）：</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12"/>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（六）年初结转和结余：</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12"/>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（七）结余分配：</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12"/>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（八）年末结转和结余：</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pPr>
        <w:pStyle w:val="12"/>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（九）基本支出：</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2"/>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（十）项目支出：</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12"/>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（十一）经营支出：</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12"/>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（十二）“三公”经费：</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2"/>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（十三）机关运行经费：</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2"/>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（十四）工资福利支出（支出经济分类科目类级）：</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12"/>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（十五）商品和服务支出（支出经济分类科目类级）：</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12"/>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（十六）对个人和家庭的补助（支出经济分类科目类级）：</w:t>
      </w:r>
      <w:r>
        <w:rPr>
          <w:rFonts w:hint="eastAsia" w:ascii="方正仿宋_GBK" w:hAnsi="方正仿宋_GBK" w:eastAsia="方正仿宋_GBK" w:cs="方正仿宋_GBK"/>
          <w:sz w:val="32"/>
          <w:szCs w:val="32"/>
          <w:shd w:val="clear" w:color="auto" w:fill="FFFFFF"/>
        </w:rPr>
        <w:t>反映用于对个人和家庭的补助支出。</w:t>
      </w:r>
    </w:p>
    <w:p>
      <w:pPr>
        <w:pStyle w:val="12"/>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（十七）其他资本性支出（支出经济分类科目类级）：</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12"/>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0"/>
          <w:rFonts w:hint="eastAsia" w:ascii="黑体" w:hAnsi="黑体" w:eastAsia="黑体" w:cs="黑体"/>
          <w:sz w:val="32"/>
          <w:szCs w:val="32"/>
          <w:shd w:val="clear" w:color="auto" w:fill="FFFFFF"/>
        </w:rPr>
        <w:t>七、决算公开联系方式及信息反馈渠道</w:t>
      </w:r>
    </w:p>
    <w:p>
      <w:pPr>
        <w:pStyle w:val="12"/>
        <w:spacing w:before="0" w:beforeAutospacing="0" w:after="0" w:afterAutospacing="0" w:line="596"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本单位决算公开信息反馈和联系方式：</w:t>
      </w:r>
    </w:p>
    <w:p>
      <w:pPr>
        <w:pStyle w:val="12"/>
        <w:spacing w:before="0" w:beforeAutospacing="0" w:after="0" w:afterAutospacing="0" w:line="596" w:lineRule="exact"/>
        <w:ind w:firstLine="640" w:firstLineChars="20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胡微   023-</w:t>
      </w:r>
      <w:r>
        <w:rPr>
          <w:rFonts w:ascii="方正仿宋_GBK" w:hAnsi="方正仿宋_GBK" w:eastAsia="方正仿宋_GBK" w:cs="方正仿宋_GBK"/>
          <w:sz w:val="32"/>
          <w:szCs w:val="32"/>
          <w:shd w:val="clear" w:color="auto" w:fill="FFFFFF"/>
        </w:rPr>
        <w:t>023-59222947</w:t>
      </w:r>
    </w:p>
    <w:p>
      <w:pPr>
        <w:pStyle w:val="11"/>
        <w:autoSpaceDE w:val="0"/>
        <w:spacing w:line="596" w:lineRule="exact"/>
        <w:ind w:firstLine="643"/>
        <w:jc w:val="both"/>
        <w:rPr>
          <w:rStyle w:val="10"/>
          <w:rFonts w:hint="eastAsia"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tbl>
      <w:tblPr>
        <w:tblStyle w:val="7"/>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noWrap/>
            <w:tcMar>
              <w:top w:w="15" w:type="dxa"/>
              <w:left w:w="15" w:type="dxa"/>
              <w:right w:w="15" w:type="dxa"/>
            </w:tcMar>
            <w:vAlign w:val="bottom"/>
          </w:tcPr>
          <w:p>
            <w:pPr>
              <w:spacing w:line="400" w:lineRule="exact"/>
              <w:jc w:val="center"/>
              <w:textAlignment w:val="bottom"/>
              <w:rPr>
                <w:rFonts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1206" w:type="pct"/>
            <w:tcBorders>
              <w:top w:val="nil"/>
              <w:left w:val="nil"/>
              <w:bottom w:val="nil"/>
              <w:right w:val="nil"/>
            </w:tcBorders>
            <w:noWrap/>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963" w:type="pct"/>
            <w:tcBorders>
              <w:top w:val="nil"/>
              <w:left w:val="nil"/>
              <w:bottom w:val="nil"/>
              <w:right w:val="nil"/>
            </w:tcBorders>
            <w:noWrap/>
            <w:tcMar>
              <w:top w:w="15" w:type="dxa"/>
              <w:left w:w="15" w:type="dxa"/>
              <w:right w:w="15" w:type="dxa"/>
            </w:tcMar>
            <w:vAlign w:val="bottom"/>
          </w:tcPr>
          <w:p>
            <w:pPr>
              <w:spacing w:line="280" w:lineRule="exact"/>
              <w:jc w:val="right"/>
              <w:textAlignment w:val="bottom"/>
              <w:rPr>
                <w:rFonts w:cs="宋体"/>
                <w:color w:val="000000"/>
                <w:sz w:val="20"/>
                <w:szCs w:val="20"/>
              </w:rPr>
            </w:pPr>
            <w:r>
              <w:rPr>
                <w:rFonts w:cs="宋体"/>
                <w:color w:val="000000"/>
                <w:sz w:val="20"/>
                <w:szCs w:val="20"/>
              </w:rPr>
              <w:t>公开</w:t>
            </w:r>
            <w:r>
              <w:rPr>
                <w:rFonts w:hint="default" w:ascii="Times New Roman" w:hAnsi="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noWrap/>
            <w:tcMar>
              <w:top w:w="15" w:type="dxa"/>
              <w:left w:w="15" w:type="dxa"/>
              <w:right w:w="15" w:type="dxa"/>
            </w:tcMar>
            <w:vAlign w:val="bottom"/>
          </w:tcPr>
          <w:p>
            <w:pPr>
              <w:spacing w:line="280" w:lineRule="exact"/>
              <w:rPr>
                <w:rFonts w:hint="default" w:ascii="Arial" w:hAnsi="Arial" w:cs="Arial"/>
                <w:color w:val="000000"/>
                <w:sz w:val="22"/>
                <w:szCs w:val="22"/>
              </w:rPr>
            </w:pPr>
            <w:r>
              <w:rPr>
                <w:rFonts w:cs="宋体"/>
                <w:sz w:val="20"/>
                <w:szCs w:val="20"/>
              </w:rPr>
              <w:t>部门：</w:t>
            </w:r>
            <w:r>
              <w:rPr>
                <w:sz w:val="20"/>
              </w:rPr>
              <w:t>城口县公安局（本级）</w:t>
            </w:r>
          </w:p>
        </w:tc>
        <w:tc>
          <w:tcPr>
            <w:tcW w:w="1372" w:type="pct"/>
            <w:tcBorders>
              <w:top w:val="nil"/>
              <w:left w:val="nil"/>
              <w:bottom w:val="nil"/>
              <w:right w:val="nil"/>
            </w:tcBorders>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963" w:type="pct"/>
            <w:tcBorders>
              <w:top w:val="nil"/>
              <w:left w:val="nil"/>
              <w:bottom w:val="nil"/>
              <w:right w:val="nil"/>
            </w:tcBorders>
            <w:noWrap/>
            <w:tcMar>
              <w:top w:w="15" w:type="dxa"/>
              <w:left w:w="15" w:type="dxa"/>
              <w:right w:w="15" w:type="dxa"/>
            </w:tcMar>
            <w:vAlign w:val="bottom"/>
          </w:tcPr>
          <w:p>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jc w:val="center"/>
              <w:textAlignment w:val="center"/>
              <w:rPr>
                <w:rFonts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spacing w:line="240" w:lineRule="exact"/>
              <w:jc w:val="center"/>
              <w:textAlignment w:val="center"/>
              <w:rPr>
                <w:rFonts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jc w:val="center"/>
              <w:textAlignment w:val="center"/>
              <w:rPr>
                <w:rFonts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jc w:val="center"/>
              <w:textAlignment w:val="center"/>
              <w:rPr>
                <w:rFonts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jc w:val="center"/>
              <w:textAlignment w:val="center"/>
              <w:rPr>
                <w:rFonts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jc w:val="center"/>
              <w:textAlignment w:val="center"/>
              <w:rPr>
                <w:rFonts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12,192.07</w:t>
            </w: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22.46</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10,334.97</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1,033.60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346.09</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454.97</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jc w:val="center"/>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jc w:val="center"/>
              <w:textAlignment w:val="center"/>
              <w:rPr>
                <w:rFonts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12,192.07</w:t>
            </w: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jc w:val="center"/>
              <w:textAlignment w:val="center"/>
              <w:rPr>
                <w:rFonts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12,192.07</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pPr>
              <w:spacing w:line="240" w:lineRule="exact"/>
              <w:textAlignment w:val="center"/>
              <w:rPr>
                <w:rFonts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240" w:lineRule="exact"/>
              <w:jc w:val="center"/>
              <w:textAlignment w:val="center"/>
              <w:rPr>
                <w:rFonts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12,192.07</w:t>
            </w:r>
            <w:r>
              <w:rPr>
                <w:rFonts w:ascii="Times New Roman" w:hAnsi="Times New Roman"/>
                <w:color w:val="000000"/>
                <w:sz w:val="20"/>
              </w:rPr>
              <w:t xml:space="preserve"> </w:t>
            </w:r>
          </w:p>
        </w:tc>
        <w:tc>
          <w:tcPr>
            <w:tcW w:w="1372" w:type="pct"/>
            <w:tcBorders>
              <w:top w:val="nil"/>
              <w:left w:val="nil"/>
              <w:bottom w:val="single" w:color="000000" w:sz="4" w:space="0"/>
              <w:right w:val="single" w:color="auto" w:sz="4" w:space="0"/>
            </w:tcBorders>
            <w:noWrap/>
            <w:tcMar>
              <w:top w:w="15" w:type="dxa"/>
              <w:left w:w="15" w:type="dxa"/>
              <w:right w:w="15" w:type="dxa"/>
            </w:tcMar>
            <w:vAlign w:val="center"/>
          </w:tcPr>
          <w:p>
            <w:pPr>
              <w:spacing w:line="240" w:lineRule="exact"/>
              <w:jc w:val="center"/>
              <w:textAlignment w:val="center"/>
              <w:rPr>
                <w:rFonts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12,192.07</w:t>
            </w:r>
            <w:r>
              <w:rPr>
                <w:rFonts w:ascii="Times New Roman" w:hAnsi="Times New Roman"/>
                <w:color w:val="000000"/>
                <w:sz w:val="20"/>
              </w:rPr>
              <w:t xml:space="preserve"> </w:t>
            </w:r>
          </w:p>
        </w:tc>
      </w:tr>
    </w:tbl>
    <w:p>
      <w:pPr>
        <w:rPr>
          <w:rFonts w:cs="宋体"/>
          <w:sz w:val="21"/>
          <w:szCs w:val="21"/>
        </w:rPr>
      </w:pPr>
    </w:p>
    <w:p>
      <w:pPr>
        <w:spacing w:line="240" w:lineRule="exact"/>
        <w:rPr>
          <w:rFonts w:cs="宋体"/>
          <w:sz w:val="20"/>
          <w:szCs w:val="20"/>
        </w:rPr>
      </w:pPr>
      <w:r>
        <w:rPr>
          <w:rFonts w:cs="宋体"/>
          <w:sz w:val="20"/>
          <w:szCs w:val="20"/>
        </w:rPr>
        <w:t>备注：1.本表反映部门本年度的总收支和年末结转结余情况。</w:t>
      </w:r>
      <w:r>
        <w:rPr>
          <w:rFonts w:cs="宋体"/>
          <w:sz w:val="20"/>
          <w:szCs w:val="20"/>
        </w:rPr>
        <w:br w:type="textWrapping"/>
      </w:r>
      <w:r>
        <w:rPr>
          <w:rFonts w:cs="宋体"/>
          <w:sz w:val="20"/>
          <w:szCs w:val="20"/>
        </w:rPr>
        <w:t xml:space="preserve">      2.本套报表金额单位转换时可能存在尾数误差。</w:t>
      </w:r>
    </w:p>
    <w:p>
      <w:pPr>
        <w:spacing w:line="240" w:lineRule="exact"/>
        <w:rPr>
          <w:rFonts w:cs="宋体"/>
          <w:sz w:val="20"/>
          <w:szCs w:val="20"/>
        </w:rPr>
      </w:pPr>
    </w:p>
    <w:p>
      <w:pPr>
        <w:spacing w:line="240" w:lineRule="exact"/>
        <w:rPr>
          <w:rFonts w:cs="宋体"/>
          <w:sz w:val="20"/>
          <w:szCs w:val="20"/>
        </w:rPr>
      </w:pPr>
    </w:p>
    <w:p>
      <w:pPr>
        <w:spacing w:line="240" w:lineRule="exact"/>
        <w:rPr>
          <w:rFonts w:cs="宋体"/>
          <w:sz w:val="20"/>
          <w:szCs w:val="20"/>
        </w:rPr>
      </w:pPr>
    </w:p>
    <w:p>
      <w:pPr>
        <w:spacing w:line="240" w:lineRule="exact"/>
        <w:rPr>
          <w:rFonts w:cs="宋体"/>
          <w:sz w:val="20"/>
          <w:szCs w:val="20"/>
        </w:rPr>
      </w:pPr>
    </w:p>
    <w:p>
      <w:pPr>
        <w:spacing w:line="240" w:lineRule="exact"/>
        <w:rPr>
          <w:rFonts w:cs="宋体"/>
          <w:sz w:val="20"/>
          <w:szCs w:val="20"/>
        </w:rPr>
      </w:pPr>
    </w:p>
    <w:p>
      <w:pPr>
        <w:spacing w:line="240" w:lineRule="exact"/>
        <w:rPr>
          <w:rFonts w:cs="宋体"/>
          <w:sz w:val="20"/>
          <w:szCs w:val="20"/>
        </w:rPr>
      </w:pPr>
    </w:p>
    <w:p>
      <w:pPr>
        <w:spacing w:line="240" w:lineRule="exact"/>
        <w:rPr>
          <w:rFonts w:cs="宋体"/>
          <w:sz w:val="20"/>
          <w:szCs w:val="20"/>
        </w:rPr>
      </w:pPr>
    </w:p>
    <w:p>
      <w:pPr>
        <w:spacing w:line="240" w:lineRule="exact"/>
        <w:rPr>
          <w:rFonts w:cs="宋体"/>
          <w:sz w:val="20"/>
          <w:szCs w:val="20"/>
        </w:rPr>
      </w:pPr>
    </w:p>
    <w:p>
      <w:pPr>
        <w:spacing w:line="240" w:lineRule="exact"/>
        <w:rPr>
          <w:rFonts w:cs="宋体"/>
          <w:sz w:val="20"/>
          <w:szCs w:val="20"/>
        </w:rPr>
      </w:pPr>
      <w:bookmarkStart w:id="2" w:name="_GoBack"/>
      <w:bookmarkEnd w:id="2"/>
      <w:r>
        <w:rPr>
          <w:rFonts w:cs="宋体"/>
          <w:sz w:val="20"/>
          <w:szCs w:val="20"/>
        </w:rPr>
        <w:br w:type="textWrapping"/>
      </w:r>
      <w:r>
        <w:rPr>
          <w:rFonts w:cs="宋体"/>
          <w:sz w:val="20"/>
          <w:szCs w:val="20"/>
        </w:rPr>
        <w:br w:type="textWrapping"/>
      </w:r>
    </w:p>
    <w:tbl>
      <w:tblPr>
        <w:tblStyle w:val="7"/>
        <w:tblW w:w="5059" w:type="pct"/>
        <w:tblInd w:w="0" w:type="dxa"/>
        <w:tblLayout w:type="fixed"/>
        <w:tblCellMar>
          <w:top w:w="0" w:type="dxa"/>
          <w:left w:w="0" w:type="dxa"/>
          <w:bottom w:w="0" w:type="dxa"/>
          <w:right w:w="0" w:type="dxa"/>
        </w:tblCellMar>
      </w:tblPr>
      <w:tblGrid>
        <w:gridCol w:w="1362"/>
        <w:gridCol w:w="2973"/>
        <w:gridCol w:w="1377"/>
        <w:gridCol w:w="1429"/>
        <w:gridCol w:w="1463"/>
        <w:gridCol w:w="1355"/>
        <w:gridCol w:w="1386"/>
        <w:gridCol w:w="1256"/>
        <w:gridCol w:w="1256"/>
        <w:gridCol w:w="1646"/>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noWrap/>
            <w:tcMar>
              <w:top w:w="15" w:type="dxa"/>
              <w:left w:w="15" w:type="dxa"/>
              <w:right w:w="15" w:type="dxa"/>
            </w:tcMar>
            <w:vAlign w:val="bottom"/>
          </w:tcPr>
          <w:p>
            <w:pPr>
              <w:jc w:val="center"/>
              <w:textAlignment w:val="bottom"/>
              <w:rPr>
                <w:rFonts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842" w:type="pct"/>
            <w:gridSpan w:val="3"/>
            <w:vMerge w:val="restart"/>
            <w:tcBorders>
              <w:top w:val="nil"/>
              <w:left w:val="nil"/>
              <w:right w:val="nil"/>
            </w:tcBorders>
            <w:noWrap/>
            <w:tcMar>
              <w:top w:w="15" w:type="dxa"/>
              <w:left w:w="15" w:type="dxa"/>
              <w:right w:w="15" w:type="dxa"/>
            </w:tcMar>
            <w:vAlign w:val="bottom"/>
          </w:tcPr>
          <w:p>
            <w:pPr>
              <w:spacing w:line="280" w:lineRule="exact"/>
              <w:rPr>
                <w:rFonts w:cs="宋体"/>
                <w:color w:val="000000"/>
                <w:sz w:val="20"/>
                <w:szCs w:val="20"/>
              </w:rPr>
            </w:pPr>
            <w:r>
              <w:rPr>
                <w:rFonts w:cs="宋体"/>
                <w:sz w:val="20"/>
                <w:szCs w:val="20"/>
              </w:rPr>
              <w:t>部门：</w:t>
            </w:r>
            <w:r>
              <w:rPr>
                <w:sz w:val="20"/>
              </w:rPr>
              <w:t>城口县公安局（本级）</w:t>
            </w:r>
          </w:p>
        </w:tc>
        <w:tc>
          <w:tcPr>
            <w:tcW w:w="461"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472"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437"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446"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405"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405"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528" w:type="pct"/>
            <w:tcBorders>
              <w:top w:val="nil"/>
              <w:left w:val="nil"/>
              <w:bottom w:val="nil"/>
              <w:right w:val="nil"/>
            </w:tcBorders>
            <w:noWrap/>
            <w:tcMar>
              <w:top w:w="15" w:type="dxa"/>
              <w:left w:w="15" w:type="dxa"/>
              <w:right w:w="15" w:type="dxa"/>
            </w:tcMar>
            <w:vAlign w:val="bottom"/>
          </w:tcPr>
          <w:p>
            <w:pPr>
              <w:spacing w:line="280" w:lineRule="exact"/>
              <w:jc w:val="right"/>
              <w:textAlignment w:val="bottom"/>
              <w:rPr>
                <w:rFonts w:cs="宋体"/>
                <w:color w:val="000000"/>
                <w:sz w:val="20"/>
                <w:szCs w:val="20"/>
              </w:rPr>
            </w:pPr>
            <w:r>
              <w:rPr>
                <w:rFonts w:cs="宋体"/>
                <w:color w:val="000000"/>
                <w:sz w:val="20"/>
                <w:szCs w:val="20"/>
              </w:rPr>
              <w:t>公开</w:t>
            </w:r>
            <w:r>
              <w:rPr>
                <w:rFonts w:hint="default" w:ascii="Times New Roman" w:hAnsi="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842" w:type="pct"/>
            <w:gridSpan w:val="3"/>
            <w:vMerge w:val="continue"/>
            <w:tcBorders>
              <w:left w:val="nil"/>
              <w:bottom w:val="nil"/>
              <w:right w:val="nil"/>
            </w:tcBorders>
            <w:noWrap/>
            <w:tcMar>
              <w:top w:w="15" w:type="dxa"/>
              <w:left w:w="15" w:type="dxa"/>
              <w:right w:w="15" w:type="dxa"/>
            </w:tcMar>
            <w:vAlign w:val="bottom"/>
          </w:tcPr>
          <w:p>
            <w:pPr>
              <w:rPr>
                <w:rFonts w:cs="宋体"/>
                <w:color w:val="000000"/>
                <w:sz w:val="20"/>
                <w:szCs w:val="20"/>
              </w:rPr>
            </w:pPr>
          </w:p>
        </w:tc>
        <w:tc>
          <w:tcPr>
            <w:tcW w:w="461"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472"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437"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446"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405"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405"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528" w:type="pct"/>
            <w:tcBorders>
              <w:top w:val="nil"/>
              <w:left w:val="nil"/>
              <w:bottom w:val="nil"/>
              <w:right w:val="nil"/>
            </w:tcBorders>
            <w:noWrap/>
            <w:tcMar>
              <w:top w:w="15" w:type="dxa"/>
              <w:left w:w="15" w:type="dxa"/>
              <w:right w:w="15" w:type="dxa"/>
            </w:tcMar>
            <w:vAlign w:val="bottom"/>
          </w:tcPr>
          <w:p>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398" w:type="pct"/>
            <w:gridSpan w:val="2"/>
            <w:tcBorders>
              <w:top w:val="single" w:color="000000" w:sz="4" w:space="0"/>
              <w:left w:val="single" w:color="000000" w:sz="4" w:space="0"/>
              <w:bottom w:val="single" w:color="000000" w:sz="4" w:space="0"/>
              <w:right w:val="nil"/>
            </w:tcBorders>
            <w:noWrap/>
            <w:tcMar>
              <w:top w:w="15" w:type="dxa"/>
              <w:left w:w="15" w:type="dxa"/>
              <w:right w:w="15" w:type="dxa"/>
            </w:tcMar>
            <w:vAlign w:val="bottom"/>
          </w:tcPr>
          <w:p>
            <w:pPr>
              <w:jc w:val="center"/>
              <w:textAlignment w:val="bottom"/>
              <w:rPr>
                <w:rFonts w:cs="宋体"/>
                <w:b/>
                <w:color w:val="000000"/>
                <w:sz w:val="20"/>
                <w:szCs w:val="20"/>
              </w:rPr>
            </w:pPr>
            <w:r>
              <w:rPr>
                <w:rFonts w:cs="宋体"/>
                <w:b/>
                <w:color w:val="000000"/>
                <w:sz w:val="20"/>
                <w:szCs w:val="20"/>
              </w:rPr>
              <w:t>项目</w:t>
            </w:r>
          </w:p>
        </w:tc>
        <w:tc>
          <w:tcPr>
            <w:tcW w:w="444"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本年收入合计</w:t>
            </w:r>
          </w:p>
        </w:tc>
        <w:tc>
          <w:tcPr>
            <w:tcW w:w="461"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财政拨款收入</w:t>
            </w:r>
          </w:p>
        </w:tc>
        <w:tc>
          <w:tcPr>
            <w:tcW w:w="472"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上级补助收入</w:t>
            </w:r>
          </w:p>
        </w:tc>
        <w:tc>
          <w:tcPr>
            <w:tcW w:w="884"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jc w:val="center"/>
              <w:textAlignment w:val="bottom"/>
              <w:rPr>
                <w:rFonts w:cs="宋体"/>
                <w:b/>
                <w:color w:val="000000"/>
                <w:sz w:val="20"/>
                <w:szCs w:val="20"/>
              </w:rPr>
            </w:pPr>
            <w:r>
              <w:rPr>
                <w:rFonts w:cs="宋体"/>
                <w:b/>
                <w:color w:val="000000"/>
                <w:sz w:val="20"/>
                <w:szCs w:val="20"/>
              </w:rPr>
              <w:t>事业收入</w:t>
            </w:r>
          </w:p>
        </w:tc>
        <w:tc>
          <w:tcPr>
            <w:tcW w:w="405"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经营收入</w:t>
            </w:r>
          </w:p>
        </w:tc>
        <w:tc>
          <w:tcPr>
            <w:tcW w:w="405"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附属单位上缴收入</w:t>
            </w:r>
          </w:p>
        </w:tc>
        <w:tc>
          <w:tcPr>
            <w:tcW w:w="528"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538" w:hRule="atLeast"/>
        </w:trPr>
        <w:tc>
          <w:tcPr>
            <w:tcW w:w="439" w:type="pct"/>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功能分类科目编码</w:t>
            </w:r>
          </w:p>
        </w:tc>
        <w:tc>
          <w:tcPr>
            <w:tcW w:w="958" w:type="pct"/>
            <w:vMerge w:val="restart"/>
            <w:tcBorders>
              <w:top w:val="nil"/>
              <w:left w:val="nil"/>
              <w:bottom w:val="single" w:color="000000" w:sz="4" w:space="0"/>
              <w:right w:val="nil"/>
            </w:tcBorders>
            <w:noWrap/>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项目（按“项”级功能分类科目）</w:t>
            </w:r>
          </w:p>
        </w:tc>
        <w:tc>
          <w:tcPr>
            <w:tcW w:w="444"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37"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小计</w:t>
            </w:r>
          </w:p>
        </w:tc>
        <w:tc>
          <w:tcPr>
            <w:tcW w:w="446"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其中：教育收费</w:t>
            </w:r>
          </w:p>
        </w:tc>
        <w:tc>
          <w:tcPr>
            <w:tcW w:w="40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r>
      <w:tr>
        <w:tblPrEx>
          <w:tblCellMar>
            <w:top w:w="0" w:type="dxa"/>
            <w:left w:w="0" w:type="dxa"/>
            <w:bottom w:w="0" w:type="dxa"/>
            <w:right w:w="0" w:type="dxa"/>
          </w:tblCellMar>
        </w:tblPrEx>
        <w:trPr>
          <w:trHeight w:val="538" w:hRule="atLeast"/>
        </w:trPr>
        <w:tc>
          <w:tcPr>
            <w:tcW w:w="439"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cs="宋体"/>
                <w:b/>
                <w:color w:val="000000"/>
                <w:sz w:val="20"/>
                <w:szCs w:val="20"/>
              </w:rPr>
            </w:pPr>
          </w:p>
        </w:tc>
        <w:tc>
          <w:tcPr>
            <w:tcW w:w="958" w:type="pct"/>
            <w:vMerge w:val="continue"/>
            <w:tcBorders>
              <w:top w:val="nil"/>
              <w:left w:val="nil"/>
              <w:bottom w:val="single" w:color="000000" w:sz="4" w:space="0"/>
              <w:right w:val="nil"/>
            </w:tcBorders>
            <w:noWrap/>
            <w:tcMar>
              <w:top w:w="15" w:type="dxa"/>
              <w:left w:w="15" w:type="dxa"/>
              <w:right w:w="15" w:type="dxa"/>
            </w:tcMar>
            <w:vAlign w:val="center"/>
          </w:tcPr>
          <w:p>
            <w:pPr>
              <w:jc w:val="center"/>
              <w:rPr>
                <w:rFonts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r>
      <w:tr>
        <w:tblPrEx>
          <w:tblCellMar>
            <w:top w:w="0" w:type="dxa"/>
            <w:left w:w="0" w:type="dxa"/>
            <w:bottom w:w="0" w:type="dxa"/>
            <w:right w:w="0" w:type="dxa"/>
          </w:tblCellMar>
        </w:tblPrEx>
        <w:trPr>
          <w:trHeight w:val="538" w:hRule="atLeast"/>
        </w:trPr>
        <w:tc>
          <w:tcPr>
            <w:tcW w:w="439"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cs="宋体"/>
                <w:b/>
                <w:color w:val="000000"/>
                <w:sz w:val="20"/>
                <w:szCs w:val="20"/>
              </w:rPr>
            </w:pPr>
          </w:p>
        </w:tc>
        <w:tc>
          <w:tcPr>
            <w:tcW w:w="958" w:type="pct"/>
            <w:vMerge w:val="continue"/>
            <w:tcBorders>
              <w:top w:val="nil"/>
              <w:left w:val="nil"/>
              <w:bottom w:val="single" w:color="000000" w:sz="4" w:space="0"/>
              <w:right w:val="nil"/>
            </w:tcBorders>
            <w:noWrap/>
            <w:tcMar>
              <w:top w:w="15" w:type="dxa"/>
              <w:left w:w="15" w:type="dxa"/>
              <w:right w:w="15" w:type="dxa"/>
            </w:tcMar>
            <w:vAlign w:val="center"/>
          </w:tcPr>
          <w:p>
            <w:pPr>
              <w:jc w:val="center"/>
              <w:rPr>
                <w:rFonts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r>
      <w:tr>
        <w:tblPrEx>
          <w:tblCellMar>
            <w:top w:w="0" w:type="dxa"/>
            <w:left w:w="0" w:type="dxa"/>
            <w:bottom w:w="0" w:type="dxa"/>
            <w:right w:w="0" w:type="dxa"/>
          </w:tblCellMar>
        </w:tblPrEx>
        <w:trPr>
          <w:trHeight w:val="538" w:hRule="atLeast"/>
        </w:trPr>
        <w:tc>
          <w:tcPr>
            <w:tcW w:w="439"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cs="宋体"/>
                <w:b/>
                <w:color w:val="000000"/>
                <w:sz w:val="20"/>
                <w:szCs w:val="20"/>
              </w:rPr>
            </w:pPr>
          </w:p>
        </w:tc>
        <w:tc>
          <w:tcPr>
            <w:tcW w:w="958" w:type="pct"/>
            <w:vMerge w:val="continue"/>
            <w:tcBorders>
              <w:top w:val="nil"/>
              <w:left w:val="nil"/>
              <w:bottom w:val="single" w:color="000000" w:sz="4" w:space="0"/>
              <w:right w:val="nil"/>
            </w:tcBorders>
            <w:noWrap/>
            <w:tcMar>
              <w:top w:w="15" w:type="dxa"/>
              <w:left w:w="15" w:type="dxa"/>
              <w:right w:w="15" w:type="dxa"/>
            </w:tcMar>
            <w:vAlign w:val="center"/>
          </w:tcPr>
          <w:p>
            <w:pPr>
              <w:jc w:val="center"/>
              <w:rPr>
                <w:rFonts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r>
      <w:tr>
        <w:tblPrEx>
          <w:tblCellMar>
            <w:top w:w="0" w:type="dxa"/>
            <w:left w:w="0" w:type="dxa"/>
            <w:bottom w:w="0" w:type="dxa"/>
            <w:right w:w="0" w:type="dxa"/>
          </w:tblCellMar>
        </w:tblPrEx>
        <w:trPr>
          <w:trHeight w:val="338" w:hRule="atLeast"/>
        </w:trPr>
        <w:tc>
          <w:tcPr>
            <w:tcW w:w="1398"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合计</w:t>
            </w:r>
          </w:p>
        </w:tc>
        <w:tc>
          <w:tcPr>
            <w:tcW w:w="444"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12,192.07</w:t>
            </w:r>
            <w:r>
              <w:rPr>
                <w:rFonts w:ascii="Times New Roman" w:hAnsi="Times New Roman"/>
                <w:b/>
                <w:color w:val="000000"/>
                <w:sz w:val="20"/>
              </w:rPr>
              <w:t xml:space="preserve"> </w:t>
            </w:r>
          </w:p>
        </w:tc>
        <w:tc>
          <w:tcPr>
            <w:tcW w:w="461"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12,192.07</w:t>
            </w:r>
            <w:r>
              <w:rPr>
                <w:rFonts w:ascii="Times New Roman" w:hAnsi="Times New Roman"/>
                <w:b/>
                <w:color w:val="000000"/>
                <w:sz w:val="20"/>
              </w:rPr>
              <w:t xml:space="preserve"> </w:t>
            </w:r>
          </w:p>
        </w:tc>
        <w:tc>
          <w:tcPr>
            <w:tcW w:w="472"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437"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44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405"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405"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52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201</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一般公共服务支出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22.46</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22.46</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20136</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其他共产党事务支出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22.46</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22.46</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2013699</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其他共产党事务支出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22.46</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22.46</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204</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公共安全支出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10,334.97</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10,334.97</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20402</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公安</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10,334.97</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10,334.97</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2040201</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行政运行</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6,278.65</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6,278.65</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2040202</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一般行政管理事务</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1,333.00</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1,333.00</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2040220</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执法办案</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2,723.32</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2,723.32</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208</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社会保障和就业支出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1,033.60</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1,033.60</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20805</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行政事业单位养老支出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990.36</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990.36</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2080505</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机关事业单位基本养老保险缴费支出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537.61</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537.61</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2080506</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机关事业单位职业年金缴费支出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268.80</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268.80</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2080599</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其他行政事业单位养老支出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183.94</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183.94</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20808</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抚恤</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43.24</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43.24</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2080801</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死亡抚恤</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43.24</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43.24</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210</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卫生健康支出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346.09</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346.09</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21011</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行政事业单位医疗</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346.09</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346.09</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2101101</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行政单位医疗</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285.60</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285.60</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2101199</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其他行政事业单位医疗支出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60.48</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60.48</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221</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住房保障支出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454.97</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454.97</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22102</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住房改革支出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454.97</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454.97</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2210201</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住房公积金</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454.97</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454.97</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bl>
    <w:p>
      <w:pPr>
        <w:ind w:left="600" w:hanging="600" w:hangingChars="300"/>
        <w:rPr>
          <w:rFonts w:cs="宋体"/>
          <w:sz w:val="20"/>
          <w:szCs w:val="20"/>
        </w:rPr>
      </w:pPr>
      <w:r>
        <w:rPr>
          <w:rFonts w:cs="宋体"/>
          <w:sz w:val="20"/>
          <w:szCs w:val="20"/>
        </w:rPr>
        <w:t>备注：1.本表反映部门本年度取得的各项收入情况。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cs="宋体"/>
          <w:sz w:val="20"/>
          <w:szCs w:val="20"/>
        </w:rPr>
      </w:pPr>
      <w:r>
        <w:rPr>
          <w:rFonts w:cs="宋体"/>
          <w:sz w:val="20"/>
          <w:szCs w:val="20"/>
        </w:rPr>
        <w:br w:type="page"/>
      </w:r>
    </w:p>
    <w:tbl>
      <w:tblPr>
        <w:tblStyle w:val="7"/>
        <w:tblW w:w="5000" w:type="pct"/>
        <w:tblInd w:w="0" w:type="dxa"/>
        <w:tblLayout w:type="fixed"/>
        <w:tblCellMar>
          <w:top w:w="0" w:type="dxa"/>
          <w:left w:w="0" w:type="dxa"/>
          <w:bottom w:w="0" w:type="dxa"/>
          <w:right w:w="0" w:type="dxa"/>
        </w:tblCellMar>
      </w:tblPr>
      <w:tblGrid>
        <w:gridCol w:w="1234"/>
        <w:gridCol w:w="3916"/>
        <w:gridCol w:w="1799"/>
        <w:gridCol w:w="1738"/>
        <w:gridCol w:w="1569"/>
        <w:gridCol w:w="1508"/>
        <w:gridCol w:w="1670"/>
        <w:gridCol w:w="1888"/>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noWrap/>
            <w:tcMar>
              <w:top w:w="15" w:type="dxa"/>
              <w:left w:w="15" w:type="dxa"/>
              <w:right w:w="15" w:type="dxa"/>
            </w:tcMar>
            <w:vAlign w:val="bottom"/>
          </w:tcPr>
          <w:p>
            <w:pPr>
              <w:jc w:val="center"/>
              <w:textAlignment w:val="bottom"/>
              <w:rPr>
                <w:rFonts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268" w:type="pct"/>
            <w:gridSpan w:val="3"/>
            <w:vMerge w:val="restart"/>
            <w:tcBorders>
              <w:top w:val="nil"/>
              <w:left w:val="nil"/>
              <w:right w:val="nil"/>
            </w:tcBorders>
            <w:noWrap/>
            <w:tcMar>
              <w:top w:w="15" w:type="dxa"/>
              <w:left w:w="15" w:type="dxa"/>
              <w:right w:w="15" w:type="dxa"/>
            </w:tcMar>
            <w:vAlign w:val="bottom"/>
          </w:tcPr>
          <w:p>
            <w:pPr>
              <w:rPr>
                <w:rFonts w:cs="宋体"/>
                <w:color w:val="000000"/>
                <w:sz w:val="20"/>
                <w:szCs w:val="20"/>
              </w:rPr>
            </w:pPr>
            <w:r>
              <w:rPr>
                <w:rFonts w:cs="宋体"/>
                <w:sz w:val="20"/>
                <w:szCs w:val="20"/>
              </w:rPr>
              <w:t>部门</w:t>
            </w:r>
            <w:r>
              <w:rPr>
                <w:rFonts w:cs="宋体"/>
                <w:color w:val="000000"/>
                <w:sz w:val="20"/>
                <w:szCs w:val="20"/>
              </w:rPr>
              <w:t>：</w:t>
            </w:r>
            <w:r>
              <w:rPr>
                <w:color w:val="000000"/>
                <w:sz w:val="20"/>
              </w:rPr>
              <w:t xml:space="preserve">城口县公安局（本级） </w:t>
            </w:r>
          </w:p>
        </w:tc>
        <w:tc>
          <w:tcPr>
            <w:tcW w:w="567"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512"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492"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545"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612" w:type="pct"/>
            <w:tcBorders>
              <w:top w:val="nil"/>
              <w:left w:val="nil"/>
              <w:bottom w:val="nil"/>
              <w:right w:val="nil"/>
            </w:tcBorders>
            <w:noWrap/>
            <w:tcMar>
              <w:top w:w="15" w:type="dxa"/>
              <w:left w:w="15" w:type="dxa"/>
              <w:right w:w="15" w:type="dxa"/>
            </w:tcMar>
            <w:vAlign w:val="bottom"/>
          </w:tcPr>
          <w:p>
            <w:pPr>
              <w:spacing w:line="280" w:lineRule="exact"/>
              <w:jc w:val="right"/>
              <w:textAlignment w:val="bottom"/>
              <w:rPr>
                <w:rFonts w:cs="宋体"/>
                <w:color w:val="000000"/>
                <w:sz w:val="20"/>
                <w:szCs w:val="20"/>
              </w:rPr>
            </w:pPr>
            <w:r>
              <w:rPr>
                <w:rFonts w:cs="宋体"/>
                <w:color w:val="000000"/>
                <w:sz w:val="20"/>
                <w:szCs w:val="20"/>
              </w:rPr>
              <w:t>公开</w:t>
            </w:r>
            <w:r>
              <w:rPr>
                <w:rFonts w:hint="default" w:ascii="Times New Roman" w:hAnsi="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268" w:type="pct"/>
            <w:gridSpan w:val="3"/>
            <w:vMerge w:val="continue"/>
            <w:tcBorders>
              <w:left w:val="nil"/>
              <w:bottom w:val="nil"/>
              <w:right w:val="nil"/>
            </w:tcBorders>
            <w:noWrap/>
            <w:tcMar>
              <w:top w:w="15" w:type="dxa"/>
              <w:left w:w="15" w:type="dxa"/>
              <w:right w:w="15" w:type="dxa"/>
            </w:tcMar>
            <w:vAlign w:val="bottom"/>
          </w:tcPr>
          <w:p>
            <w:pPr>
              <w:rPr>
                <w:rFonts w:cs="宋体"/>
                <w:color w:val="000000"/>
                <w:sz w:val="20"/>
                <w:szCs w:val="20"/>
              </w:rPr>
            </w:pPr>
          </w:p>
        </w:tc>
        <w:tc>
          <w:tcPr>
            <w:tcW w:w="567"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512"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492"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545"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612" w:type="pct"/>
            <w:tcBorders>
              <w:top w:val="nil"/>
              <w:left w:val="nil"/>
              <w:bottom w:val="nil"/>
              <w:right w:val="nil"/>
            </w:tcBorders>
            <w:noWrap/>
            <w:tcMar>
              <w:top w:w="15" w:type="dxa"/>
              <w:left w:w="15" w:type="dxa"/>
              <w:right w:w="15" w:type="dxa"/>
            </w:tcMar>
            <w:vAlign w:val="bottom"/>
          </w:tcPr>
          <w:p>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681"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jc w:val="center"/>
              <w:textAlignment w:val="bottom"/>
              <w:rPr>
                <w:rFonts w:cs="宋体"/>
                <w:b/>
                <w:color w:val="000000"/>
                <w:sz w:val="20"/>
                <w:szCs w:val="20"/>
              </w:rPr>
            </w:pPr>
            <w:r>
              <w:rPr>
                <w:rFonts w:cs="宋体"/>
                <w:b/>
                <w:color w:val="000000"/>
                <w:sz w:val="20"/>
                <w:szCs w:val="20"/>
              </w:rPr>
              <w:t>项目</w:t>
            </w:r>
          </w:p>
        </w:tc>
        <w:tc>
          <w:tcPr>
            <w:tcW w:w="587"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本年支出合计</w:t>
            </w:r>
          </w:p>
        </w:tc>
        <w:tc>
          <w:tcPr>
            <w:tcW w:w="567"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基本支出</w:t>
            </w:r>
          </w:p>
        </w:tc>
        <w:tc>
          <w:tcPr>
            <w:tcW w:w="512"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项目支出</w:t>
            </w:r>
          </w:p>
        </w:tc>
        <w:tc>
          <w:tcPr>
            <w:tcW w:w="492"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上缴上级支出</w:t>
            </w:r>
          </w:p>
        </w:tc>
        <w:tc>
          <w:tcPr>
            <w:tcW w:w="545"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经营支出</w:t>
            </w:r>
          </w:p>
        </w:tc>
        <w:tc>
          <w:tcPr>
            <w:tcW w:w="612"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538" w:hRule="atLeast"/>
        </w:trPr>
        <w:tc>
          <w:tcPr>
            <w:tcW w:w="403" w:type="pct"/>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功能分类科目编码</w:t>
            </w:r>
          </w:p>
        </w:tc>
        <w:tc>
          <w:tcPr>
            <w:tcW w:w="1277" w:type="pct"/>
            <w:vMerge w:val="restart"/>
            <w:tcBorders>
              <w:top w:val="nil"/>
              <w:left w:val="nil"/>
              <w:bottom w:val="single" w:color="000000" w:sz="4" w:space="0"/>
              <w:right w:val="nil"/>
            </w:tcBorders>
            <w:noWrap/>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项目（按“项”级功能分类科目）</w:t>
            </w:r>
          </w:p>
        </w:tc>
        <w:tc>
          <w:tcPr>
            <w:tcW w:w="58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r>
      <w:tr>
        <w:tblPrEx>
          <w:tblCellMar>
            <w:top w:w="0" w:type="dxa"/>
            <w:left w:w="0" w:type="dxa"/>
            <w:bottom w:w="0" w:type="dxa"/>
            <w:right w:w="0" w:type="dxa"/>
          </w:tblCellMar>
        </w:tblPrEx>
        <w:trPr>
          <w:trHeight w:val="538" w:hRule="atLeast"/>
        </w:trPr>
        <w:tc>
          <w:tcPr>
            <w:tcW w:w="403"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cs="宋体"/>
                <w:b/>
                <w:color w:val="000000"/>
                <w:sz w:val="20"/>
                <w:szCs w:val="20"/>
              </w:rPr>
            </w:pPr>
          </w:p>
        </w:tc>
        <w:tc>
          <w:tcPr>
            <w:tcW w:w="1277" w:type="pct"/>
            <w:vMerge w:val="continue"/>
            <w:tcBorders>
              <w:top w:val="nil"/>
              <w:left w:val="nil"/>
              <w:bottom w:val="single" w:color="000000" w:sz="4" w:space="0"/>
              <w:right w:val="nil"/>
            </w:tcBorders>
            <w:noWrap/>
            <w:tcMar>
              <w:top w:w="15" w:type="dxa"/>
              <w:left w:w="15" w:type="dxa"/>
              <w:right w:w="15" w:type="dxa"/>
            </w:tcMar>
            <w:vAlign w:val="center"/>
          </w:tcPr>
          <w:p>
            <w:pPr>
              <w:jc w:val="center"/>
              <w:rPr>
                <w:rFonts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r>
      <w:tr>
        <w:tblPrEx>
          <w:tblCellMar>
            <w:top w:w="0" w:type="dxa"/>
            <w:left w:w="0" w:type="dxa"/>
            <w:bottom w:w="0" w:type="dxa"/>
            <w:right w:w="0" w:type="dxa"/>
          </w:tblCellMar>
        </w:tblPrEx>
        <w:trPr>
          <w:trHeight w:val="538" w:hRule="atLeast"/>
        </w:trPr>
        <w:tc>
          <w:tcPr>
            <w:tcW w:w="403"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cs="宋体"/>
                <w:b/>
                <w:color w:val="000000"/>
                <w:sz w:val="20"/>
                <w:szCs w:val="20"/>
              </w:rPr>
            </w:pPr>
          </w:p>
        </w:tc>
        <w:tc>
          <w:tcPr>
            <w:tcW w:w="1277" w:type="pct"/>
            <w:vMerge w:val="continue"/>
            <w:tcBorders>
              <w:top w:val="nil"/>
              <w:left w:val="nil"/>
              <w:bottom w:val="single" w:color="000000" w:sz="4" w:space="0"/>
              <w:right w:val="nil"/>
            </w:tcBorders>
            <w:noWrap/>
            <w:tcMar>
              <w:top w:w="15" w:type="dxa"/>
              <w:left w:w="15" w:type="dxa"/>
              <w:right w:w="15" w:type="dxa"/>
            </w:tcMar>
            <w:vAlign w:val="center"/>
          </w:tcPr>
          <w:p>
            <w:pPr>
              <w:jc w:val="center"/>
              <w:rPr>
                <w:rFonts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r>
      <w:tr>
        <w:tblPrEx>
          <w:tblCellMar>
            <w:top w:w="0" w:type="dxa"/>
            <w:left w:w="0" w:type="dxa"/>
            <w:bottom w:w="0" w:type="dxa"/>
            <w:right w:w="0" w:type="dxa"/>
          </w:tblCellMar>
        </w:tblPrEx>
        <w:trPr>
          <w:trHeight w:val="538" w:hRule="atLeast"/>
        </w:trPr>
        <w:tc>
          <w:tcPr>
            <w:tcW w:w="403"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cs="宋体"/>
                <w:b/>
                <w:color w:val="000000"/>
                <w:sz w:val="20"/>
                <w:szCs w:val="20"/>
              </w:rPr>
            </w:pPr>
          </w:p>
        </w:tc>
        <w:tc>
          <w:tcPr>
            <w:tcW w:w="1277" w:type="pct"/>
            <w:vMerge w:val="continue"/>
            <w:tcBorders>
              <w:top w:val="nil"/>
              <w:left w:val="nil"/>
              <w:bottom w:val="single" w:color="000000" w:sz="4" w:space="0"/>
              <w:right w:val="nil"/>
            </w:tcBorders>
            <w:noWrap/>
            <w:tcMar>
              <w:top w:w="15" w:type="dxa"/>
              <w:left w:w="15" w:type="dxa"/>
              <w:right w:w="15" w:type="dxa"/>
            </w:tcMar>
            <w:vAlign w:val="center"/>
          </w:tcPr>
          <w:p>
            <w:pPr>
              <w:jc w:val="center"/>
              <w:rPr>
                <w:rFonts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r>
      <w:tr>
        <w:tblPrEx>
          <w:tblCellMar>
            <w:top w:w="0" w:type="dxa"/>
            <w:left w:w="0" w:type="dxa"/>
            <w:bottom w:w="0" w:type="dxa"/>
            <w:right w:w="0" w:type="dxa"/>
          </w:tblCellMar>
        </w:tblPrEx>
        <w:trPr>
          <w:trHeight w:val="362" w:hRule="atLeast"/>
        </w:trPr>
        <w:tc>
          <w:tcPr>
            <w:tcW w:w="1681"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合计</w:t>
            </w:r>
          </w:p>
        </w:tc>
        <w:tc>
          <w:tcPr>
            <w:tcW w:w="587"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12,192.07</w:t>
            </w:r>
            <w:r>
              <w:rPr>
                <w:rFonts w:ascii="Times New Roman" w:hAnsi="Times New Roman"/>
                <w:b/>
                <w:color w:val="000000"/>
                <w:sz w:val="20"/>
              </w:rPr>
              <w:t xml:space="preserve"> </w:t>
            </w:r>
          </w:p>
        </w:tc>
        <w:tc>
          <w:tcPr>
            <w:tcW w:w="567"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8,135.75</w:t>
            </w:r>
            <w:r>
              <w:rPr>
                <w:rFonts w:ascii="Times New Roman" w:hAnsi="Times New Roman"/>
                <w:b/>
                <w:color w:val="000000"/>
                <w:sz w:val="20"/>
              </w:rPr>
              <w:t xml:space="preserve"> </w:t>
            </w:r>
          </w:p>
        </w:tc>
        <w:tc>
          <w:tcPr>
            <w:tcW w:w="512"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4,056.32</w:t>
            </w:r>
            <w:r>
              <w:rPr>
                <w:rFonts w:ascii="Times New Roman" w:hAnsi="Times New Roman"/>
                <w:b/>
                <w:color w:val="000000"/>
                <w:sz w:val="20"/>
              </w:rPr>
              <w:t xml:space="preserve"> </w:t>
            </w:r>
          </w:p>
        </w:tc>
        <w:tc>
          <w:tcPr>
            <w:tcW w:w="492"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545"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612"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201</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一般公共服务支出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22.46</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22.46</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20136</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其他共产党事务支出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22.46</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22.46</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2013699</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其他共产党事务支出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22.46</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22.46</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204</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公共安全支出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10,334.97</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6,278.65</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4,056.32</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20402</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公安</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10,334.97</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6,278.65</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4,056.32</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2040201</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行政运行</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6,278.65</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6,278.65</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2040202</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一般行政管理事务</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1,333.00</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1,333.00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2040220</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执法办案</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2,723.32</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2,723.32</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208</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社会保障和就业支出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1,033.60</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1,033.60</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20805</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行政事业单位养老支出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990.36</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990.36</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2080505</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机关事业单位基本养老保险缴费支出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537.61</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537.61</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2080506</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机关事业单位职业年金缴费支出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268.80</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268.80</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2080599</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其他行政事业单位养老支出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183.94</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183.94</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20808</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抚恤</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43.24</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43.24</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2080801</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死亡抚恤</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43.24</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43.24</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210</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卫生健康支出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346.09</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346.09</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21011</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行政事业单位医疗</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346.09</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346.09</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2101101</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行政单位医疗</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285.60</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285.60</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2101199</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其他行政事业单位医疗支出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60.48</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60.48</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221</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住房保障支出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454.97</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454.97</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22102</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住房改革支出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454.97</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454.97</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2210201</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住房公积金</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454.97</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454.97</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bl>
    <w:p>
      <w:pPr>
        <w:rPr>
          <w:rFonts w:cs="宋体"/>
          <w:sz w:val="20"/>
          <w:szCs w:val="20"/>
        </w:rPr>
      </w:pPr>
      <w:r>
        <w:rPr>
          <w:rFonts w:cs="宋体"/>
          <w:sz w:val="20"/>
          <w:szCs w:val="20"/>
        </w:rPr>
        <w:t>备注：1.本表反映部门本年度各项支出情况。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cs="宋体"/>
          <w:sz w:val="21"/>
          <w:szCs w:val="21"/>
        </w:rPr>
      </w:pPr>
      <w:r>
        <w:rPr>
          <w:rFonts w:cs="宋体"/>
          <w:sz w:val="21"/>
          <w:szCs w:val="21"/>
        </w:rPr>
        <w:br w:type="page"/>
      </w:r>
    </w:p>
    <w:p>
      <w:pPr>
        <w:rPr>
          <w:rFonts w:cs="宋体"/>
          <w:sz w:val="21"/>
          <w:szCs w:val="21"/>
        </w:rPr>
      </w:pPr>
    </w:p>
    <w:tbl>
      <w:tblPr>
        <w:tblStyle w:val="7"/>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noWrap/>
            <w:tcMar>
              <w:top w:w="15" w:type="dxa"/>
              <w:left w:w="15" w:type="dxa"/>
              <w:right w:w="15" w:type="dxa"/>
            </w:tcMar>
            <w:vAlign w:val="bottom"/>
          </w:tcPr>
          <w:p>
            <w:pPr>
              <w:spacing w:line="400" w:lineRule="exact"/>
              <w:jc w:val="center"/>
              <w:textAlignment w:val="bottom"/>
              <w:rPr>
                <w:rFonts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noWrap/>
            <w:tcMar>
              <w:top w:w="15" w:type="dxa"/>
              <w:left w:w="15" w:type="dxa"/>
              <w:right w:w="15" w:type="dxa"/>
            </w:tcMar>
            <w:vAlign w:val="bottom"/>
          </w:tcPr>
          <w:p>
            <w:pPr>
              <w:spacing w:line="280" w:lineRule="exact"/>
              <w:rPr>
                <w:rFonts w:cs="宋体"/>
                <w:color w:val="000000"/>
                <w:sz w:val="18"/>
                <w:szCs w:val="18"/>
              </w:rPr>
            </w:pPr>
            <w:r>
              <w:rPr>
                <w:rFonts w:cs="宋体"/>
                <w:sz w:val="20"/>
                <w:szCs w:val="20"/>
              </w:rPr>
              <w:t>部门</w:t>
            </w:r>
            <w:r>
              <w:rPr>
                <w:rFonts w:cs="宋体"/>
                <w:color w:val="000000"/>
                <w:sz w:val="20"/>
                <w:szCs w:val="20"/>
              </w:rPr>
              <w:t>：</w:t>
            </w:r>
            <w:r>
              <w:rPr>
                <w:color w:val="000000"/>
                <w:sz w:val="20"/>
              </w:rPr>
              <w:t>城口县公安局（本级）</w:t>
            </w:r>
          </w:p>
        </w:tc>
        <w:tc>
          <w:tcPr>
            <w:tcW w:w="577" w:type="pct"/>
            <w:tcBorders>
              <w:top w:val="nil"/>
              <w:left w:val="nil"/>
              <w:bottom w:val="nil"/>
              <w:right w:val="nil"/>
            </w:tcBorders>
            <w:noWrap/>
            <w:tcMar>
              <w:top w:w="15" w:type="dxa"/>
              <w:left w:w="15" w:type="dxa"/>
              <w:right w:w="15" w:type="dxa"/>
            </w:tcMar>
            <w:vAlign w:val="bottom"/>
          </w:tcPr>
          <w:p>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pPr>
              <w:spacing w:line="200" w:lineRule="exact"/>
              <w:rPr>
                <w:rFonts w:cs="宋体"/>
                <w:color w:val="000000"/>
                <w:sz w:val="18"/>
                <w:szCs w:val="18"/>
              </w:rPr>
            </w:pPr>
          </w:p>
        </w:tc>
        <w:tc>
          <w:tcPr>
            <w:tcW w:w="657" w:type="pct"/>
            <w:tcBorders>
              <w:top w:val="nil"/>
              <w:left w:val="nil"/>
              <w:bottom w:val="nil"/>
              <w:right w:val="nil"/>
            </w:tcBorders>
            <w:noWrap/>
            <w:tcMar>
              <w:top w:w="15" w:type="dxa"/>
              <w:left w:w="15" w:type="dxa"/>
              <w:right w:w="15" w:type="dxa"/>
            </w:tcMar>
            <w:vAlign w:val="bottom"/>
          </w:tcPr>
          <w:p>
            <w:pPr>
              <w:spacing w:line="260" w:lineRule="exact"/>
              <w:jc w:val="right"/>
              <w:textAlignment w:val="bottom"/>
              <w:rPr>
                <w:rFonts w:cs="宋体"/>
                <w:color w:val="000000"/>
                <w:sz w:val="20"/>
                <w:szCs w:val="20"/>
              </w:rPr>
            </w:pPr>
            <w:r>
              <w:rPr>
                <w:rFonts w:cs="宋体"/>
                <w:color w:val="000000"/>
                <w:sz w:val="20"/>
                <w:szCs w:val="20"/>
              </w:rPr>
              <w:t>公开</w:t>
            </w:r>
            <w:r>
              <w:rPr>
                <w:rFonts w:hint="default" w:ascii="Times New Roman" w:hAnsi="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noWrap/>
            <w:tcMar>
              <w:top w:w="15" w:type="dxa"/>
              <w:left w:w="15" w:type="dxa"/>
              <w:right w:w="15" w:type="dxa"/>
            </w:tcMar>
            <w:vAlign w:val="bottom"/>
          </w:tcPr>
          <w:p>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pPr>
              <w:spacing w:line="200" w:lineRule="exact"/>
              <w:rPr>
                <w:rFonts w:cs="宋体"/>
                <w:color w:val="000000"/>
                <w:sz w:val="18"/>
                <w:szCs w:val="18"/>
              </w:rPr>
            </w:pPr>
          </w:p>
        </w:tc>
        <w:tc>
          <w:tcPr>
            <w:tcW w:w="657" w:type="pct"/>
            <w:tcBorders>
              <w:top w:val="nil"/>
              <w:left w:val="nil"/>
              <w:bottom w:val="nil"/>
              <w:right w:val="nil"/>
            </w:tcBorders>
            <w:noWrap/>
            <w:tcMar>
              <w:top w:w="15" w:type="dxa"/>
              <w:left w:w="15" w:type="dxa"/>
              <w:right w:w="15" w:type="dxa"/>
            </w:tcMar>
            <w:vAlign w:val="bottom"/>
          </w:tcPr>
          <w:p>
            <w:pPr>
              <w:spacing w:line="26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center"/>
              <w:textAlignment w:val="center"/>
              <w:rPr>
                <w:rFonts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center"/>
              <w:textAlignment w:val="center"/>
              <w:rPr>
                <w:rFonts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00" w:lineRule="exact"/>
              <w:jc w:val="center"/>
              <w:textAlignment w:val="center"/>
              <w:rPr>
                <w:rFonts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00" w:lineRule="exact"/>
              <w:jc w:val="center"/>
              <w:textAlignment w:val="center"/>
              <w:rPr>
                <w:rFonts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tcMar>
              <w:top w:w="15" w:type="dxa"/>
              <w:left w:w="15" w:type="dxa"/>
              <w:right w:w="15" w:type="dxa"/>
            </w:tcMar>
            <w:vAlign w:val="center"/>
          </w:tcPr>
          <w:p>
            <w:pPr>
              <w:spacing w:line="200" w:lineRule="exact"/>
              <w:jc w:val="center"/>
              <w:textAlignment w:val="center"/>
              <w:rPr>
                <w:rFonts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noWrap/>
            <w:tcMar>
              <w:top w:w="15" w:type="dxa"/>
              <w:left w:w="15" w:type="dxa"/>
              <w:right w:w="15" w:type="dxa"/>
            </w:tcMar>
            <w:vAlign w:val="center"/>
          </w:tcPr>
          <w:p>
            <w:pPr>
              <w:spacing w:line="200" w:lineRule="exact"/>
              <w:jc w:val="center"/>
              <w:textAlignment w:val="center"/>
              <w:rPr>
                <w:rFonts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00" w:lineRule="exact"/>
              <w:jc w:val="center"/>
              <w:rPr>
                <w:rFonts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00" w:lineRule="exact"/>
              <w:jc w:val="center"/>
              <w:rPr>
                <w:rFonts w:cs="宋体"/>
                <w:b/>
                <w:color w:val="000000"/>
                <w:sz w:val="18"/>
                <w:szCs w:val="18"/>
              </w:rPr>
            </w:pPr>
          </w:p>
        </w:tc>
        <w:tc>
          <w:tcPr>
            <w:tcW w:w="1083" w:type="pct"/>
            <w:vMerge w:val="continue"/>
            <w:tcBorders>
              <w:top w:val="nil"/>
              <w:left w:val="nil"/>
              <w:bottom w:val="single" w:color="000000" w:sz="4" w:space="0"/>
              <w:right w:val="single" w:color="000000" w:sz="4" w:space="0"/>
            </w:tcBorders>
            <w:tcMar>
              <w:top w:w="15" w:type="dxa"/>
              <w:left w:w="15" w:type="dxa"/>
              <w:right w:w="15" w:type="dxa"/>
            </w:tcMar>
            <w:vAlign w:val="center"/>
          </w:tcPr>
          <w:p>
            <w:pPr>
              <w:spacing w:line="200" w:lineRule="exact"/>
              <w:jc w:val="center"/>
              <w:rPr>
                <w:rFonts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center"/>
              <w:textAlignment w:val="center"/>
              <w:rPr>
                <w:rFonts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00" w:lineRule="exact"/>
              <w:jc w:val="center"/>
              <w:textAlignment w:val="center"/>
              <w:rPr>
                <w:rFonts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00" w:lineRule="exact"/>
              <w:jc w:val="center"/>
              <w:textAlignment w:val="center"/>
              <w:rPr>
                <w:rFonts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00" w:lineRule="exact"/>
              <w:jc w:val="center"/>
              <w:textAlignment w:val="center"/>
              <w:rPr>
                <w:rFonts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12,192.07</w:t>
            </w: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22.46</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22.46</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10,334.97</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10,334.97</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1,033.60</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1,033.60</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346.09</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346.09</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454.97</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454.97</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center"/>
              <w:textAlignment w:val="center"/>
              <w:rPr>
                <w:rFonts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12,192.07</w:t>
            </w: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center"/>
              <w:textAlignment w:val="center"/>
              <w:rPr>
                <w:rFonts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12,192.07</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12,192.07</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200" w:lineRule="exact"/>
              <w:rPr>
                <w:rFonts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center"/>
              <w:rPr>
                <w:rFonts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textAlignment w:val="center"/>
              <w:rPr>
                <w:rFonts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center"/>
              <w:rPr>
                <w:rFonts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center"/>
              <w:textAlignment w:val="center"/>
              <w:rPr>
                <w:rFonts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12,192.07</w:t>
            </w: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200" w:lineRule="exact"/>
              <w:jc w:val="center"/>
              <w:textAlignment w:val="center"/>
              <w:rPr>
                <w:rFonts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12,192.07</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12,192.07</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bl>
    <w:p>
      <w:pPr>
        <w:spacing w:line="240" w:lineRule="exact"/>
        <w:rPr>
          <w:rFonts w:cs="宋体"/>
          <w:sz w:val="20"/>
          <w:szCs w:val="20"/>
        </w:rPr>
      </w:pPr>
      <w:r>
        <w:rPr>
          <w:rFonts w:cs="宋体"/>
          <w:sz w:val="20"/>
          <w:szCs w:val="20"/>
        </w:rPr>
        <w:t>备注：1.本表反映部门本年度一般公共预算财政拨款、政府性基金预算财政拨款及国有资本经营预算财政拨款的总收支和年末结转结余情况。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305"/>
        <w:gridCol w:w="4073"/>
        <w:gridCol w:w="3306"/>
        <w:gridCol w:w="3297"/>
        <w:gridCol w:w="3341"/>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noWrap/>
            <w:tcMar>
              <w:top w:w="15" w:type="dxa"/>
              <w:left w:w="15" w:type="dxa"/>
              <w:right w:w="15" w:type="dxa"/>
            </w:tcMar>
            <w:vAlign w:val="bottom"/>
          </w:tcPr>
          <w:p>
            <w:pPr>
              <w:jc w:val="center"/>
              <w:textAlignment w:val="bottom"/>
              <w:rPr>
                <w:rFonts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noWrap/>
            <w:tcMar>
              <w:top w:w="15" w:type="dxa"/>
              <w:left w:w="15" w:type="dxa"/>
              <w:right w:w="15" w:type="dxa"/>
            </w:tcMar>
            <w:vAlign w:val="bottom"/>
          </w:tcPr>
          <w:p>
            <w:pPr>
              <w:spacing w:line="280" w:lineRule="exact"/>
              <w:rPr>
                <w:rFonts w:cs="宋体"/>
                <w:color w:val="000000"/>
                <w:sz w:val="20"/>
                <w:szCs w:val="20"/>
              </w:rPr>
            </w:pPr>
            <w:r>
              <w:rPr>
                <w:rFonts w:cs="宋体"/>
                <w:sz w:val="20"/>
                <w:szCs w:val="20"/>
              </w:rPr>
              <w:t>部门</w:t>
            </w:r>
            <w:r>
              <w:rPr>
                <w:rFonts w:cs="宋体"/>
                <w:color w:val="000000"/>
                <w:sz w:val="20"/>
                <w:szCs w:val="20"/>
              </w:rPr>
              <w:t>：</w:t>
            </w:r>
            <w:r>
              <w:rPr>
                <w:color w:val="000000"/>
                <w:sz w:val="20"/>
              </w:rPr>
              <w:t>城口县公安局（本级）</w:t>
            </w:r>
          </w:p>
        </w:tc>
        <w:tc>
          <w:tcPr>
            <w:tcW w:w="1076"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1088" w:type="pct"/>
            <w:tcBorders>
              <w:top w:val="nil"/>
              <w:left w:val="nil"/>
              <w:bottom w:val="nil"/>
              <w:right w:val="nil"/>
            </w:tcBorders>
            <w:noWrap/>
            <w:tcMar>
              <w:top w:w="15" w:type="dxa"/>
              <w:left w:w="15" w:type="dxa"/>
              <w:right w:w="15" w:type="dxa"/>
            </w:tcMar>
            <w:vAlign w:val="bottom"/>
          </w:tcPr>
          <w:p>
            <w:pPr>
              <w:spacing w:line="280" w:lineRule="exact"/>
              <w:jc w:val="right"/>
              <w:textAlignment w:val="bottom"/>
              <w:rPr>
                <w:rFonts w:cs="宋体"/>
                <w:color w:val="000000"/>
                <w:sz w:val="20"/>
                <w:szCs w:val="20"/>
              </w:rPr>
            </w:pPr>
            <w:r>
              <w:rPr>
                <w:rFonts w:cs="宋体"/>
                <w:color w:val="000000"/>
                <w:sz w:val="20"/>
                <w:szCs w:val="20"/>
              </w:rPr>
              <w:t>公开</w:t>
            </w:r>
            <w:r>
              <w:rPr>
                <w:rFonts w:hint="default" w:ascii="Times New Roman" w:hAnsi="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noWrap/>
            <w:tcMar>
              <w:top w:w="15" w:type="dxa"/>
              <w:left w:w="15" w:type="dxa"/>
              <w:right w:w="15" w:type="dxa"/>
            </w:tcMar>
            <w:vAlign w:val="bottom"/>
          </w:tcPr>
          <w:p>
            <w:pPr>
              <w:rPr>
                <w:rFonts w:cs="宋体"/>
                <w:color w:val="000000"/>
                <w:sz w:val="20"/>
                <w:szCs w:val="20"/>
              </w:rPr>
            </w:pPr>
          </w:p>
        </w:tc>
        <w:tc>
          <w:tcPr>
            <w:tcW w:w="1076"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1088" w:type="pct"/>
            <w:tcBorders>
              <w:top w:val="nil"/>
              <w:left w:val="nil"/>
              <w:bottom w:val="nil"/>
              <w:right w:val="nil"/>
            </w:tcBorders>
            <w:noWrap/>
            <w:tcMar>
              <w:top w:w="15" w:type="dxa"/>
              <w:left w:w="15" w:type="dxa"/>
              <w:right w:w="15" w:type="dxa"/>
            </w:tcMar>
            <w:vAlign w:val="bottom"/>
          </w:tcPr>
          <w:p>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538" w:hRule="atLeast"/>
        </w:trPr>
        <w:tc>
          <w:tcPr>
            <w:tcW w:w="426" w:type="pct"/>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538" w:hRule="atLeast"/>
        </w:trPr>
        <w:tc>
          <w:tcPr>
            <w:tcW w:w="426"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329"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078"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076"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088"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329"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078"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076"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088"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12,192.07</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8,135.75</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4,056.32</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22.46</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22.46</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22.46</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22.46</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22.46</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22.46</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204</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公共安全支出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10,334.97</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6,278.65</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4,056.32</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20402</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公安</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10,334.97</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6,278.65</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4,056.32</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2040201</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行政运行</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6,278.65</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6,278.65</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2040202</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一般行政管理事务</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1,333.00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1,333.00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2040220</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执法办案</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2,723.32</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2,723.32</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1,033.60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1,033.60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990.36</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990.36</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537.61</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537.61</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268.80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268.80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2080599</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其他行政事业单位养老支出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183.94</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183.94</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20808</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抚恤</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43.24</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43.24</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2080801</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死亡抚恤</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43.24</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43.24</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346.09</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346.09</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346.09</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346.09</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2101101</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行政单位医疗</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285.60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285.60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60.48</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60.48</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454.97</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454.97</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454.97</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454.97</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454.97</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454.97</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bl>
    <w:p>
      <w:pPr>
        <w:rPr>
          <w:rFonts w:cs="宋体"/>
          <w:sz w:val="21"/>
          <w:szCs w:val="21"/>
        </w:rPr>
      </w:pPr>
      <w:r>
        <w:rPr>
          <w:rFonts w:cs="宋体"/>
          <w:sz w:val="20"/>
          <w:szCs w:val="20"/>
        </w:rPr>
        <w:t>备注：1.本表反映部门本年度一般公共预算财政拨款支出情况。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ind w:firstLine="630" w:firstLineChars="300"/>
        <w:rPr>
          <w:rFonts w:cs="宋体"/>
          <w:sz w:val="21"/>
          <w:szCs w:val="21"/>
        </w:rPr>
      </w:pPr>
      <w:r>
        <w:rPr>
          <w:rFonts w:cs="宋体"/>
          <w:sz w:val="21"/>
          <w:szCs w:val="21"/>
        </w:rPr>
        <w:br w:type="page"/>
      </w:r>
    </w:p>
    <w:tbl>
      <w:tblPr>
        <w:tblStyle w:val="7"/>
        <w:tblW w:w="4994" w:type="pct"/>
        <w:tblInd w:w="0" w:type="dxa"/>
        <w:tblLayout w:type="autofit"/>
        <w:tblCellMar>
          <w:top w:w="0" w:type="dxa"/>
          <w:left w:w="0" w:type="dxa"/>
          <w:bottom w:w="0" w:type="dxa"/>
          <w:right w:w="0" w:type="dxa"/>
        </w:tblCellMar>
      </w:tblPr>
      <w:tblGrid>
        <w:gridCol w:w="802"/>
        <w:gridCol w:w="2810"/>
        <w:gridCol w:w="1540"/>
        <w:gridCol w:w="872"/>
        <w:gridCol w:w="2032"/>
        <w:gridCol w:w="1417"/>
        <w:gridCol w:w="872"/>
        <w:gridCol w:w="3462"/>
        <w:gridCol w:w="1497"/>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noWrap/>
            <w:tcMar>
              <w:top w:w="15" w:type="dxa"/>
              <w:left w:w="15" w:type="dxa"/>
              <w:right w:w="15" w:type="dxa"/>
            </w:tcMar>
            <w:vAlign w:val="bottom"/>
          </w:tcPr>
          <w:p>
            <w:pPr>
              <w:spacing w:line="440" w:lineRule="exact"/>
              <w:jc w:val="center"/>
              <w:textAlignment w:val="bottom"/>
              <w:rPr>
                <w:rFonts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noWrap/>
            <w:tcMar>
              <w:top w:w="15" w:type="dxa"/>
              <w:left w:w="15" w:type="dxa"/>
              <w:right w:w="15" w:type="dxa"/>
            </w:tcMar>
            <w:vAlign w:val="bottom"/>
          </w:tcPr>
          <w:p>
            <w:pPr>
              <w:spacing w:line="280" w:lineRule="exact"/>
              <w:rPr>
                <w:rFonts w:cs="宋体"/>
                <w:color w:val="000000"/>
                <w:sz w:val="18"/>
                <w:szCs w:val="18"/>
              </w:rPr>
            </w:pPr>
            <w:r>
              <w:rPr>
                <w:rFonts w:cs="宋体"/>
                <w:sz w:val="20"/>
                <w:szCs w:val="20"/>
              </w:rPr>
              <w:t>部门</w:t>
            </w:r>
            <w:r>
              <w:rPr>
                <w:rFonts w:cs="宋体"/>
                <w:color w:val="000000"/>
                <w:sz w:val="20"/>
                <w:szCs w:val="20"/>
              </w:rPr>
              <w:t>：</w:t>
            </w:r>
            <w:r>
              <w:rPr>
                <w:color w:val="000000"/>
                <w:sz w:val="20"/>
              </w:rPr>
              <w:t>城口县公安局（本级）</w:t>
            </w:r>
          </w:p>
        </w:tc>
        <w:tc>
          <w:tcPr>
            <w:tcW w:w="463" w:type="pct"/>
            <w:tcBorders>
              <w:top w:val="nil"/>
              <w:left w:val="nil"/>
              <w:bottom w:val="nil"/>
              <w:right w:val="nil"/>
            </w:tcBorders>
            <w:noWrap/>
            <w:tcMar>
              <w:top w:w="15" w:type="dxa"/>
              <w:left w:w="15" w:type="dxa"/>
              <w:right w:w="15" w:type="dxa"/>
            </w:tcMar>
            <w:vAlign w:val="bottom"/>
          </w:tcPr>
          <w:p>
            <w:pPr>
              <w:spacing w:line="200" w:lineRule="exact"/>
              <w:rPr>
                <w:rFonts w:cs="宋体"/>
                <w:color w:val="000000"/>
                <w:sz w:val="18"/>
                <w:szCs w:val="18"/>
              </w:rPr>
            </w:pPr>
          </w:p>
        </w:tc>
        <w:tc>
          <w:tcPr>
            <w:tcW w:w="285" w:type="pct"/>
            <w:tcBorders>
              <w:top w:val="nil"/>
              <w:left w:val="nil"/>
              <w:bottom w:val="nil"/>
              <w:right w:val="nil"/>
            </w:tcBorders>
            <w:noWrap/>
            <w:tcMar>
              <w:top w:w="15" w:type="dxa"/>
              <w:left w:w="15" w:type="dxa"/>
              <w:right w:w="15" w:type="dxa"/>
            </w:tcMar>
            <w:vAlign w:val="bottom"/>
          </w:tcPr>
          <w:p>
            <w:pPr>
              <w:spacing w:line="200" w:lineRule="exact"/>
              <w:rPr>
                <w:rFonts w:cs="宋体"/>
                <w:color w:val="000000"/>
                <w:sz w:val="18"/>
                <w:szCs w:val="18"/>
              </w:rPr>
            </w:pPr>
          </w:p>
        </w:tc>
        <w:tc>
          <w:tcPr>
            <w:tcW w:w="1131" w:type="pct"/>
            <w:tcBorders>
              <w:top w:val="nil"/>
              <w:left w:val="nil"/>
              <w:bottom w:val="nil"/>
              <w:right w:val="nil"/>
            </w:tcBorders>
            <w:noWrap/>
            <w:tcMar>
              <w:top w:w="15" w:type="dxa"/>
              <w:left w:w="15" w:type="dxa"/>
              <w:right w:w="15" w:type="dxa"/>
            </w:tcMar>
            <w:vAlign w:val="bottom"/>
          </w:tcPr>
          <w:p>
            <w:pPr>
              <w:spacing w:line="200" w:lineRule="exact"/>
              <w:rPr>
                <w:rFonts w:cs="宋体"/>
                <w:color w:val="000000"/>
                <w:sz w:val="18"/>
                <w:szCs w:val="18"/>
              </w:rPr>
            </w:pPr>
          </w:p>
        </w:tc>
        <w:tc>
          <w:tcPr>
            <w:tcW w:w="487" w:type="pct"/>
            <w:tcBorders>
              <w:top w:val="nil"/>
              <w:left w:val="nil"/>
              <w:bottom w:val="nil"/>
              <w:right w:val="nil"/>
            </w:tcBorders>
            <w:noWrap/>
            <w:tcMar>
              <w:top w:w="15" w:type="dxa"/>
              <w:left w:w="15" w:type="dxa"/>
              <w:right w:w="15" w:type="dxa"/>
            </w:tcMar>
            <w:vAlign w:val="bottom"/>
          </w:tcPr>
          <w:p>
            <w:pPr>
              <w:spacing w:line="280" w:lineRule="exact"/>
              <w:jc w:val="right"/>
              <w:textAlignment w:val="bottom"/>
              <w:rPr>
                <w:rFonts w:cs="宋体"/>
                <w:color w:val="000000"/>
                <w:sz w:val="20"/>
                <w:szCs w:val="20"/>
              </w:rPr>
            </w:pPr>
            <w:r>
              <w:rPr>
                <w:rFonts w:cs="宋体"/>
                <w:color w:val="000000"/>
                <w:sz w:val="20"/>
                <w:szCs w:val="20"/>
              </w:rPr>
              <w:t>公开</w:t>
            </w:r>
            <w:r>
              <w:rPr>
                <w:rFonts w:hint="default" w:ascii="Times New Roman" w:hAnsi="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noWrap/>
            <w:tcMar>
              <w:top w:w="15" w:type="dxa"/>
              <w:left w:w="15" w:type="dxa"/>
              <w:right w:w="15" w:type="dxa"/>
            </w:tcMar>
            <w:vAlign w:val="bottom"/>
          </w:tcPr>
          <w:p>
            <w:pPr>
              <w:spacing w:line="200" w:lineRule="exact"/>
              <w:rPr>
                <w:rFonts w:cs="宋体"/>
                <w:color w:val="000000"/>
                <w:sz w:val="18"/>
                <w:szCs w:val="18"/>
              </w:rPr>
            </w:pPr>
          </w:p>
        </w:tc>
        <w:tc>
          <w:tcPr>
            <w:tcW w:w="463" w:type="pct"/>
            <w:tcBorders>
              <w:top w:val="nil"/>
              <w:left w:val="nil"/>
              <w:bottom w:val="nil"/>
              <w:right w:val="nil"/>
            </w:tcBorders>
            <w:noWrap/>
            <w:tcMar>
              <w:top w:w="15" w:type="dxa"/>
              <w:left w:w="15" w:type="dxa"/>
              <w:right w:w="15" w:type="dxa"/>
            </w:tcMar>
            <w:vAlign w:val="bottom"/>
          </w:tcPr>
          <w:p>
            <w:pPr>
              <w:spacing w:line="200" w:lineRule="exact"/>
              <w:rPr>
                <w:rFonts w:cs="宋体"/>
                <w:color w:val="000000"/>
                <w:sz w:val="18"/>
                <w:szCs w:val="18"/>
              </w:rPr>
            </w:pPr>
          </w:p>
        </w:tc>
        <w:tc>
          <w:tcPr>
            <w:tcW w:w="285" w:type="pct"/>
            <w:tcBorders>
              <w:top w:val="nil"/>
              <w:left w:val="nil"/>
              <w:bottom w:val="nil"/>
              <w:right w:val="nil"/>
            </w:tcBorders>
            <w:noWrap/>
            <w:tcMar>
              <w:top w:w="15" w:type="dxa"/>
              <w:left w:w="15" w:type="dxa"/>
              <w:right w:w="15" w:type="dxa"/>
            </w:tcMar>
            <w:vAlign w:val="bottom"/>
          </w:tcPr>
          <w:p>
            <w:pPr>
              <w:spacing w:line="200" w:lineRule="exact"/>
              <w:rPr>
                <w:rFonts w:cs="宋体"/>
                <w:color w:val="000000"/>
                <w:sz w:val="18"/>
                <w:szCs w:val="18"/>
              </w:rPr>
            </w:pPr>
          </w:p>
        </w:tc>
        <w:tc>
          <w:tcPr>
            <w:tcW w:w="1131" w:type="pct"/>
            <w:tcBorders>
              <w:top w:val="nil"/>
              <w:left w:val="nil"/>
              <w:bottom w:val="nil"/>
              <w:right w:val="nil"/>
            </w:tcBorders>
            <w:noWrap/>
            <w:tcMar>
              <w:top w:w="15" w:type="dxa"/>
              <w:left w:w="15" w:type="dxa"/>
              <w:right w:w="15" w:type="dxa"/>
            </w:tcMar>
            <w:vAlign w:val="bottom"/>
          </w:tcPr>
          <w:p>
            <w:pPr>
              <w:spacing w:line="200" w:lineRule="exact"/>
              <w:rPr>
                <w:rFonts w:cs="宋体"/>
                <w:color w:val="000000"/>
                <w:sz w:val="18"/>
                <w:szCs w:val="18"/>
              </w:rPr>
            </w:pPr>
          </w:p>
        </w:tc>
        <w:tc>
          <w:tcPr>
            <w:tcW w:w="487" w:type="pct"/>
            <w:tcBorders>
              <w:top w:val="nil"/>
              <w:left w:val="nil"/>
              <w:bottom w:val="nil"/>
              <w:right w:val="nil"/>
            </w:tcBorders>
            <w:noWrap/>
            <w:tcMar>
              <w:top w:w="15" w:type="dxa"/>
              <w:left w:w="15" w:type="dxa"/>
              <w:right w:w="15" w:type="dxa"/>
            </w:tcMar>
            <w:vAlign w:val="bottom"/>
          </w:tcPr>
          <w:p>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center"/>
              <w:textAlignment w:val="center"/>
              <w:rPr>
                <w:rFonts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spacing w:line="192" w:lineRule="exact"/>
              <w:jc w:val="center"/>
              <w:textAlignment w:val="center"/>
              <w:rPr>
                <w:rFonts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52" w:hRule="atLeast"/>
        </w:trPr>
        <w:tc>
          <w:tcPr>
            <w:tcW w:w="262" w:type="pct"/>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192" w:lineRule="exact"/>
              <w:jc w:val="center"/>
              <w:textAlignment w:val="center"/>
              <w:rPr>
                <w:rFonts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tcMar>
              <w:top w:w="15" w:type="dxa"/>
              <w:left w:w="15" w:type="dxa"/>
              <w:right w:w="15" w:type="dxa"/>
            </w:tcMar>
            <w:vAlign w:val="center"/>
          </w:tcPr>
          <w:p>
            <w:pPr>
              <w:spacing w:line="192" w:lineRule="exact"/>
              <w:jc w:val="center"/>
              <w:textAlignment w:val="center"/>
              <w:rPr>
                <w:rFonts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tcMar>
              <w:top w:w="15" w:type="dxa"/>
              <w:left w:w="15" w:type="dxa"/>
              <w:right w:w="15" w:type="dxa"/>
            </w:tcMar>
            <w:vAlign w:val="center"/>
          </w:tcPr>
          <w:p>
            <w:pPr>
              <w:spacing w:line="192" w:lineRule="exact"/>
              <w:jc w:val="center"/>
              <w:textAlignment w:val="center"/>
              <w:rPr>
                <w:rFonts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192" w:lineRule="exact"/>
              <w:jc w:val="center"/>
              <w:textAlignment w:val="center"/>
              <w:rPr>
                <w:rFonts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tcMar>
              <w:top w:w="15" w:type="dxa"/>
              <w:left w:w="15" w:type="dxa"/>
              <w:right w:w="15" w:type="dxa"/>
            </w:tcMar>
            <w:vAlign w:val="center"/>
          </w:tcPr>
          <w:p>
            <w:pPr>
              <w:spacing w:line="192" w:lineRule="exact"/>
              <w:jc w:val="center"/>
              <w:textAlignment w:val="center"/>
              <w:rPr>
                <w:rFonts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tcMar>
              <w:top w:w="15" w:type="dxa"/>
              <w:left w:w="15" w:type="dxa"/>
              <w:right w:w="15" w:type="dxa"/>
            </w:tcMar>
            <w:vAlign w:val="center"/>
          </w:tcPr>
          <w:p>
            <w:pPr>
              <w:spacing w:line="192" w:lineRule="exact"/>
              <w:jc w:val="center"/>
              <w:textAlignment w:val="center"/>
              <w:rPr>
                <w:rFonts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192" w:lineRule="exact"/>
              <w:jc w:val="center"/>
              <w:textAlignment w:val="center"/>
              <w:rPr>
                <w:rFonts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tcMar>
              <w:top w:w="15" w:type="dxa"/>
              <w:left w:w="15" w:type="dxa"/>
              <w:right w:w="15" w:type="dxa"/>
            </w:tcMar>
            <w:vAlign w:val="center"/>
          </w:tcPr>
          <w:p>
            <w:pPr>
              <w:spacing w:line="192" w:lineRule="exact"/>
              <w:jc w:val="center"/>
              <w:textAlignment w:val="center"/>
              <w:rPr>
                <w:rFonts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tcMar>
              <w:top w:w="15" w:type="dxa"/>
              <w:left w:w="15" w:type="dxa"/>
              <w:right w:w="15" w:type="dxa"/>
            </w:tcMar>
            <w:vAlign w:val="center"/>
          </w:tcPr>
          <w:p>
            <w:pPr>
              <w:spacing w:line="192" w:lineRule="exact"/>
              <w:jc w:val="center"/>
              <w:textAlignment w:val="center"/>
              <w:rPr>
                <w:rFonts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52" w:hRule="atLeast"/>
        </w:trPr>
        <w:tc>
          <w:tcPr>
            <w:tcW w:w="262"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192" w:lineRule="exact"/>
              <w:jc w:val="center"/>
              <w:rPr>
                <w:rFonts w:cs="宋体"/>
                <w:b/>
                <w:color w:val="000000"/>
                <w:sz w:val="18"/>
                <w:szCs w:val="18"/>
              </w:rPr>
            </w:pPr>
          </w:p>
        </w:tc>
        <w:tc>
          <w:tcPr>
            <w:tcW w:w="917" w:type="pct"/>
            <w:vMerge w:val="continue"/>
            <w:tcBorders>
              <w:top w:val="nil"/>
              <w:left w:val="nil"/>
              <w:bottom w:val="single" w:color="000000" w:sz="4" w:space="0"/>
              <w:right w:val="single" w:color="000000" w:sz="4" w:space="0"/>
            </w:tcBorders>
            <w:tcMar>
              <w:top w:w="15" w:type="dxa"/>
              <w:left w:w="15" w:type="dxa"/>
              <w:right w:w="15" w:type="dxa"/>
            </w:tcMar>
            <w:vAlign w:val="center"/>
          </w:tcPr>
          <w:p>
            <w:pPr>
              <w:spacing w:line="192" w:lineRule="exact"/>
              <w:jc w:val="center"/>
              <w:rPr>
                <w:rFonts w:cs="宋体"/>
                <w:b/>
                <w:color w:val="000000"/>
                <w:sz w:val="18"/>
                <w:szCs w:val="18"/>
              </w:rPr>
            </w:pPr>
          </w:p>
        </w:tc>
        <w:tc>
          <w:tcPr>
            <w:tcW w:w="503" w:type="pct"/>
            <w:vMerge w:val="continue"/>
            <w:tcBorders>
              <w:top w:val="nil"/>
              <w:left w:val="nil"/>
              <w:bottom w:val="single" w:color="000000" w:sz="4" w:space="0"/>
              <w:right w:val="single" w:color="000000" w:sz="4" w:space="0"/>
            </w:tcBorders>
            <w:tcMar>
              <w:top w:w="15" w:type="dxa"/>
              <w:left w:w="15" w:type="dxa"/>
              <w:right w:w="15" w:type="dxa"/>
            </w:tcMar>
            <w:vAlign w:val="center"/>
          </w:tcPr>
          <w:p>
            <w:pPr>
              <w:spacing w:line="192" w:lineRule="exact"/>
              <w:jc w:val="center"/>
              <w:rPr>
                <w:rFonts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192" w:lineRule="exact"/>
              <w:jc w:val="center"/>
              <w:rPr>
                <w:rFonts w:cs="宋体"/>
                <w:b/>
                <w:color w:val="000000"/>
                <w:sz w:val="18"/>
                <w:szCs w:val="18"/>
              </w:rPr>
            </w:pPr>
          </w:p>
        </w:tc>
        <w:tc>
          <w:tcPr>
            <w:tcW w:w="663" w:type="pct"/>
            <w:vMerge w:val="continue"/>
            <w:tcBorders>
              <w:top w:val="nil"/>
              <w:left w:val="nil"/>
              <w:bottom w:val="single" w:color="000000" w:sz="4" w:space="0"/>
              <w:right w:val="single" w:color="000000" w:sz="4" w:space="0"/>
            </w:tcBorders>
            <w:tcMar>
              <w:top w:w="15" w:type="dxa"/>
              <w:left w:w="15" w:type="dxa"/>
              <w:right w:w="15" w:type="dxa"/>
            </w:tcMar>
            <w:vAlign w:val="center"/>
          </w:tcPr>
          <w:p>
            <w:pPr>
              <w:spacing w:line="192" w:lineRule="exact"/>
              <w:jc w:val="center"/>
              <w:rPr>
                <w:rFonts w:cs="宋体"/>
                <w:b/>
                <w:color w:val="000000"/>
                <w:sz w:val="18"/>
                <w:szCs w:val="18"/>
              </w:rPr>
            </w:pPr>
          </w:p>
        </w:tc>
        <w:tc>
          <w:tcPr>
            <w:tcW w:w="463" w:type="pct"/>
            <w:vMerge w:val="continue"/>
            <w:tcBorders>
              <w:top w:val="nil"/>
              <w:left w:val="nil"/>
              <w:bottom w:val="single" w:color="000000" w:sz="4" w:space="0"/>
              <w:right w:val="single" w:color="000000" w:sz="4" w:space="0"/>
            </w:tcBorders>
            <w:tcMar>
              <w:top w:w="15" w:type="dxa"/>
              <w:left w:w="15" w:type="dxa"/>
              <w:right w:w="15" w:type="dxa"/>
            </w:tcMar>
            <w:vAlign w:val="center"/>
          </w:tcPr>
          <w:p>
            <w:pPr>
              <w:spacing w:line="192" w:lineRule="exact"/>
              <w:jc w:val="center"/>
              <w:rPr>
                <w:rFonts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line="192" w:lineRule="exact"/>
              <w:jc w:val="center"/>
              <w:rPr>
                <w:rFonts w:cs="宋体"/>
                <w:b/>
                <w:color w:val="000000"/>
                <w:sz w:val="18"/>
                <w:szCs w:val="18"/>
              </w:rPr>
            </w:pPr>
          </w:p>
        </w:tc>
        <w:tc>
          <w:tcPr>
            <w:tcW w:w="1131" w:type="pct"/>
            <w:vMerge w:val="continue"/>
            <w:tcBorders>
              <w:top w:val="nil"/>
              <w:left w:val="nil"/>
              <w:bottom w:val="single" w:color="000000" w:sz="4" w:space="0"/>
              <w:right w:val="single" w:color="000000" w:sz="4" w:space="0"/>
            </w:tcBorders>
            <w:tcMar>
              <w:top w:w="15" w:type="dxa"/>
              <w:left w:w="15" w:type="dxa"/>
              <w:right w:w="15" w:type="dxa"/>
            </w:tcMar>
            <w:vAlign w:val="center"/>
          </w:tcPr>
          <w:p>
            <w:pPr>
              <w:spacing w:line="192" w:lineRule="exact"/>
              <w:jc w:val="center"/>
              <w:rPr>
                <w:rFonts w:cs="宋体"/>
                <w:b/>
                <w:color w:val="000000"/>
                <w:sz w:val="18"/>
                <w:szCs w:val="18"/>
              </w:rPr>
            </w:pPr>
          </w:p>
        </w:tc>
        <w:tc>
          <w:tcPr>
            <w:tcW w:w="487" w:type="pct"/>
            <w:vMerge w:val="continue"/>
            <w:tcBorders>
              <w:top w:val="nil"/>
              <w:left w:val="nil"/>
              <w:bottom w:val="single" w:color="000000" w:sz="4" w:space="0"/>
              <w:right w:val="single" w:color="000000" w:sz="4" w:space="0"/>
            </w:tcBorders>
            <w:tcMar>
              <w:top w:w="15" w:type="dxa"/>
              <w:left w:w="15" w:type="dxa"/>
              <w:right w:w="15" w:type="dxa"/>
            </w:tcMar>
            <w:vAlign w:val="center"/>
          </w:tcPr>
          <w:p>
            <w:pPr>
              <w:spacing w:line="192" w:lineRule="exact"/>
              <w:jc w:val="center"/>
              <w:rPr>
                <w:rFonts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6,649.36</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1,129.57</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51.25</w:t>
            </w: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1,136.79</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12.38</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3,142.64</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28.22</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51.25</w:t>
            </w: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651.43</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18.90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537.61</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119.26</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268.80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63.25</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285.60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113.19</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1.28</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454.97</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58.33</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0.24</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4.80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305.57</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3.98</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36.13</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0.05</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43.24</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2.72</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235.58</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102.42</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13.80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30.06</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208.50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ind w:firstLine="180" w:firstLineChars="100"/>
              <w:textAlignment w:val="center"/>
              <w:rPr>
                <w:rFonts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12.95</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22.46</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1.15</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251.52</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192" w:lineRule="exact"/>
              <w:rPr>
                <w:rFonts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222.25</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192" w:lineRule="exact"/>
              <w:rPr>
                <w:rFonts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192" w:lineRule="exact"/>
              <w:rPr>
                <w:rFonts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192" w:lineRule="exact"/>
              <w:rPr>
                <w:rFonts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192" w:lineRule="exact"/>
              <w:rPr>
                <w:rFonts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spacing w:line="192" w:lineRule="exact"/>
              <w:rPr>
                <w:rFonts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textAlignment w:val="center"/>
              <w:rPr>
                <w:rFonts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rPr>
                <w:rFonts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spacing w:line="192" w:lineRule="exact"/>
              <w:jc w:val="center"/>
              <w:textAlignment w:val="center"/>
              <w:rPr>
                <w:rFonts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noWrap/>
            <w:tcMar>
              <w:top w:w="15" w:type="dxa"/>
              <w:left w:w="15" w:type="dxa"/>
              <w:right w:w="15" w:type="dxa"/>
            </w:tcMar>
            <w:vAlign w:val="bottom"/>
          </w:tcPr>
          <w:p>
            <w:pPr>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6,954.93</w:t>
            </w:r>
            <w:r>
              <w:rPr>
                <w:rFonts w:ascii="Times New Roman" w:hAnsi="Times New Roman"/>
                <w:color w:val="000000"/>
                <w:sz w:val="18"/>
              </w:rPr>
              <w:t xml:space="preserve"> </w:t>
            </w:r>
          </w:p>
        </w:tc>
        <w:tc>
          <w:tcPr>
            <w:tcW w:w="2828" w:type="pct"/>
            <w:gridSpan w:val="5"/>
            <w:tcBorders>
              <w:top w:val="nil"/>
              <w:left w:val="nil"/>
              <w:bottom w:val="single" w:color="000000" w:sz="4" w:space="0"/>
              <w:right w:val="single" w:color="000000" w:sz="4" w:space="0"/>
            </w:tcBorders>
            <w:noWrap/>
            <w:tcMar>
              <w:top w:w="15" w:type="dxa"/>
              <w:left w:w="15" w:type="dxa"/>
              <w:right w:w="15" w:type="dxa"/>
            </w:tcMar>
            <w:vAlign w:val="center"/>
          </w:tcPr>
          <w:p>
            <w:pPr>
              <w:spacing w:line="192" w:lineRule="exact"/>
              <w:jc w:val="center"/>
              <w:textAlignment w:val="center"/>
              <w:rPr>
                <w:rFonts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1,180.82</w:t>
            </w:r>
            <w:r>
              <w:rPr>
                <w:rFonts w:ascii="Times New Roman" w:hAnsi="Times New Roman"/>
                <w:color w:val="000000"/>
                <w:sz w:val="18"/>
              </w:rPr>
              <w:t xml:space="preserve"> </w:t>
            </w:r>
          </w:p>
        </w:tc>
      </w:tr>
    </w:tbl>
    <w:p>
      <w:pPr>
        <w:spacing w:line="280" w:lineRule="exact"/>
        <w:rPr>
          <w:rFonts w:cs="宋体"/>
          <w:sz w:val="20"/>
          <w:szCs w:val="20"/>
        </w:rPr>
      </w:pPr>
      <w:r>
        <w:rPr>
          <w:rFonts w:cs="宋体"/>
          <w:sz w:val="20"/>
          <w:szCs w:val="20"/>
        </w:rPr>
        <w:t>备注：1.本表反映部门本年度一般公共预算财政拨款基本支出明细情况。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387"/>
        <w:gridCol w:w="3527"/>
        <w:gridCol w:w="1701"/>
        <w:gridCol w:w="1701"/>
        <w:gridCol w:w="1701"/>
        <w:gridCol w:w="1701"/>
        <w:gridCol w:w="1765"/>
        <w:gridCol w:w="183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noWrap/>
            <w:tcMar>
              <w:top w:w="15" w:type="dxa"/>
              <w:left w:w="15" w:type="dxa"/>
              <w:right w:w="15" w:type="dxa"/>
            </w:tcMar>
            <w:vAlign w:val="bottom"/>
          </w:tcPr>
          <w:p>
            <w:pPr>
              <w:jc w:val="center"/>
              <w:textAlignment w:val="bottom"/>
              <w:rPr>
                <w:rFonts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noWrap/>
            <w:tcMar>
              <w:top w:w="15" w:type="dxa"/>
              <w:left w:w="15" w:type="dxa"/>
              <w:right w:w="15" w:type="dxa"/>
            </w:tcMar>
            <w:vAlign w:val="bottom"/>
          </w:tcPr>
          <w:p>
            <w:pPr>
              <w:spacing w:line="280" w:lineRule="exact"/>
              <w:rPr>
                <w:rFonts w:cs="宋体"/>
                <w:color w:val="000000"/>
                <w:sz w:val="20"/>
                <w:szCs w:val="20"/>
              </w:rPr>
            </w:pPr>
            <w:r>
              <w:rPr>
                <w:rFonts w:cs="宋体"/>
                <w:sz w:val="20"/>
                <w:szCs w:val="20"/>
              </w:rPr>
              <w:t>部门</w:t>
            </w:r>
            <w:r>
              <w:rPr>
                <w:rFonts w:cs="宋体"/>
                <w:color w:val="000000"/>
                <w:sz w:val="20"/>
                <w:szCs w:val="20"/>
              </w:rPr>
              <w:t>：</w:t>
            </w:r>
            <w:r>
              <w:rPr>
                <w:color w:val="000000"/>
                <w:sz w:val="20"/>
              </w:rPr>
              <w:t>城口县公安局（本级）</w:t>
            </w:r>
          </w:p>
        </w:tc>
        <w:tc>
          <w:tcPr>
            <w:tcW w:w="555"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575"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599" w:type="pct"/>
            <w:tcBorders>
              <w:top w:val="nil"/>
              <w:left w:val="nil"/>
              <w:bottom w:val="nil"/>
              <w:right w:val="nil"/>
            </w:tcBorders>
            <w:noWrap/>
            <w:tcMar>
              <w:top w:w="15" w:type="dxa"/>
              <w:left w:w="15" w:type="dxa"/>
              <w:right w:w="15" w:type="dxa"/>
            </w:tcMar>
            <w:vAlign w:val="bottom"/>
          </w:tcPr>
          <w:p>
            <w:pPr>
              <w:spacing w:line="280" w:lineRule="exact"/>
              <w:jc w:val="right"/>
              <w:textAlignment w:val="bottom"/>
              <w:rPr>
                <w:rFonts w:cs="宋体"/>
                <w:color w:val="000000"/>
                <w:sz w:val="20"/>
                <w:szCs w:val="20"/>
              </w:rPr>
            </w:pPr>
            <w:r>
              <w:rPr>
                <w:rFonts w:cs="宋体"/>
                <w:color w:val="000000"/>
                <w:sz w:val="20"/>
                <w:szCs w:val="20"/>
              </w:rPr>
              <w:t>公开</w:t>
            </w:r>
            <w:r>
              <w:rPr>
                <w:rFonts w:hint="default" w:ascii="Times New Roman" w:hAnsi="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noWrap/>
            <w:tcMar>
              <w:top w:w="15" w:type="dxa"/>
              <w:left w:w="15" w:type="dxa"/>
              <w:right w:w="15" w:type="dxa"/>
            </w:tcMar>
            <w:vAlign w:val="bottom"/>
          </w:tcPr>
          <w:p>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575" w:type="pct"/>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599" w:type="pct"/>
            <w:tcBorders>
              <w:top w:val="nil"/>
              <w:left w:val="nil"/>
              <w:bottom w:val="nil"/>
              <w:right w:val="nil"/>
            </w:tcBorders>
            <w:noWrap/>
            <w:tcMar>
              <w:top w:w="15" w:type="dxa"/>
              <w:left w:w="15" w:type="dxa"/>
              <w:right w:w="15" w:type="dxa"/>
            </w:tcMar>
            <w:vAlign w:val="bottom"/>
          </w:tcPr>
          <w:p>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538" w:hRule="atLeast"/>
        </w:trPr>
        <w:tc>
          <w:tcPr>
            <w:tcW w:w="453"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功能分类科目编码</w:t>
            </w:r>
          </w:p>
        </w:tc>
        <w:tc>
          <w:tcPr>
            <w:tcW w:w="1150"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55" w:type="pct"/>
            <w:vMerge w:val="restart"/>
            <w:tcBorders>
              <w:top w:val="nil"/>
              <w:left w:val="nil"/>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r>
      <w:tr>
        <w:tblPrEx>
          <w:tblCellMar>
            <w:top w:w="0" w:type="dxa"/>
            <w:left w:w="0" w:type="dxa"/>
            <w:bottom w:w="0" w:type="dxa"/>
            <w:right w:w="0" w:type="dxa"/>
          </w:tblCellMar>
        </w:tblPrEx>
        <w:trPr>
          <w:trHeight w:val="538" w:hRule="atLeast"/>
        </w:trPr>
        <w:tc>
          <w:tcPr>
            <w:tcW w:w="453"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150"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55"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55"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75"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r>
      <w:tr>
        <w:tblPrEx>
          <w:tblCellMar>
            <w:top w:w="0" w:type="dxa"/>
            <w:left w:w="0" w:type="dxa"/>
            <w:bottom w:w="0" w:type="dxa"/>
            <w:right w:w="0" w:type="dxa"/>
          </w:tblCellMar>
        </w:tblPrEx>
        <w:trPr>
          <w:trHeight w:val="645" w:hRule="atLeast"/>
        </w:trPr>
        <w:tc>
          <w:tcPr>
            <w:tcW w:w="453"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150"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55"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55"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75"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575"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599"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349" w:hRule="atLeast"/>
        </w:trPr>
        <w:tc>
          <w:tcPr>
            <w:tcW w:w="45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both"/>
              <w:textAlignment w:val="center"/>
              <w:rPr>
                <w:rFonts w:cs="宋体"/>
                <w:color w:val="000000"/>
                <w:sz w:val="20"/>
                <w:szCs w:val="20"/>
              </w:rPr>
            </w:pPr>
          </w:p>
        </w:tc>
        <w:tc>
          <w:tcPr>
            <w:tcW w:w="1150" w:type="pct"/>
            <w:tcBorders>
              <w:top w:val="nil"/>
              <w:left w:val="nil"/>
              <w:bottom w:val="single" w:color="000000" w:sz="4" w:space="0"/>
              <w:right w:val="single" w:color="000000" w:sz="4" w:space="0"/>
            </w:tcBorders>
            <w:noWrap/>
            <w:tcMar>
              <w:top w:w="15" w:type="dxa"/>
              <w:left w:w="15" w:type="dxa"/>
              <w:right w:w="15" w:type="dxa"/>
            </w:tcMar>
            <w:vAlign w:val="center"/>
          </w:tcPr>
          <w:p>
            <w:pPr>
              <w:jc w:val="both"/>
              <w:textAlignment w:val="center"/>
              <w:rPr>
                <w:rFonts w:cs="宋体"/>
                <w:color w:val="000000"/>
                <w:sz w:val="20"/>
                <w:szCs w:val="20"/>
              </w:rPr>
            </w:pPr>
          </w:p>
        </w:tc>
        <w:tc>
          <w:tcPr>
            <w:tcW w:w="555"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75"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99" w:type="pct"/>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bl>
    <w:p>
      <w:pPr>
        <w:rPr>
          <w:rFonts w:cs="宋体"/>
          <w:sz w:val="21"/>
          <w:szCs w:val="21"/>
        </w:rPr>
      </w:pPr>
      <w:r>
        <w:rPr>
          <w:rFonts w:cs="宋体"/>
          <w:sz w:val="20"/>
          <w:szCs w:val="20"/>
        </w:rPr>
        <w:t>备注：本表反映部门本年度政府性基金预算财政拨款收入支出及结转和结余情况。本部门无政府性基金收支，故本表无数据。</w:t>
      </w:r>
      <w:r>
        <w:rPr>
          <w:rFonts w:cs="宋体"/>
          <w:sz w:val="20"/>
          <w:szCs w:val="20"/>
        </w:rPr>
        <w:br w:type="textWrapping"/>
      </w:r>
      <w:r>
        <w:rPr>
          <w:rFonts w:cs="宋体"/>
          <w:sz w:val="20"/>
          <w:szCs w:val="20"/>
        </w:rPr>
        <w:br w:type="textWrapping"/>
      </w:r>
    </w:p>
    <w:p>
      <w:pPr>
        <w:rPr>
          <w:rFonts w:cs="宋体"/>
          <w:sz w:val="21"/>
          <w:szCs w:val="21"/>
        </w:rPr>
      </w:pPr>
      <w:r>
        <w:rPr>
          <w:rFonts w:cs="宋体"/>
          <w:sz w:val="21"/>
          <w:szCs w:val="21"/>
        </w:rPr>
        <w:br w:type="page"/>
      </w:r>
    </w:p>
    <w:tbl>
      <w:tblPr>
        <w:tblStyle w:val="7"/>
        <w:tblW w:w="5000" w:type="pct"/>
        <w:tblInd w:w="0" w:type="dxa"/>
        <w:tblLayout w:type="fixed"/>
        <w:tblCellMar>
          <w:top w:w="0" w:type="dxa"/>
          <w:left w:w="0" w:type="dxa"/>
          <w:bottom w:w="0" w:type="dxa"/>
          <w:right w:w="0" w:type="dxa"/>
        </w:tblCellMar>
      </w:tblPr>
      <w:tblGrid>
        <w:gridCol w:w="1305"/>
        <w:gridCol w:w="3604"/>
        <w:gridCol w:w="3273"/>
        <w:gridCol w:w="190"/>
        <w:gridCol w:w="3463"/>
        <w:gridCol w:w="86"/>
        <w:gridCol w:w="3401"/>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noWrap/>
            <w:tcMar>
              <w:top w:w="15" w:type="dxa"/>
              <w:left w:w="15" w:type="dxa"/>
              <w:right w:w="15" w:type="dxa"/>
            </w:tcMar>
            <w:vAlign w:val="bottom"/>
          </w:tcPr>
          <w:p>
            <w:pPr>
              <w:jc w:val="center"/>
              <w:textAlignment w:val="bottom"/>
              <w:rPr>
                <w:rFonts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noWrap/>
            <w:tcMar>
              <w:top w:w="15" w:type="dxa"/>
              <w:left w:w="15" w:type="dxa"/>
              <w:right w:w="15" w:type="dxa"/>
            </w:tcMar>
            <w:vAlign w:val="bottom"/>
          </w:tcPr>
          <w:p>
            <w:pPr>
              <w:spacing w:line="280" w:lineRule="exact"/>
              <w:rPr>
                <w:rFonts w:cs="宋体"/>
                <w:color w:val="000000"/>
                <w:sz w:val="20"/>
                <w:szCs w:val="20"/>
              </w:rPr>
            </w:pPr>
            <w:r>
              <w:rPr>
                <w:rFonts w:cs="宋体"/>
                <w:sz w:val="20"/>
                <w:szCs w:val="20"/>
              </w:rPr>
              <w:t>部门</w:t>
            </w:r>
            <w:r>
              <w:rPr>
                <w:rFonts w:cs="宋体"/>
                <w:color w:val="000000"/>
                <w:sz w:val="20"/>
                <w:szCs w:val="20"/>
              </w:rPr>
              <w:t>：</w:t>
            </w:r>
            <w:r>
              <w:rPr>
                <w:color w:val="000000"/>
                <w:sz w:val="20"/>
              </w:rPr>
              <w:t>城口县公安局（本级）</w:t>
            </w:r>
          </w:p>
        </w:tc>
        <w:tc>
          <w:tcPr>
            <w:tcW w:w="1220" w:type="pct"/>
            <w:gridSpan w:val="3"/>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1109" w:type="pct"/>
            <w:tcBorders>
              <w:top w:val="nil"/>
              <w:left w:val="nil"/>
              <w:bottom w:val="nil"/>
              <w:right w:val="nil"/>
            </w:tcBorders>
            <w:noWrap/>
            <w:tcMar>
              <w:top w:w="15" w:type="dxa"/>
              <w:left w:w="15" w:type="dxa"/>
              <w:right w:w="15" w:type="dxa"/>
            </w:tcMar>
            <w:vAlign w:val="bottom"/>
          </w:tcPr>
          <w:p>
            <w:pPr>
              <w:spacing w:line="280" w:lineRule="exact"/>
              <w:jc w:val="right"/>
              <w:textAlignment w:val="bottom"/>
              <w:rPr>
                <w:rFonts w:cs="宋体"/>
                <w:color w:val="000000"/>
                <w:sz w:val="20"/>
                <w:szCs w:val="20"/>
              </w:rPr>
            </w:pPr>
            <w:r>
              <w:rPr>
                <w:rFonts w:cs="宋体"/>
                <w:color w:val="000000"/>
                <w:sz w:val="20"/>
                <w:szCs w:val="20"/>
              </w:rPr>
              <w:t>公开</w:t>
            </w:r>
            <w:r>
              <w:rPr>
                <w:rFonts w:hint="default" w:ascii="Times New Roman" w:hAnsi="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noWrap/>
            <w:tcMar>
              <w:top w:w="15" w:type="dxa"/>
              <w:left w:w="15" w:type="dxa"/>
              <w:right w:w="15" w:type="dxa"/>
            </w:tcMar>
            <w:vAlign w:val="bottom"/>
          </w:tcPr>
          <w:p>
            <w:pPr>
              <w:rPr>
                <w:rFonts w:cs="宋体"/>
                <w:color w:val="000000"/>
                <w:sz w:val="20"/>
                <w:szCs w:val="20"/>
              </w:rPr>
            </w:pPr>
          </w:p>
        </w:tc>
        <w:tc>
          <w:tcPr>
            <w:tcW w:w="1220" w:type="pct"/>
            <w:gridSpan w:val="3"/>
            <w:tcBorders>
              <w:top w:val="nil"/>
              <w:left w:val="nil"/>
              <w:bottom w:val="nil"/>
              <w:right w:val="nil"/>
            </w:tcBorders>
            <w:noWrap/>
            <w:tcMar>
              <w:top w:w="15" w:type="dxa"/>
              <w:left w:w="15" w:type="dxa"/>
              <w:right w:w="15" w:type="dxa"/>
            </w:tcMar>
            <w:vAlign w:val="bottom"/>
          </w:tcPr>
          <w:p>
            <w:pPr>
              <w:rPr>
                <w:rFonts w:cs="宋体"/>
                <w:color w:val="000000"/>
                <w:sz w:val="20"/>
                <w:szCs w:val="20"/>
              </w:rPr>
            </w:pPr>
          </w:p>
        </w:tc>
        <w:tc>
          <w:tcPr>
            <w:tcW w:w="1109" w:type="pct"/>
            <w:tcBorders>
              <w:top w:val="nil"/>
              <w:left w:val="nil"/>
              <w:bottom w:val="nil"/>
              <w:right w:val="nil"/>
            </w:tcBorders>
            <w:noWrap/>
            <w:tcMar>
              <w:top w:w="15" w:type="dxa"/>
              <w:left w:w="15" w:type="dxa"/>
              <w:right w:w="15" w:type="dxa"/>
            </w:tcMar>
            <w:vAlign w:val="bottom"/>
          </w:tcPr>
          <w:p>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jc w:val="center"/>
              <w:textAlignment w:val="bottom"/>
              <w:rPr>
                <w:rFonts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jc w:val="center"/>
              <w:textAlignment w:val="bottom"/>
              <w:rPr>
                <w:rFonts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538" w:hRule="atLeast"/>
        </w:trPr>
        <w:tc>
          <w:tcPr>
            <w:tcW w:w="426" w:type="pct"/>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功能分类科目编码</w:t>
            </w:r>
          </w:p>
        </w:tc>
        <w:tc>
          <w:tcPr>
            <w:tcW w:w="1176" w:type="pct"/>
            <w:vMerge w:val="restart"/>
            <w:tcBorders>
              <w:top w:val="nil"/>
              <w:left w:val="nil"/>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538" w:hRule="atLeast"/>
        </w:trPr>
        <w:tc>
          <w:tcPr>
            <w:tcW w:w="426"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176"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130"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r>
      <w:tr>
        <w:tblPrEx>
          <w:tblCellMar>
            <w:top w:w="0" w:type="dxa"/>
            <w:left w:w="0" w:type="dxa"/>
            <w:bottom w:w="0" w:type="dxa"/>
            <w:right w:w="0" w:type="dxa"/>
          </w:tblCellMar>
        </w:tblPrEx>
        <w:trPr>
          <w:trHeight w:val="538" w:hRule="atLeast"/>
        </w:trPr>
        <w:tc>
          <w:tcPr>
            <w:tcW w:w="426"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176"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130"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r>
      <w:tr>
        <w:tblPrEx>
          <w:tblCellMar>
            <w:top w:w="0" w:type="dxa"/>
            <w:left w:w="0" w:type="dxa"/>
            <w:bottom w:w="0" w:type="dxa"/>
            <w:right w:w="0" w:type="dxa"/>
          </w:tblCellMar>
        </w:tblPrEx>
        <w:trPr>
          <w:trHeight w:val="538" w:hRule="atLeast"/>
        </w:trPr>
        <w:tc>
          <w:tcPr>
            <w:tcW w:w="426"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176"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130" w:type="pct"/>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tcMar>
              <w:top w:w="15" w:type="dxa"/>
              <w:left w:w="15" w:type="dxa"/>
              <w:right w:w="15" w:type="dxa"/>
            </w:tcMar>
            <w:vAlign w:val="center"/>
          </w:tcPr>
          <w:p>
            <w:pPr>
              <w:jc w:val="center"/>
              <w:rPr>
                <w:rFonts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1130" w:type="pct"/>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r>
      <w:tr>
        <w:tblPrEx>
          <w:tblCellMar>
            <w:top w:w="0" w:type="dxa"/>
            <w:left w:w="0" w:type="dxa"/>
            <w:bottom w:w="0" w:type="dxa"/>
            <w:right w:w="0" w:type="dxa"/>
          </w:tblCellMar>
        </w:tblPrEx>
        <w:trPr>
          <w:trHeight w:val="48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p>
        </w:tc>
        <w:tc>
          <w:tcPr>
            <w:tcW w:w="1176" w:type="pct"/>
            <w:tcBorders>
              <w:top w:val="nil"/>
              <w:left w:val="nil"/>
              <w:bottom w:val="single" w:color="000000" w:sz="4" w:space="0"/>
              <w:right w:val="single" w:color="000000" w:sz="4" w:space="0"/>
            </w:tcBorders>
            <w:noWrap/>
            <w:tcMar>
              <w:top w:w="15" w:type="dxa"/>
              <w:left w:w="15" w:type="dxa"/>
              <w:right w:w="15" w:type="dxa"/>
            </w:tcMar>
            <w:vAlign w:val="center"/>
          </w:tcPr>
          <w:p>
            <w:pPr>
              <w:textAlignment w:val="center"/>
              <w:rPr>
                <w:rFonts w:cs="宋体"/>
                <w:color w:val="000000"/>
                <w:sz w:val="20"/>
                <w:szCs w:val="20"/>
              </w:rPr>
            </w:pPr>
          </w:p>
        </w:tc>
        <w:tc>
          <w:tcPr>
            <w:tcW w:w="1130" w:type="pct"/>
            <w:gridSpan w:val="2"/>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pPr>
        <w:rPr>
          <w:rFonts w:cs="宋体"/>
          <w:sz w:val="21"/>
          <w:szCs w:val="21"/>
        </w:rPr>
      </w:pPr>
      <w:r>
        <w:rPr>
          <w:rFonts w:cs="宋体"/>
          <w:sz w:val="20"/>
          <w:szCs w:val="20"/>
        </w:rPr>
        <w:t>备注：本表反映部门本年度国有资本经营预算财政拨款支出情况。本部门无国有资本经营收支，故本表无数据。</w:t>
      </w:r>
      <w:r>
        <w:rPr>
          <w:rFonts w:cs="宋体"/>
          <w:sz w:val="20"/>
          <w:szCs w:val="20"/>
        </w:rPr>
        <w:br w:type="textWrapping"/>
      </w:r>
      <w:r>
        <w:rPr>
          <w:rFonts w:cs="宋体"/>
          <w:sz w:val="20"/>
          <w:szCs w:val="20"/>
        </w:rPr>
        <w:br w:type="textWrapping"/>
      </w:r>
    </w:p>
    <w:p>
      <w:pPr>
        <w:rPr>
          <w:rFonts w:cs="宋体"/>
          <w:sz w:val="21"/>
          <w:szCs w:val="21"/>
        </w:rPr>
      </w:pPr>
      <w:r>
        <w:rPr>
          <w:rFonts w:hint="default" w:cs="宋体"/>
          <w:sz w:val="21"/>
          <w:szCs w:val="21"/>
        </w:rPr>
        <w:br w:type="page"/>
      </w:r>
    </w:p>
    <w:tbl>
      <w:tblPr>
        <w:tblStyle w:val="7"/>
        <w:tblW w:w="4611" w:type="pct"/>
        <w:tblInd w:w="0" w:type="dxa"/>
        <w:tblLayout w:type="autofit"/>
        <w:tblCellMar>
          <w:top w:w="0" w:type="dxa"/>
          <w:left w:w="170" w:type="dxa"/>
          <w:bottom w:w="0" w:type="dxa"/>
          <w:right w:w="170" w:type="dxa"/>
        </w:tblCellMar>
      </w:tblPr>
      <w:tblGrid>
        <w:gridCol w:w="3162"/>
        <w:gridCol w:w="2402"/>
        <w:gridCol w:w="2360"/>
        <w:gridCol w:w="3726"/>
        <w:gridCol w:w="2480"/>
      </w:tblGrid>
      <w:tr>
        <w:tblPrEx>
          <w:tblCellMar>
            <w:top w:w="0" w:type="dxa"/>
            <w:left w:w="170" w:type="dxa"/>
            <w:bottom w:w="0" w:type="dxa"/>
            <w:right w:w="170" w:type="dxa"/>
          </w:tblCellMar>
        </w:tblPrEx>
        <w:trPr>
          <w:trHeight w:val="343" w:hRule="atLeast"/>
        </w:trPr>
        <w:tc>
          <w:tcPr>
            <w:tcW w:w="5000" w:type="pct"/>
            <w:gridSpan w:val="5"/>
            <w:noWrap/>
            <w:tcMar>
              <w:top w:w="15" w:type="dxa"/>
              <w:left w:w="15" w:type="dxa"/>
              <w:right w:w="15" w:type="dxa"/>
            </w:tcMar>
            <w:vAlign w:val="bottom"/>
          </w:tcPr>
          <w:p>
            <w:pPr>
              <w:spacing w:line="400" w:lineRule="exact"/>
              <w:jc w:val="center"/>
              <w:textAlignment w:val="bottom"/>
              <w:rPr>
                <w:rFonts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noWrap/>
            <w:tcMar>
              <w:top w:w="15" w:type="dxa"/>
              <w:left w:w="15" w:type="dxa"/>
              <w:right w:w="15" w:type="dxa"/>
            </w:tcMar>
            <w:vAlign w:val="bottom"/>
          </w:tcPr>
          <w:p>
            <w:pPr>
              <w:spacing w:line="280" w:lineRule="exact"/>
              <w:rPr>
                <w:rFonts w:cs="宋体"/>
                <w:color w:val="000000"/>
                <w:kern w:val="2"/>
                <w:sz w:val="20"/>
                <w:szCs w:val="20"/>
              </w:rPr>
            </w:pPr>
          </w:p>
        </w:tc>
        <w:tc>
          <w:tcPr>
            <w:tcW w:w="854" w:type="pct"/>
            <w:noWrap/>
            <w:tcMar>
              <w:top w:w="15" w:type="dxa"/>
              <w:left w:w="15" w:type="dxa"/>
              <w:right w:w="15" w:type="dxa"/>
            </w:tcMar>
            <w:vAlign w:val="bottom"/>
          </w:tcPr>
          <w:p>
            <w:pPr>
              <w:spacing w:line="280" w:lineRule="exact"/>
              <w:jc w:val="center"/>
              <w:rPr>
                <w:rFonts w:cs="宋体"/>
                <w:color w:val="000000"/>
                <w:kern w:val="2"/>
                <w:sz w:val="20"/>
                <w:szCs w:val="20"/>
              </w:rPr>
            </w:pPr>
          </w:p>
        </w:tc>
        <w:tc>
          <w:tcPr>
            <w:tcW w:w="840" w:type="pct"/>
            <w:noWrap/>
            <w:tcMar>
              <w:top w:w="15" w:type="dxa"/>
              <w:left w:w="15" w:type="dxa"/>
              <w:right w:w="15" w:type="dxa"/>
            </w:tcMar>
            <w:vAlign w:val="bottom"/>
          </w:tcPr>
          <w:p>
            <w:pPr>
              <w:spacing w:line="280" w:lineRule="exact"/>
              <w:jc w:val="right"/>
              <w:rPr>
                <w:rFonts w:cs="宋体"/>
                <w:color w:val="000000"/>
                <w:kern w:val="2"/>
                <w:sz w:val="20"/>
                <w:szCs w:val="20"/>
              </w:rPr>
            </w:pPr>
          </w:p>
        </w:tc>
        <w:tc>
          <w:tcPr>
            <w:tcW w:w="1299" w:type="pct"/>
            <w:noWrap/>
            <w:tcMar>
              <w:top w:w="15" w:type="dxa"/>
              <w:left w:w="15" w:type="dxa"/>
              <w:right w:w="15" w:type="dxa"/>
            </w:tcMar>
            <w:vAlign w:val="bottom"/>
          </w:tcPr>
          <w:p>
            <w:pPr>
              <w:spacing w:line="280" w:lineRule="exact"/>
              <w:rPr>
                <w:rFonts w:cs="宋体"/>
                <w:color w:val="000000"/>
                <w:kern w:val="2"/>
                <w:sz w:val="20"/>
                <w:szCs w:val="20"/>
              </w:rPr>
            </w:pPr>
          </w:p>
        </w:tc>
        <w:tc>
          <w:tcPr>
            <w:tcW w:w="879" w:type="pct"/>
            <w:noWrap/>
            <w:tcMar>
              <w:top w:w="15" w:type="dxa"/>
              <w:left w:w="15" w:type="dxa"/>
              <w:right w:w="15" w:type="dxa"/>
            </w:tcMar>
            <w:vAlign w:val="bottom"/>
          </w:tcPr>
          <w:p>
            <w:pPr>
              <w:spacing w:line="280" w:lineRule="exact"/>
              <w:jc w:val="right"/>
              <w:textAlignment w:val="bottom"/>
              <w:rPr>
                <w:rFonts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noWrap/>
            <w:tcMar>
              <w:top w:w="15" w:type="dxa"/>
              <w:left w:w="15" w:type="dxa"/>
              <w:right w:w="15" w:type="dxa"/>
            </w:tcMar>
            <w:vAlign w:val="bottom"/>
          </w:tcPr>
          <w:p>
            <w:pPr>
              <w:spacing w:line="280" w:lineRule="exact"/>
              <w:rPr>
                <w:rFonts w:cs="宋体"/>
                <w:color w:val="000000"/>
                <w:kern w:val="2"/>
                <w:sz w:val="20"/>
                <w:szCs w:val="20"/>
              </w:rPr>
            </w:pPr>
            <w:r>
              <w:rPr>
                <w:rFonts w:cs="宋体"/>
                <w:sz w:val="20"/>
                <w:szCs w:val="20"/>
              </w:rPr>
              <w:t>部门</w:t>
            </w:r>
            <w:r>
              <w:rPr>
                <w:rFonts w:cs="宋体"/>
                <w:color w:val="000000"/>
                <w:kern w:val="2"/>
                <w:sz w:val="20"/>
                <w:szCs w:val="20"/>
              </w:rPr>
              <w:t>：</w:t>
            </w:r>
            <w:r>
              <w:rPr>
                <w:color w:val="000000"/>
                <w:sz w:val="20"/>
              </w:rPr>
              <w:t>城口县公安局（本级）</w:t>
            </w:r>
          </w:p>
        </w:tc>
        <w:tc>
          <w:tcPr>
            <w:tcW w:w="840" w:type="pct"/>
            <w:tcBorders>
              <w:top w:val="nil"/>
              <w:left w:val="nil"/>
              <w:bottom w:val="single" w:color="auto" w:sz="4" w:space="0"/>
              <w:right w:val="nil"/>
            </w:tcBorders>
            <w:noWrap/>
            <w:tcMar>
              <w:top w:w="15" w:type="dxa"/>
              <w:left w:w="15" w:type="dxa"/>
              <w:right w:w="15" w:type="dxa"/>
            </w:tcMar>
            <w:vAlign w:val="bottom"/>
          </w:tcPr>
          <w:p>
            <w:pPr>
              <w:spacing w:line="280" w:lineRule="exact"/>
              <w:jc w:val="right"/>
              <w:rPr>
                <w:rFonts w:cs="宋体"/>
                <w:color w:val="000000"/>
                <w:kern w:val="2"/>
                <w:sz w:val="20"/>
                <w:szCs w:val="20"/>
              </w:rPr>
            </w:pPr>
          </w:p>
        </w:tc>
        <w:tc>
          <w:tcPr>
            <w:tcW w:w="1299" w:type="pct"/>
            <w:tcBorders>
              <w:top w:val="nil"/>
              <w:left w:val="nil"/>
              <w:bottom w:val="single" w:color="auto" w:sz="4" w:space="0"/>
              <w:right w:val="nil"/>
            </w:tcBorders>
            <w:noWrap/>
            <w:tcMar>
              <w:top w:w="15" w:type="dxa"/>
              <w:left w:w="15" w:type="dxa"/>
              <w:right w:w="15" w:type="dxa"/>
            </w:tcMar>
            <w:vAlign w:val="bottom"/>
          </w:tcPr>
          <w:p>
            <w:pPr>
              <w:spacing w:line="280" w:lineRule="exact"/>
              <w:rPr>
                <w:rFonts w:cs="宋体"/>
                <w:color w:val="000000"/>
                <w:kern w:val="2"/>
                <w:sz w:val="20"/>
                <w:szCs w:val="20"/>
              </w:rPr>
            </w:pPr>
          </w:p>
        </w:tc>
        <w:tc>
          <w:tcPr>
            <w:tcW w:w="879" w:type="pct"/>
            <w:tcBorders>
              <w:top w:val="nil"/>
              <w:left w:val="nil"/>
              <w:bottom w:val="single" w:color="auto" w:sz="4" w:space="0"/>
              <w:right w:val="nil"/>
            </w:tcBorders>
            <w:noWrap/>
            <w:tcMar>
              <w:top w:w="15" w:type="dxa"/>
              <w:left w:w="15" w:type="dxa"/>
              <w:right w:w="15" w:type="dxa"/>
            </w:tcMar>
            <w:vAlign w:val="bottom"/>
          </w:tcPr>
          <w:p>
            <w:pPr>
              <w:spacing w:line="280" w:lineRule="exact"/>
              <w:jc w:val="right"/>
              <w:textAlignment w:val="bottom"/>
              <w:rPr>
                <w:rFonts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1,180.82</w:t>
            </w: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348.33</w:t>
            </w: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348.33</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1,180.82</w:t>
            </w: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306.23</w:t>
            </w: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306.23</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24.98</w:t>
            </w: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24.98</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71</w:t>
            </w: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281.25</w:t>
            </w: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281.25</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42.10</w:t>
            </w: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42.10</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42.10</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w:t>
            </w: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48</w:t>
            </w: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21</w:t>
            </w: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71</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491</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730.63</w:t>
            </w: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477.62</w:t>
            </w: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2,900</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253.01</w:t>
            </w: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595.65</w:t>
            </w: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527.32</w:t>
            </w:r>
            <w:r>
              <w:rPr>
                <w:rFonts w:ascii="Times New Roman" w:hAnsi="Times New Roman"/>
                <w:color w:val="000000"/>
                <w:sz w:val="18"/>
              </w:rPr>
              <w:t xml:space="preserve"> </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3.48</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rPr>
                <w:rFonts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jc w:val="right"/>
              <w:rPr>
                <w:rFonts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97.45</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rPr>
                <w:rFonts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jc w:val="right"/>
              <w:rPr>
                <w:rFonts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textAlignment w:val="center"/>
              <w:rPr>
                <w:rFonts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515.49</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line="280" w:lineRule="exact"/>
              <w:rPr>
                <w:rFonts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pPr>
              <w:spacing w:line="280" w:lineRule="exact"/>
              <w:jc w:val="right"/>
              <w:rPr>
                <w:rFonts w:cs="宋体"/>
                <w:color w:val="000000"/>
                <w:sz w:val="16"/>
                <w:szCs w:val="16"/>
              </w:rPr>
            </w:pPr>
          </w:p>
        </w:tc>
      </w:tr>
    </w:tbl>
    <w:p>
      <w:pPr>
        <w:rPr>
          <w:rFonts w:cs="宋体"/>
          <w:sz w:val="18"/>
          <w:szCs w:val="18"/>
        </w:rPr>
      </w:pPr>
      <w:r>
        <w:rPr>
          <w:rFonts w:cs="宋体"/>
          <w:sz w:val="18"/>
          <w:szCs w:val="18"/>
        </w:rPr>
        <w:t>备注：1.本表反映部门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0.5pt" joinstyle="miter"/>
          <v:imagedata o:title=""/>
          <o:lock v:ext="edit"/>
          <v:textbox inset="0mm,0mm,0mm,0mm" style="mso-fit-shape-to-text:t;">
            <w:txbxContent>
              <w:p>
                <w:pPr>
                  <w:pStyle w:val="3"/>
                </w:pPr>
                <w:r>
                  <w:fldChar w:fldCharType="begin"/>
                </w:r>
                <w:r>
                  <w:instrText xml:space="preserve"> PAGE  \* MERGEFORMAT </w:instrText>
                </w:r>
                <w:r>
                  <w:fldChar w:fldCharType="separate"/>
                </w:r>
                <w:r>
                  <w:rPr>
                    <w:rFonts w:hint="default"/>
                  </w:rPr>
                  <w:t>- 21 -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pPr>
    <w: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o:allowoverlap="f">
          <v:path/>
          <v:fill on="f" focussize="0,0"/>
          <v:stroke on="f" weight="0.5pt" joinstyle="miter"/>
          <v:imagedata o:title=""/>
          <o:lock v:ext="edit"/>
          <v:textbox inset="0mm,0mm,0mm,0mm" style="mso-fit-shape-to-text:t;">
            <w:txbxContent>
              <w:p>
                <w:pPr>
                  <w:pStyle w:val="3"/>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v:textbox>
        </v:shape>
      </w:pict>
    </w:r>
    <w:r>
      <w:pict>
        <v:shape id="_x0000_s1027" o:spid="_x0000_s1027"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v:path/>
          <v:fill on="f" focussize="0,0"/>
          <v:stroke on="f" weight="0.5pt" joinstyle="miter"/>
          <v:imagedata o:title=""/>
          <o:lock v:ext="edit"/>
          <v:textbox inset="0mm,0mm,0mm,0mm">
            <w:txbxContent>
              <w:p>
                <w:pPr>
                  <w:pStyle w:val="3"/>
                  <w:jc w:val="both"/>
                  <w:rPr>
                    <w:rFonts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2607D4"/>
    <w:multiLevelType w:val="singleLevel"/>
    <w:tmpl w:val="D42607D4"/>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40C00"/>
    <w:rsid w:val="000C01CC"/>
    <w:rsid w:val="000D7702"/>
    <w:rsid w:val="000F3CBC"/>
    <w:rsid w:val="000F6721"/>
    <w:rsid w:val="00142D4E"/>
    <w:rsid w:val="001632EC"/>
    <w:rsid w:val="001865EB"/>
    <w:rsid w:val="002567D4"/>
    <w:rsid w:val="00261065"/>
    <w:rsid w:val="002764FB"/>
    <w:rsid w:val="002D0E5A"/>
    <w:rsid w:val="002D71F4"/>
    <w:rsid w:val="002E5443"/>
    <w:rsid w:val="0032196C"/>
    <w:rsid w:val="003416C6"/>
    <w:rsid w:val="003647B1"/>
    <w:rsid w:val="003A2582"/>
    <w:rsid w:val="00416776"/>
    <w:rsid w:val="004270F1"/>
    <w:rsid w:val="004852DA"/>
    <w:rsid w:val="004A760D"/>
    <w:rsid w:val="004C12FF"/>
    <w:rsid w:val="004D0390"/>
    <w:rsid w:val="0051598D"/>
    <w:rsid w:val="00550ABE"/>
    <w:rsid w:val="005B023C"/>
    <w:rsid w:val="005E6ED7"/>
    <w:rsid w:val="00600322"/>
    <w:rsid w:val="00601BD4"/>
    <w:rsid w:val="00607550"/>
    <w:rsid w:val="0061152F"/>
    <w:rsid w:val="006137D7"/>
    <w:rsid w:val="0063278C"/>
    <w:rsid w:val="00634FA8"/>
    <w:rsid w:val="0063613A"/>
    <w:rsid w:val="006711EB"/>
    <w:rsid w:val="00674143"/>
    <w:rsid w:val="0068170B"/>
    <w:rsid w:val="006B70C9"/>
    <w:rsid w:val="006E2034"/>
    <w:rsid w:val="00732392"/>
    <w:rsid w:val="00792285"/>
    <w:rsid w:val="007A0D2E"/>
    <w:rsid w:val="007A3314"/>
    <w:rsid w:val="007B419D"/>
    <w:rsid w:val="007C5C5B"/>
    <w:rsid w:val="00810F13"/>
    <w:rsid w:val="00826B47"/>
    <w:rsid w:val="0087560D"/>
    <w:rsid w:val="00883B1A"/>
    <w:rsid w:val="00893689"/>
    <w:rsid w:val="00940231"/>
    <w:rsid w:val="00944711"/>
    <w:rsid w:val="009574D5"/>
    <w:rsid w:val="009821E3"/>
    <w:rsid w:val="00984852"/>
    <w:rsid w:val="009B37A6"/>
    <w:rsid w:val="009B67B8"/>
    <w:rsid w:val="00A03B1E"/>
    <w:rsid w:val="00A67739"/>
    <w:rsid w:val="00A820B7"/>
    <w:rsid w:val="00A830E1"/>
    <w:rsid w:val="00AA0334"/>
    <w:rsid w:val="00AC5566"/>
    <w:rsid w:val="00B03CCD"/>
    <w:rsid w:val="00B104B0"/>
    <w:rsid w:val="00B40138"/>
    <w:rsid w:val="00B74374"/>
    <w:rsid w:val="00BD0231"/>
    <w:rsid w:val="00BE5012"/>
    <w:rsid w:val="00BF5A85"/>
    <w:rsid w:val="00C12344"/>
    <w:rsid w:val="00C307F6"/>
    <w:rsid w:val="00C47409"/>
    <w:rsid w:val="00C566E8"/>
    <w:rsid w:val="00C57A9B"/>
    <w:rsid w:val="00C96B11"/>
    <w:rsid w:val="00C97747"/>
    <w:rsid w:val="00CB4B47"/>
    <w:rsid w:val="00CC6B99"/>
    <w:rsid w:val="00D47965"/>
    <w:rsid w:val="00DC5D25"/>
    <w:rsid w:val="00DF7706"/>
    <w:rsid w:val="00E05175"/>
    <w:rsid w:val="00E14343"/>
    <w:rsid w:val="00E40EA6"/>
    <w:rsid w:val="00E654E2"/>
    <w:rsid w:val="00E76362"/>
    <w:rsid w:val="00E86B80"/>
    <w:rsid w:val="00F137D3"/>
    <w:rsid w:val="00F13C36"/>
    <w:rsid w:val="00F23C68"/>
    <w:rsid w:val="00F32C53"/>
    <w:rsid w:val="00F72064"/>
    <w:rsid w:val="00F73F90"/>
    <w:rsid w:val="00F7623D"/>
    <w:rsid w:val="00F8598B"/>
    <w:rsid w:val="00FA0819"/>
    <w:rsid w:val="00FB3FAF"/>
    <w:rsid w:val="00FB7EF0"/>
    <w:rsid w:val="00FF3CCD"/>
    <w:rsid w:val="01474EBF"/>
    <w:rsid w:val="01F3521E"/>
    <w:rsid w:val="03077B2E"/>
    <w:rsid w:val="03B87EA0"/>
    <w:rsid w:val="03E3214F"/>
    <w:rsid w:val="044C50BA"/>
    <w:rsid w:val="05BC6D49"/>
    <w:rsid w:val="06194FF1"/>
    <w:rsid w:val="06A2550B"/>
    <w:rsid w:val="06F80EE2"/>
    <w:rsid w:val="07001CCA"/>
    <w:rsid w:val="075678DB"/>
    <w:rsid w:val="079D7CC7"/>
    <w:rsid w:val="08051BCA"/>
    <w:rsid w:val="086C12F4"/>
    <w:rsid w:val="08BA052C"/>
    <w:rsid w:val="08DB07BA"/>
    <w:rsid w:val="0969353F"/>
    <w:rsid w:val="098305D0"/>
    <w:rsid w:val="098A0877"/>
    <w:rsid w:val="0A5C4B69"/>
    <w:rsid w:val="0A86124A"/>
    <w:rsid w:val="0AB54CC0"/>
    <w:rsid w:val="0B9335CE"/>
    <w:rsid w:val="0C7927C4"/>
    <w:rsid w:val="0C9B098C"/>
    <w:rsid w:val="0D673E11"/>
    <w:rsid w:val="0DDA54E4"/>
    <w:rsid w:val="0E084ABF"/>
    <w:rsid w:val="0E3A5F83"/>
    <w:rsid w:val="0E74421A"/>
    <w:rsid w:val="0EA46639"/>
    <w:rsid w:val="0EC6180C"/>
    <w:rsid w:val="0F497FB6"/>
    <w:rsid w:val="0F836721"/>
    <w:rsid w:val="0FA25D96"/>
    <w:rsid w:val="107B59E5"/>
    <w:rsid w:val="10EC0126"/>
    <w:rsid w:val="10F70B9A"/>
    <w:rsid w:val="111445C7"/>
    <w:rsid w:val="114278C6"/>
    <w:rsid w:val="1158083A"/>
    <w:rsid w:val="11643A4B"/>
    <w:rsid w:val="11A218B2"/>
    <w:rsid w:val="11B80171"/>
    <w:rsid w:val="11ED0F98"/>
    <w:rsid w:val="11F03528"/>
    <w:rsid w:val="12C921C4"/>
    <w:rsid w:val="12F52ECF"/>
    <w:rsid w:val="13871C70"/>
    <w:rsid w:val="13A71CB4"/>
    <w:rsid w:val="13AF1D43"/>
    <w:rsid w:val="13CE1647"/>
    <w:rsid w:val="13DA0C25"/>
    <w:rsid w:val="13FD55AB"/>
    <w:rsid w:val="14200702"/>
    <w:rsid w:val="14907817"/>
    <w:rsid w:val="163A6CEE"/>
    <w:rsid w:val="173708E3"/>
    <w:rsid w:val="174C19C7"/>
    <w:rsid w:val="17C374FC"/>
    <w:rsid w:val="189079DC"/>
    <w:rsid w:val="189B0D0B"/>
    <w:rsid w:val="18B43F7C"/>
    <w:rsid w:val="194A1770"/>
    <w:rsid w:val="19B906A4"/>
    <w:rsid w:val="19FB026E"/>
    <w:rsid w:val="1B6F15B6"/>
    <w:rsid w:val="1BAA2EDC"/>
    <w:rsid w:val="1C5C0973"/>
    <w:rsid w:val="1CA55E64"/>
    <w:rsid w:val="1D014A01"/>
    <w:rsid w:val="1D022362"/>
    <w:rsid w:val="1D1B04B0"/>
    <w:rsid w:val="1D6534C4"/>
    <w:rsid w:val="1DBD6767"/>
    <w:rsid w:val="1DC52125"/>
    <w:rsid w:val="1DD26311"/>
    <w:rsid w:val="1E374ACB"/>
    <w:rsid w:val="1E5E27E3"/>
    <w:rsid w:val="1EA33588"/>
    <w:rsid w:val="1EB57761"/>
    <w:rsid w:val="1ECF0A66"/>
    <w:rsid w:val="1EF67CA4"/>
    <w:rsid w:val="1F020D3A"/>
    <w:rsid w:val="1F2C5189"/>
    <w:rsid w:val="1F4B0B02"/>
    <w:rsid w:val="1FBB35CD"/>
    <w:rsid w:val="1FCD26AF"/>
    <w:rsid w:val="20642787"/>
    <w:rsid w:val="20F4064E"/>
    <w:rsid w:val="21556F04"/>
    <w:rsid w:val="22403BD3"/>
    <w:rsid w:val="23DA37D9"/>
    <w:rsid w:val="24B92327"/>
    <w:rsid w:val="24C14514"/>
    <w:rsid w:val="2533755C"/>
    <w:rsid w:val="25791755"/>
    <w:rsid w:val="26396DF4"/>
    <w:rsid w:val="27167136"/>
    <w:rsid w:val="27B23302"/>
    <w:rsid w:val="29310A5F"/>
    <w:rsid w:val="29C37A35"/>
    <w:rsid w:val="2A076083"/>
    <w:rsid w:val="2A73162E"/>
    <w:rsid w:val="2A751F0B"/>
    <w:rsid w:val="2B167953"/>
    <w:rsid w:val="2B200583"/>
    <w:rsid w:val="2B220436"/>
    <w:rsid w:val="2B8209DE"/>
    <w:rsid w:val="2C6762A3"/>
    <w:rsid w:val="2EBF7B3E"/>
    <w:rsid w:val="2EDE1934"/>
    <w:rsid w:val="2FCA4B37"/>
    <w:rsid w:val="2FE029D7"/>
    <w:rsid w:val="2FF06E00"/>
    <w:rsid w:val="30562E26"/>
    <w:rsid w:val="30586FEC"/>
    <w:rsid w:val="30EC7046"/>
    <w:rsid w:val="315F0B22"/>
    <w:rsid w:val="319D022C"/>
    <w:rsid w:val="31C90022"/>
    <w:rsid w:val="31D84415"/>
    <w:rsid w:val="32285F6F"/>
    <w:rsid w:val="32770556"/>
    <w:rsid w:val="329C0913"/>
    <w:rsid w:val="32AA0460"/>
    <w:rsid w:val="3337290D"/>
    <w:rsid w:val="33E31118"/>
    <w:rsid w:val="33EF7674"/>
    <w:rsid w:val="342D7BC6"/>
    <w:rsid w:val="34475F39"/>
    <w:rsid w:val="352930DB"/>
    <w:rsid w:val="35573069"/>
    <w:rsid w:val="355F6038"/>
    <w:rsid w:val="358C217E"/>
    <w:rsid w:val="35937598"/>
    <w:rsid w:val="36C9128A"/>
    <w:rsid w:val="372E3953"/>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EEC37F3"/>
    <w:rsid w:val="3F032E93"/>
    <w:rsid w:val="3F0527E5"/>
    <w:rsid w:val="3F4814B0"/>
    <w:rsid w:val="3F5E5D98"/>
    <w:rsid w:val="3F694D83"/>
    <w:rsid w:val="3F885DCC"/>
    <w:rsid w:val="3FCD675E"/>
    <w:rsid w:val="3FD86860"/>
    <w:rsid w:val="4004000C"/>
    <w:rsid w:val="40D54604"/>
    <w:rsid w:val="411B6CE5"/>
    <w:rsid w:val="412070D7"/>
    <w:rsid w:val="41314E40"/>
    <w:rsid w:val="41E0734B"/>
    <w:rsid w:val="426554D0"/>
    <w:rsid w:val="426C1EA8"/>
    <w:rsid w:val="42736402"/>
    <w:rsid w:val="42E86A87"/>
    <w:rsid w:val="43307B09"/>
    <w:rsid w:val="43470647"/>
    <w:rsid w:val="438D0E97"/>
    <w:rsid w:val="43BB152F"/>
    <w:rsid w:val="44494994"/>
    <w:rsid w:val="44C37687"/>
    <w:rsid w:val="45CB699A"/>
    <w:rsid w:val="465B470D"/>
    <w:rsid w:val="469D6AD4"/>
    <w:rsid w:val="471E6C84"/>
    <w:rsid w:val="4748792B"/>
    <w:rsid w:val="475D719D"/>
    <w:rsid w:val="47674801"/>
    <w:rsid w:val="48225EF7"/>
    <w:rsid w:val="488F422B"/>
    <w:rsid w:val="48E36915"/>
    <w:rsid w:val="495C4A24"/>
    <w:rsid w:val="497135DF"/>
    <w:rsid w:val="4A1605D9"/>
    <w:rsid w:val="4A263DF2"/>
    <w:rsid w:val="4A6F6675"/>
    <w:rsid w:val="4ABF0746"/>
    <w:rsid w:val="4B0502DF"/>
    <w:rsid w:val="4B135857"/>
    <w:rsid w:val="4B7951CB"/>
    <w:rsid w:val="4B7C315C"/>
    <w:rsid w:val="4CCF773C"/>
    <w:rsid w:val="4DAC4ACA"/>
    <w:rsid w:val="4DBE01D2"/>
    <w:rsid w:val="4EC92552"/>
    <w:rsid w:val="4EFC6D10"/>
    <w:rsid w:val="4F0C6BA3"/>
    <w:rsid w:val="4F10477D"/>
    <w:rsid w:val="4F186D58"/>
    <w:rsid w:val="4FEA65B7"/>
    <w:rsid w:val="5042146E"/>
    <w:rsid w:val="50F06B6E"/>
    <w:rsid w:val="52234D33"/>
    <w:rsid w:val="52261ABA"/>
    <w:rsid w:val="522F6E0C"/>
    <w:rsid w:val="52463BA1"/>
    <w:rsid w:val="5298794F"/>
    <w:rsid w:val="52F163D4"/>
    <w:rsid w:val="531A2DB4"/>
    <w:rsid w:val="53C0244D"/>
    <w:rsid w:val="53DD4D4E"/>
    <w:rsid w:val="53E578CE"/>
    <w:rsid w:val="541330F0"/>
    <w:rsid w:val="54272666"/>
    <w:rsid w:val="543B029D"/>
    <w:rsid w:val="544C3364"/>
    <w:rsid w:val="54861779"/>
    <w:rsid w:val="552256E1"/>
    <w:rsid w:val="554E5773"/>
    <w:rsid w:val="555A3CBC"/>
    <w:rsid w:val="5582012B"/>
    <w:rsid w:val="558E4E05"/>
    <w:rsid w:val="55BE2E85"/>
    <w:rsid w:val="55D82B6C"/>
    <w:rsid w:val="561D52C4"/>
    <w:rsid w:val="5651697D"/>
    <w:rsid w:val="56530F5D"/>
    <w:rsid w:val="56692AE5"/>
    <w:rsid w:val="567700D3"/>
    <w:rsid w:val="56FF7E9E"/>
    <w:rsid w:val="578867FC"/>
    <w:rsid w:val="5842572D"/>
    <w:rsid w:val="5A3B59D6"/>
    <w:rsid w:val="5AD134D8"/>
    <w:rsid w:val="5B6503B1"/>
    <w:rsid w:val="5C0F7EC4"/>
    <w:rsid w:val="5C263CE4"/>
    <w:rsid w:val="5C5D2777"/>
    <w:rsid w:val="5CF66BF3"/>
    <w:rsid w:val="5D290C69"/>
    <w:rsid w:val="5F2D4A41"/>
    <w:rsid w:val="60C74F6C"/>
    <w:rsid w:val="61025A59"/>
    <w:rsid w:val="613D5BBC"/>
    <w:rsid w:val="61536C39"/>
    <w:rsid w:val="61E64F4A"/>
    <w:rsid w:val="623E0993"/>
    <w:rsid w:val="62944DD7"/>
    <w:rsid w:val="6319381F"/>
    <w:rsid w:val="63236436"/>
    <w:rsid w:val="63C25DC5"/>
    <w:rsid w:val="63C62057"/>
    <w:rsid w:val="64571EF5"/>
    <w:rsid w:val="64CB0157"/>
    <w:rsid w:val="64FB113D"/>
    <w:rsid w:val="65036946"/>
    <w:rsid w:val="654A25FE"/>
    <w:rsid w:val="656152C6"/>
    <w:rsid w:val="6587477F"/>
    <w:rsid w:val="658C3A08"/>
    <w:rsid w:val="65C031CA"/>
    <w:rsid w:val="65CE6852"/>
    <w:rsid w:val="66267C04"/>
    <w:rsid w:val="663F505A"/>
    <w:rsid w:val="66967186"/>
    <w:rsid w:val="66EE5541"/>
    <w:rsid w:val="67924660"/>
    <w:rsid w:val="683200C2"/>
    <w:rsid w:val="68407834"/>
    <w:rsid w:val="6883293E"/>
    <w:rsid w:val="688412AD"/>
    <w:rsid w:val="68EB1B71"/>
    <w:rsid w:val="69475C96"/>
    <w:rsid w:val="6AAD2300"/>
    <w:rsid w:val="6B474EF5"/>
    <w:rsid w:val="6BBF53FD"/>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4150D5"/>
    <w:rsid w:val="736650B0"/>
    <w:rsid w:val="73934AD2"/>
    <w:rsid w:val="750837F0"/>
    <w:rsid w:val="754758CF"/>
    <w:rsid w:val="761275E6"/>
    <w:rsid w:val="764F62AB"/>
    <w:rsid w:val="765C45EC"/>
    <w:rsid w:val="768A7619"/>
    <w:rsid w:val="76AA36E6"/>
    <w:rsid w:val="772E1EBA"/>
    <w:rsid w:val="77303AE2"/>
    <w:rsid w:val="77EB79F7"/>
    <w:rsid w:val="796D60A4"/>
    <w:rsid w:val="79A031D5"/>
    <w:rsid w:val="7A1525F7"/>
    <w:rsid w:val="7B24540B"/>
    <w:rsid w:val="7B420052"/>
    <w:rsid w:val="7B861484"/>
    <w:rsid w:val="7BD06A28"/>
    <w:rsid w:val="7C3A7C0B"/>
    <w:rsid w:val="7C5248E4"/>
    <w:rsid w:val="7C566698"/>
    <w:rsid w:val="7C5866A3"/>
    <w:rsid w:val="7CBE2F89"/>
    <w:rsid w:val="7D7406BB"/>
    <w:rsid w:val="7DE94331"/>
    <w:rsid w:val="7F446A19"/>
    <w:rsid w:val="7F7452B9"/>
    <w:rsid w:val="7F8401D1"/>
    <w:rsid w:val="7FAC3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spacing w:after="160" w:line="278" w:lineRule="auto"/>
    </w:pPr>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line="278" w:lineRule="auto"/>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spacing w:after="160" w:line="278" w:lineRule="auto"/>
      <w:ind w:firstLine="420" w:firstLineChars="200"/>
    </w:pPr>
    <w:rPr>
      <w:rFonts w:ascii="宋体" w:hAnsi="宋体" w:eastAsia="宋体" w:cs="Times New Roman"/>
      <w:sz w:val="24"/>
      <w:szCs w:val="24"/>
      <w:lang w:val="en-US" w:eastAsia="zh-CN" w:bidi="ar-SA"/>
    </w:rPr>
  </w:style>
  <w:style w:type="character" w:customStyle="1" w:styleId="15">
    <w:name w:val="批注框文本 字符"/>
    <w:basedOn w:val="9"/>
    <w:link w:val="2"/>
    <w:qFormat/>
    <w:uiPriority w:val="0"/>
    <w:rPr>
      <w:rFonts w:ascii="宋体" w:hAnsi="宋体"/>
      <w:sz w:val="18"/>
      <w:szCs w:val="18"/>
    </w:rPr>
  </w:style>
  <w:style w:type="paragraph" w:customStyle="1" w:styleId="16">
    <w:name w:val="列表段落1"/>
    <w:basedOn w:val="1"/>
    <w:qFormat/>
    <w:uiPriority w:val="99"/>
    <w:pPr>
      <w:spacing w:after="0"/>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52DF91-5748-4289-90FD-E5B78AE305DD}">
  <ds:schemaRefs/>
</ds:datastoreItem>
</file>

<file path=docProps/app.xml><?xml version="1.0" encoding="utf-8"?>
<Properties xmlns="http://schemas.openxmlformats.org/officeDocument/2006/extended-properties" xmlns:vt="http://schemas.openxmlformats.org/officeDocument/2006/docPropsVTypes">
  <Template>Normal.dotm</Template>
  <Pages>1</Pages>
  <Words>2568</Words>
  <Characters>14638</Characters>
  <Lines>121</Lines>
  <Paragraphs>34</Paragraphs>
  <TotalTime>121</TotalTime>
  <ScaleCrop>false</ScaleCrop>
  <LinksUpToDate>false</LinksUpToDate>
  <CharactersWithSpaces>17172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2025-06-26T07:40:00Z</dcterms:created>
  <dc:creator>Administrator</dc:creator>
  <cp:lastModifiedBy>Lenovo</cp:lastModifiedBy>
  <dcterms:modified xsi:type="dcterms:W3CDTF">2025-12-05T03:15:48Z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BB46EABDBB2749749395447164B066B3_12</vt:lpwstr>
  </property>
</Properties>
</file>