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D72CC">
      <w:pPr>
        <w:spacing w:line="560" w:lineRule="exact"/>
        <w:jc w:val="center"/>
        <w:rPr>
          <w:rFonts w:eastAsia="方正小标宋_GBK"/>
          <w:color w:val="000000" w:themeColor="text1"/>
          <w:sz w:val="44"/>
          <w:szCs w:val="44"/>
        </w:rPr>
      </w:pPr>
      <w:r>
        <w:rPr>
          <w:rFonts w:ascii="Times New Roman" w:hAnsi="Times New Roman" w:eastAsia="方正小标宋_GBK" w:cs="Times New Roman"/>
          <w:color w:val="000000" w:themeColor="text1"/>
          <w:sz w:val="44"/>
          <w:szCs w:val="44"/>
        </w:rPr>
        <w:t>2020年</w:t>
      </w:r>
      <w:r>
        <w:rPr>
          <w:rFonts w:hint="eastAsia" w:eastAsia="方正小标宋_GBK"/>
          <w:color w:val="000000" w:themeColor="text1"/>
          <w:sz w:val="44"/>
          <w:szCs w:val="44"/>
        </w:rPr>
        <w:t>一季度政府工作报告目标任务完成情况</w:t>
      </w:r>
    </w:p>
    <w:p w14:paraId="28E1F824">
      <w:pPr>
        <w:spacing w:line="560" w:lineRule="exact"/>
        <w:ind w:firstLine="626" w:firstLineChars="200"/>
        <w:jc w:val="center"/>
        <w:rPr>
          <w:rFonts w:eastAsia="方正楷体_GBK"/>
          <w:color w:val="000000" w:themeColor="text1"/>
          <w:w w:val="98"/>
          <w:sz w:val="32"/>
          <w:szCs w:val="32"/>
        </w:rPr>
      </w:pPr>
    </w:p>
    <w:p w14:paraId="621F2B74">
      <w:pPr>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根据《城口县人民政府办公室关于</w:t>
      </w:r>
      <w:r>
        <w:rPr>
          <w:rFonts w:hint="eastAsia" w:ascii="Times New Roman" w:hAnsi="Times New Roman" w:eastAsia="方正仿宋_GBK"/>
          <w:color w:val="000000" w:themeColor="text1"/>
          <w:kern w:val="0"/>
          <w:sz w:val="32"/>
          <w:szCs w:val="32"/>
        </w:rPr>
        <w:t>&lt;</w:t>
      </w:r>
      <w:r>
        <w:rPr>
          <w:rFonts w:hint="eastAsia" w:ascii="Times New Roman" w:eastAsia="方正仿宋_GBK"/>
          <w:color w:val="000000" w:themeColor="text1"/>
          <w:kern w:val="0"/>
          <w:sz w:val="32"/>
          <w:szCs w:val="32"/>
        </w:rPr>
        <w:t>印发</w:t>
      </w:r>
      <w:r>
        <w:rPr>
          <w:rFonts w:hint="eastAsia" w:ascii="Times New Roman" w:hAnsi="Times New Roman" w:eastAsia="方正仿宋_GBK"/>
          <w:color w:val="000000" w:themeColor="text1"/>
          <w:kern w:val="0"/>
          <w:sz w:val="32"/>
          <w:szCs w:val="32"/>
        </w:rPr>
        <w:t xml:space="preserve"> 2020 </w:t>
      </w:r>
      <w:r>
        <w:rPr>
          <w:rFonts w:hint="eastAsia" w:ascii="Times New Roman" w:eastAsia="方正仿宋_GBK"/>
          <w:color w:val="000000" w:themeColor="text1"/>
          <w:kern w:val="0"/>
          <w:sz w:val="32"/>
          <w:szCs w:val="32"/>
        </w:rPr>
        <w:t>年城口县人民政府工作报告目标任务分解表</w:t>
      </w:r>
      <w:r>
        <w:rPr>
          <w:rFonts w:hint="eastAsia" w:ascii="Times New Roman" w:hAnsi="Times New Roman" w:eastAsia="方正仿宋_GBK"/>
          <w:color w:val="000000" w:themeColor="text1"/>
          <w:kern w:val="0"/>
          <w:sz w:val="32"/>
          <w:szCs w:val="32"/>
        </w:rPr>
        <w:t>&gt;</w:t>
      </w:r>
      <w:r>
        <w:rPr>
          <w:rFonts w:hint="eastAsia" w:ascii="Times New Roman" w:eastAsia="方正仿宋_GBK"/>
          <w:color w:val="000000" w:themeColor="text1"/>
          <w:kern w:val="0"/>
          <w:sz w:val="32"/>
          <w:szCs w:val="32"/>
        </w:rPr>
        <w:t>的通知》（城府办发〔</w:t>
      </w:r>
      <w:r>
        <w:rPr>
          <w:rFonts w:hint="eastAsia" w:ascii="Times New Roman" w:hAnsi="Times New Roman" w:eastAsia="方正仿宋_GBK"/>
          <w:color w:val="000000" w:themeColor="text1"/>
          <w:kern w:val="0"/>
          <w:sz w:val="32"/>
          <w:szCs w:val="32"/>
        </w:rPr>
        <w:t>2020</w:t>
      </w:r>
      <w:r>
        <w:rPr>
          <w:rFonts w:hint="eastAsia" w:ascii="Times New Roman" w:eastAsia="方正仿宋_GBK"/>
          <w:color w:val="000000" w:themeColor="text1"/>
          <w:kern w:val="0"/>
          <w:sz w:val="32"/>
          <w:szCs w:val="32"/>
        </w:rPr>
        <w:t>〕</w:t>
      </w:r>
      <w:r>
        <w:rPr>
          <w:rFonts w:hint="eastAsia" w:ascii="Times New Roman" w:hAnsi="Times New Roman" w:eastAsia="方正仿宋_GBK"/>
          <w:color w:val="000000" w:themeColor="text1"/>
          <w:kern w:val="0"/>
          <w:sz w:val="32"/>
          <w:szCs w:val="32"/>
        </w:rPr>
        <w:t>15</w:t>
      </w:r>
      <w:r>
        <w:rPr>
          <w:rFonts w:hint="eastAsia" w:ascii="Times New Roman" w:eastAsia="方正仿宋_GBK"/>
          <w:color w:val="000000" w:themeColor="text1"/>
          <w:kern w:val="0"/>
          <w:sz w:val="32"/>
          <w:szCs w:val="32"/>
        </w:rPr>
        <w:t>号）要求，结合年初工作计划，</w:t>
      </w:r>
      <w:r>
        <w:rPr>
          <w:rFonts w:hint="eastAsia" w:ascii="Times New Roman" w:hAnsi="Times New Roman" w:eastAsia="方正仿宋_GBK"/>
          <w:color w:val="000000" w:themeColor="text1"/>
          <w:kern w:val="0"/>
          <w:sz w:val="32"/>
          <w:szCs w:val="32"/>
        </w:rPr>
        <w:t xml:space="preserve">2020 </w:t>
      </w:r>
      <w:r>
        <w:rPr>
          <w:rFonts w:hint="eastAsia" w:ascii="Times New Roman" w:eastAsia="方正仿宋_GBK"/>
          <w:color w:val="000000" w:themeColor="text1"/>
          <w:kern w:val="0"/>
          <w:sz w:val="32"/>
          <w:szCs w:val="32"/>
        </w:rPr>
        <w:t>年政府工作报告共分解目标任务</w:t>
      </w:r>
      <w:r>
        <w:rPr>
          <w:rFonts w:hint="eastAsia" w:ascii="Times New Roman" w:hAnsi="Times New Roman" w:eastAsia="方正仿宋_GBK"/>
          <w:color w:val="000000" w:themeColor="text1"/>
          <w:kern w:val="0"/>
          <w:sz w:val="32"/>
          <w:szCs w:val="32"/>
        </w:rPr>
        <w:t xml:space="preserve">176 </w:t>
      </w:r>
      <w:r>
        <w:rPr>
          <w:rFonts w:hint="eastAsia" w:ascii="Times New Roman" w:eastAsia="方正仿宋_GBK"/>
          <w:color w:val="000000" w:themeColor="text1"/>
          <w:kern w:val="0"/>
          <w:sz w:val="32"/>
          <w:szCs w:val="32"/>
        </w:rPr>
        <w:t>项，其中主要目标</w:t>
      </w:r>
      <w:r>
        <w:rPr>
          <w:rFonts w:hint="eastAsia" w:ascii="Times New Roman" w:hAnsi="Times New Roman" w:eastAsia="方正仿宋_GBK"/>
          <w:color w:val="000000" w:themeColor="text1"/>
          <w:kern w:val="0"/>
          <w:sz w:val="32"/>
          <w:szCs w:val="32"/>
        </w:rPr>
        <w:t xml:space="preserve"> 8</w:t>
      </w:r>
      <w:r>
        <w:rPr>
          <w:rFonts w:hint="eastAsia" w:ascii="Times New Roman" w:eastAsia="方正仿宋_GBK"/>
          <w:color w:val="000000" w:themeColor="text1"/>
          <w:kern w:val="0"/>
          <w:sz w:val="32"/>
          <w:szCs w:val="32"/>
        </w:rPr>
        <w:t>项，主要工作任务</w:t>
      </w:r>
      <w:r>
        <w:rPr>
          <w:rFonts w:hint="eastAsia" w:ascii="Times New Roman" w:hAnsi="Times New Roman" w:eastAsia="方正仿宋_GBK"/>
          <w:color w:val="000000" w:themeColor="text1"/>
          <w:kern w:val="0"/>
          <w:sz w:val="32"/>
          <w:szCs w:val="32"/>
        </w:rPr>
        <w:t>143</w:t>
      </w:r>
      <w:r>
        <w:rPr>
          <w:rFonts w:hint="eastAsia" w:ascii="Times New Roman" w:eastAsia="方正仿宋_GBK"/>
          <w:color w:val="000000" w:themeColor="text1"/>
          <w:kern w:val="0"/>
          <w:sz w:val="32"/>
          <w:szCs w:val="32"/>
        </w:rPr>
        <w:t>项，政府自身建设</w:t>
      </w:r>
      <w:r>
        <w:rPr>
          <w:rFonts w:hint="eastAsia" w:ascii="Times New Roman" w:hAnsi="Times New Roman" w:eastAsia="方正仿宋_GBK"/>
          <w:color w:val="000000" w:themeColor="text1"/>
          <w:kern w:val="0"/>
          <w:sz w:val="32"/>
          <w:szCs w:val="32"/>
        </w:rPr>
        <w:t xml:space="preserve"> 25</w:t>
      </w:r>
      <w:r>
        <w:rPr>
          <w:rFonts w:hint="eastAsia" w:ascii="Times New Roman" w:eastAsia="方正仿宋_GBK"/>
          <w:color w:val="000000" w:themeColor="text1"/>
          <w:kern w:val="0"/>
          <w:sz w:val="32"/>
          <w:szCs w:val="32"/>
        </w:rPr>
        <w:t>项。</w:t>
      </w:r>
    </w:p>
    <w:p w14:paraId="5DAA5DC8">
      <w:pPr>
        <w:spacing w:line="560" w:lineRule="exact"/>
        <w:ind w:left="640"/>
        <w:rPr>
          <w:rFonts w:ascii="Times New Roman" w:hAnsi="Times New Roman" w:eastAsia="方正黑体_GBK" w:cs="宋体"/>
          <w:color w:val="000000" w:themeColor="text1"/>
          <w:kern w:val="0"/>
          <w:sz w:val="32"/>
          <w:szCs w:val="32"/>
        </w:rPr>
      </w:pPr>
      <w:r>
        <w:rPr>
          <w:rFonts w:hint="eastAsia" w:ascii="Times New Roman" w:eastAsia="方正黑体_GBK" w:cs="宋体"/>
          <w:color w:val="000000" w:themeColor="text1"/>
          <w:kern w:val="0"/>
          <w:sz w:val="32"/>
          <w:szCs w:val="32"/>
        </w:rPr>
        <w:t>一、主要目标完成情况</w:t>
      </w:r>
    </w:p>
    <w:p w14:paraId="7B21E68A">
      <w:pPr>
        <w:spacing w:line="560" w:lineRule="exact"/>
        <w:ind w:firstLine="640" w:firstLineChars="200"/>
        <w:rPr>
          <w:rFonts w:ascii="Times New Roman" w:hAnsi="Times New Roman" w:eastAsia="方正楷体_GBK" w:cs="宋体"/>
          <w:color w:val="000000" w:themeColor="text1"/>
          <w:kern w:val="0"/>
          <w:sz w:val="32"/>
          <w:szCs w:val="32"/>
        </w:rPr>
      </w:pPr>
      <w:r>
        <w:rPr>
          <w:rFonts w:hint="eastAsia" w:ascii="Times New Roman" w:eastAsia="方正楷体_GBK" w:cs="宋体"/>
          <w:color w:val="000000" w:themeColor="text1"/>
          <w:kern w:val="0"/>
          <w:sz w:val="32"/>
          <w:szCs w:val="32"/>
        </w:rPr>
        <w:t>（一）完成较好的有</w:t>
      </w:r>
      <w:r>
        <w:rPr>
          <w:rFonts w:hint="eastAsia" w:ascii="Times New Roman" w:hAnsi="Times New Roman" w:eastAsia="方正楷体_GBK" w:cs="宋体"/>
          <w:color w:val="000000" w:themeColor="text1"/>
          <w:kern w:val="0"/>
          <w:sz w:val="32"/>
          <w:szCs w:val="32"/>
        </w:rPr>
        <w:t>3</w:t>
      </w:r>
      <w:r>
        <w:rPr>
          <w:rFonts w:hint="eastAsia" w:ascii="Times New Roman" w:eastAsia="方正楷体_GBK" w:cs="宋体"/>
          <w:color w:val="000000" w:themeColor="text1"/>
          <w:kern w:val="0"/>
          <w:sz w:val="32"/>
          <w:szCs w:val="32"/>
        </w:rPr>
        <w:t>项。</w:t>
      </w:r>
    </w:p>
    <w:p w14:paraId="1B404FA8">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1</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县人力社保局</w:t>
      </w:r>
      <w:r>
        <w:rPr>
          <w:rFonts w:hint="eastAsia" w:ascii="Times New Roman" w:eastAsia="方正仿宋_GBK"/>
          <w:color w:val="000000" w:themeColor="text1"/>
          <w:kern w:val="0"/>
          <w:sz w:val="32"/>
          <w:szCs w:val="32"/>
        </w:rPr>
        <w:t>牵头的城镇登记失业率控制在</w:t>
      </w:r>
      <w:r>
        <w:rPr>
          <w:rFonts w:hint="eastAsia" w:ascii="Times New Roman" w:hAnsi="Times New Roman" w:eastAsia="方正仿宋_GBK"/>
          <w:color w:val="000000" w:themeColor="text1"/>
          <w:kern w:val="0"/>
          <w:sz w:val="32"/>
          <w:szCs w:val="32"/>
        </w:rPr>
        <w:t>5.5%</w:t>
      </w:r>
      <w:r>
        <w:rPr>
          <w:rFonts w:hint="eastAsia" w:ascii="Times New Roman" w:eastAsia="方正仿宋_GBK"/>
          <w:color w:val="000000" w:themeColor="text1"/>
          <w:kern w:val="0"/>
          <w:sz w:val="32"/>
          <w:szCs w:val="32"/>
        </w:rPr>
        <w:t>以内。</w:t>
      </w:r>
    </w:p>
    <w:p w14:paraId="7EA021B3">
      <w:pPr>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县发展改革委</w:t>
      </w:r>
      <w:r>
        <w:rPr>
          <w:rFonts w:hint="eastAsia" w:ascii="Times New Roman" w:eastAsia="方正仿宋_GBK"/>
          <w:color w:val="000000" w:themeColor="text1"/>
          <w:kern w:val="0"/>
          <w:sz w:val="32"/>
          <w:szCs w:val="32"/>
        </w:rPr>
        <w:t>牵头的单位地区生产总值能耗控制在市上下达的目标之内。</w:t>
      </w:r>
    </w:p>
    <w:p w14:paraId="6DB3737C">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3</w:t>
      </w:r>
      <w:r>
        <w:rPr>
          <w:rFonts w:hint="eastAsia" w:ascii="Times New Roman" w:eastAsia="方正仿宋_GBK"/>
          <w:color w:val="000000" w:themeColor="text1"/>
          <w:kern w:val="0"/>
          <w:sz w:val="32"/>
          <w:szCs w:val="32"/>
        </w:rPr>
        <w:t>、县财政局牵头的一般公共预算收入</w:t>
      </w:r>
      <w:r>
        <w:rPr>
          <w:rFonts w:ascii="Times New Roman" w:hAnsi="Times New Roman" w:eastAsia="方正仿宋_GBK"/>
          <w:color w:val="000000" w:themeColor="text1"/>
          <w:kern w:val="0"/>
          <w:sz w:val="32"/>
          <w:szCs w:val="32"/>
        </w:rPr>
        <w:t>11593</w:t>
      </w:r>
      <w:r>
        <w:rPr>
          <w:rFonts w:hint="eastAsia" w:ascii="Times New Roman" w:eastAsia="方正仿宋_GBK"/>
          <w:color w:val="000000" w:themeColor="text1"/>
          <w:kern w:val="0"/>
          <w:sz w:val="32"/>
          <w:szCs w:val="32"/>
        </w:rPr>
        <w:t>万元，同比增长</w:t>
      </w:r>
      <w:r>
        <w:rPr>
          <w:rFonts w:ascii="Times New Roman" w:hAnsi="Times New Roman" w:eastAsia="方正仿宋_GBK"/>
          <w:color w:val="000000" w:themeColor="text1"/>
          <w:kern w:val="0"/>
          <w:sz w:val="32"/>
          <w:szCs w:val="32"/>
        </w:rPr>
        <w:t>1.68%</w:t>
      </w:r>
      <w:r>
        <w:rPr>
          <w:rFonts w:hint="eastAsia" w:ascii="Times New Roman" w:eastAsia="方正仿宋_GBK"/>
          <w:color w:val="000000" w:themeColor="text1"/>
          <w:kern w:val="0"/>
          <w:sz w:val="32"/>
          <w:szCs w:val="32"/>
        </w:rPr>
        <w:t>。</w:t>
      </w:r>
    </w:p>
    <w:p w14:paraId="45A6528A">
      <w:pPr>
        <w:spacing w:line="560" w:lineRule="exact"/>
        <w:ind w:firstLine="640" w:firstLineChars="200"/>
        <w:rPr>
          <w:rFonts w:ascii="Times New Roman" w:hAnsi="Times New Roman" w:eastAsia="方正楷体_GBK" w:cs="宋体"/>
          <w:color w:val="000000" w:themeColor="text1"/>
          <w:kern w:val="0"/>
          <w:sz w:val="32"/>
          <w:szCs w:val="32"/>
        </w:rPr>
      </w:pPr>
      <w:r>
        <w:rPr>
          <w:rFonts w:hint="eastAsia" w:ascii="Times New Roman" w:hAnsi="Times New Roman" w:eastAsia="方正楷体_GBK" w:cs="宋体"/>
          <w:color w:val="000000" w:themeColor="text1"/>
          <w:kern w:val="0"/>
          <w:sz w:val="32"/>
          <w:szCs w:val="32"/>
        </w:rPr>
        <w:t>（二）受疫情影响，完成较差的有4 项。</w:t>
      </w:r>
    </w:p>
    <w:p w14:paraId="5E8D64D6">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1</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县发展改革委</w:t>
      </w:r>
      <w:r>
        <w:rPr>
          <w:rFonts w:hint="eastAsia" w:ascii="Times New Roman" w:eastAsia="方正仿宋_GBK"/>
          <w:color w:val="000000" w:themeColor="text1"/>
          <w:kern w:val="0"/>
          <w:sz w:val="32"/>
          <w:szCs w:val="32"/>
        </w:rPr>
        <w:t>牵头的地区生产总值实现11.3亿元，同比下降6.6</w:t>
      </w:r>
      <w:r>
        <w:rPr>
          <w:rFonts w:hint="eastAsia" w:ascii="Times New Roman" w:hAnsi="Times New Roman" w:eastAsia="方正仿宋_GBK"/>
          <w:color w:val="000000" w:themeColor="text1"/>
          <w:kern w:val="0"/>
          <w:sz w:val="32"/>
          <w:szCs w:val="32"/>
        </w:rPr>
        <w:t xml:space="preserve"> %</w:t>
      </w:r>
      <w:r>
        <w:rPr>
          <w:rFonts w:hint="eastAsia" w:ascii="Times New Roman" w:eastAsia="方正仿宋_GBK"/>
          <w:color w:val="000000" w:themeColor="text1"/>
          <w:kern w:val="0"/>
          <w:sz w:val="32"/>
          <w:szCs w:val="32"/>
        </w:rPr>
        <w:t>。</w:t>
      </w:r>
    </w:p>
    <w:p w14:paraId="5B71F720">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县发展改革委</w:t>
      </w:r>
      <w:r>
        <w:rPr>
          <w:rFonts w:hint="eastAsia" w:ascii="Times New Roman" w:eastAsia="方正仿宋_GBK"/>
          <w:color w:val="000000" w:themeColor="text1"/>
          <w:kern w:val="0"/>
          <w:sz w:val="32"/>
          <w:szCs w:val="32"/>
        </w:rPr>
        <w:t>牵头的固定资产投资完成3.75亿元，同比下降</w:t>
      </w:r>
      <w:r>
        <w:rPr>
          <w:rFonts w:hint="eastAsia" w:ascii="Times New Roman" w:hAnsi="Times New Roman" w:eastAsia="方正仿宋_GBK"/>
          <w:color w:val="000000" w:themeColor="text1"/>
          <w:kern w:val="0"/>
          <w:sz w:val="32"/>
          <w:szCs w:val="32"/>
        </w:rPr>
        <w:t>6.6%</w:t>
      </w:r>
      <w:r>
        <w:rPr>
          <w:rFonts w:hint="eastAsia" w:ascii="Times New Roman" w:eastAsia="方正仿宋_GBK"/>
          <w:color w:val="000000" w:themeColor="text1"/>
          <w:kern w:val="0"/>
          <w:sz w:val="32"/>
          <w:szCs w:val="32"/>
        </w:rPr>
        <w:t>。</w:t>
      </w:r>
    </w:p>
    <w:p w14:paraId="3AF8AA57">
      <w:pPr>
        <w:autoSpaceDE w:val="0"/>
        <w:autoSpaceDN w:val="0"/>
        <w:adjustRightInd w:val="0"/>
        <w:spacing w:line="560" w:lineRule="exact"/>
        <w:ind w:left="200" w:firstLine="640" w:firstLineChars="200"/>
        <w:jc w:val="left"/>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3</w:t>
      </w:r>
      <w:r>
        <w:rPr>
          <w:rFonts w:hint="eastAsia" w:ascii="Times New Roman" w:eastAsia="方正仿宋_GBK"/>
          <w:color w:val="000000" w:themeColor="text1"/>
          <w:kern w:val="0"/>
          <w:sz w:val="32"/>
          <w:szCs w:val="32"/>
        </w:rPr>
        <w:t>、县商务委牵头的社会消费品零售总额总额</w:t>
      </w:r>
      <w:r>
        <w:rPr>
          <w:rFonts w:ascii="Times New Roman" w:eastAsia="方正仿宋_GBK"/>
          <w:color w:val="000000" w:themeColor="text1"/>
          <w:kern w:val="0"/>
          <w:sz w:val="32"/>
          <w:szCs w:val="32"/>
        </w:rPr>
        <w:t>5.8</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15.1%</w:t>
      </w:r>
      <w:r>
        <w:rPr>
          <w:rFonts w:hint="eastAsia" w:ascii="Times New Roman" w:eastAsia="方正仿宋_GBK"/>
          <w:color w:val="000000" w:themeColor="text1"/>
          <w:kern w:val="0"/>
          <w:sz w:val="32"/>
          <w:szCs w:val="32"/>
        </w:rPr>
        <w:t>。其中，商品销售总额（批发、零售）</w:t>
      </w:r>
      <w:r>
        <w:rPr>
          <w:rFonts w:ascii="Times New Roman" w:eastAsia="方正仿宋_GBK"/>
          <w:color w:val="000000" w:themeColor="text1"/>
          <w:kern w:val="0"/>
          <w:sz w:val="32"/>
          <w:szCs w:val="32"/>
        </w:rPr>
        <w:t>5.63</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7.3%</w:t>
      </w:r>
      <w:r>
        <w:rPr>
          <w:rFonts w:hint="eastAsia" w:ascii="Times New Roman" w:eastAsia="方正仿宋_GBK"/>
          <w:color w:val="000000" w:themeColor="text1"/>
          <w:kern w:val="0"/>
          <w:sz w:val="32"/>
          <w:szCs w:val="32"/>
        </w:rPr>
        <w:t>；社会消费品零售总额</w:t>
      </w:r>
      <w:r>
        <w:rPr>
          <w:rFonts w:ascii="Times New Roman" w:eastAsia="方正仿宋_GBK"/>
          <w:color w:val="000000" w:themeColor="text1"/>
          <w:kern w:val="0"/>
          <w:sz w:val="32"/>
          <w:szCs w:val="32"/>
        </w:rPr>
        <w:t>5.8</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15.1%</w:t>
      </w:r>
      <w:r>
        <w:rPr>
          <w:rFonts w:hint="eastAsia" w:ascii="Times New Roman" w:eastAsia="方正仿宋_GBK"/>
          <w:color w:val="000000" w:themeColor="text1"/>
          <w:kern w:val="0"/>
          <w:sz w:val="32"/>
          <w:szCs w:val="32"/>
        </w:rPr>
        <w:t>；住宿营业额</w:t>
      </w:r>
      <w:r>
        <w:rPr>
          <w:rFonts w:ascii="Times New Roman" w:eastAsia="方正仿宋_GBK"/>
          <w:color w:val="000000" w:themeColor="text1"/>
          <w:kern w:val="0"/>
          <w:sz w:val="32"/>
          <w:szCs w:val="32"/>
        </w:rPr>
        <w:t>0.45</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24.4%</w:t>
      </w:r>
      <w:r>
        <w:rPr>
          <w:rFonts w:hint="eastAsia" w:ascii="Times New Roman" w:eastAsia="方正仿宋_GBK"/>
          <w:color w:val="000000" w:themeColor="text1"/>
          <w:kern w:val="0"/>
          <w:sz w:val="32"/>
          <w:szCs w:val="32"/>
        </w:rPr>
        <w:t>；餐饮营业额</w:t>
      </w:r>
      <w:r>
        <w:rPr>
          <w:rFonts w:ascii="Times New Roman" w:eastAsia="方正仿宋_GBK"/>
          <w:color w:val="000000" w:themeColor="text1"/>
          <w:kern w:val="0"/>
          <w:sz w:val="32"/>
          <w:szCs w:val="32"/>
        </w:rPr>
        <w:t>0.65</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16.6%</w:t>
      </w:r>
      <w:r>
        <w:rPr>
          <w:rFonts w:hint="eastAsia" w:ascii="Times New Roman" w:eastAsia="方正仿宋_GBK"/>
          <w:color w:val="000000" w:themeColor="text1"/>
          <w:kern w:val="0"/>
          <w:sz w:val="32"/>
          <w:szCs w:val="32"/>
        </w:rPr>
        <w:t>。电子商务线上线下销售额</w:t>
      </w:r>
      <w:r>
        <w:rPr>
          <w:rFonts w:ascii="Times New Roman" w:eastAsia="方正仿宋_GBK"/>
          <w:color w:val="000000" w:themeColor="text1"/>
          <w:kern w:val="0"/>
          <w:sz w:val="32"/>
          <w:szCs w:val="32"/>
        </w:rPr>
        <w:t>4295</w:t>
      </w:r>
      <w:r>
        <w:rPr>
          <w:rFonts w:hint="eastAsia" w:ascii="Times New Roman" w:eastAsia="方正仿宋_GBK"/>
          <w:color w:val="000000" w:themeColor="text1"/>
          <w:kern w:val="0"/>
          <w:sz w:val="32"/>
          <w:szCs w:val="32"/>
        </w:rPr>
        <w:t>万元，较去年同期增长</w:t>
      </w:r>
      <w:r>
        <w:rPr>
          <w:rFonts w:ascii="Times New Roman" w:eastAsia="方正仿宋_GBK"/>
          <w:color w:val="000000" w:themeColor="text1"/>
          <w:kern w:val="0"/>
          <w:sz w:val="32"/>
          <w:szCs w:val="32"/>
        </w:rPr>
        <w:t>11.3%</w:t>
      </w:r>
      <w:r>
        <w:rPr>
          <w:rFonts w:hint="eastAsia" w:ascii="Times New Roman" w:eastAsia="方正仿宋_GBK"/>
          <w:color w:val="000000" w:themeColor="text1"/>
          <w:kern w:val="0"/>
          <w:sz w:val="32"/>
          <w:szCs w:val="32"/>
        </w:rPr>
        <w:t>。</w:t>
      </w:r>
    </w:p>
    <w:p w14:paraId="49117237">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4、县经济信息委牵头的规上工业总产值完成1.66亿元，同比下降15.3%。</w:t>
      </w:r>
    </w:p>
    <w:p w14:paraId="6B87DC2E">
      <w:pPr>
        <w:spacing w:line="560" w:lineRule="exact"/>
        <w:ind w:firstLine="640" w:firstLineChars="200"/>
        <w:rPr>
          <w:rFonts w:ascii="Times New Roman" w:hAnsi="Times New Roman" w:eastAsia="方正黑体_GBK" w:cs="宋体"/>
          <w:color w:val="000000" w:themeColor="text1"/>
          <w:kern w:val="0"/>
          <w:sz w:val="32"/>
          <w:szCs w:val="32"/>
        </w:rPr>
      </w:pPr>
      <w:r>
        <w:rPr>
          <w:rFonts w:hint="eastAsia" w:ascii="Times New Roman" w:eastAsia="方正黑体_GBK" w:cs="宋体"/>
          <w:color w:val="000000" w:themeColor="text1"/>
          <w:kern w:val="0"/>
          <w:sz w:val="32"/>
          <w:szCs w:val="32"/>
        </w:rPr>
        <w:t>二、主要工作任务完成较好的情况</w:t>
      </w:r>
    </w:p>
    <w:p w14:paraId="62561530">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1</w:t>
      </w:r>
      <w:r>
        <w:rPr>
          <w:rFonts w:hint="eastAsia" w:ascii="Times New Roman" w:eastAsia="方正仿宋_GBK"/>
          <w:color w:val="000000" w:themeColor="text1"/>
          <w:kern w:val="0"/>
          <w:sz w:val="32"/>
          <w:szCs w:val="32"/>
        </w:rPr>
        <w:t>、县生态环境局牵头的完善</w:t>
      </w:r>
      <w:r>
        <w:rPr>
          <w:rFonts w:ascii="Times New Roman" w:eastAsia="方正仿宋_GBK"/>
          <w:color w:val="000000" w:themeColor="text1"/>
          <w:kern w:val="0"/>
          <w:sz w:val="32"/>
          <w:szCs w:val="32"/>
        </w:rPr>
        <w:t>生态保护、排污许可、环境信息公开等制度及举报体系</w:t>
      </w:r>
      <w:r>
        <w:rPr>
          <w:rFonts w:hint="eastAsia" w:ascii="Times New Roman" w:eastAsia="方正仿宋_GBK"/>
          <w:color w:val="000000" w:themeColor="text1"/>
          <w:kern w:val="0"/>
          <w:sz w:val="32"/>
          <w:szCs w:val="32"/>
        </w:rPr>
        <w:t>，按照固定污染源清理工作实施方案的要求</w:t>
      </w:r>
      <w:r>
        <w:rPr>
          <w:rFonts w:hint="eastAsia" w:ascii="Times New Roman" w:hAnsi="Times New Roman" w:eastAsia="方正仿宋_GBK"/>
          <w:color w:val="000000" w:themeColor="text1"/>
          <w:kern w:val="0"/>
          <w:sz w:val="32"/>
          <w:szCs w:val="32"/>
        </w:rPr>
        <w:t>4</w:t>
      </w:r>
      <w:r>
        <w:rPr>
          <w:rFonts w:hint="eastAsia" w:ascii="Times New Roman" w:eastAsia="方正仿宋_GBK"/>
          <w:color w:val="000000" w:themeColor="text1"/>
          <w:kern w:val="0"/>
          <w:sz w:val="32"/>
          <w:szCs w:val="32"/>
        </w:rPr>
        <w:t>月</w:t>
      </w:r>
      <w:r>
        <w:rPr>
          <w:rFonts w:hint="eastAsia" w:ascii="Times New Roman" w:hAnsi="Times New Roman" w:eastAsia="方正仿宋_GBK"/>
          <w:color w:val="000000" w:themeColor="text1"/>
          <w:kern w:val="0"/>
          <w:sz w:val="32"/>
          <w:szCs w:val="32"/>
        </w:rPr>
        <w:t>25</w:t>
      </w:r>
      <w:r>
        <w:rPr>
          <w:rFonts w:hint="eastAsia" w:ascii="Times New Roman" w:eastAsia="方正仿宋_GBK"/>
          <w:color w:val="000000" w:themeColor="text1"/>
          <w:kern w:val="0"/>
          <w:sz w:val="32"/>
          <w:szCs w:val="32"/>
        </w:rPr>
        <w:t>日前应完成的</w:t>
      </w:r>
      <w:r>
        <w:rPr>
          <w:rFonts w:hint="eastAsia" w:ascii="Times New Roman" w:hAnsi="Times New Roman" w:eastAsia="方正仿宋_GBK"/>
          <w:color w:val="000000" w:themeColor="text1"/>
          <w:kern w:val="0"/>
          <w:sz w:val="32"/>
          <w:szCs w:val="32"/>
        </w:rPr>
        <w:t>33</w:t>
      </w:r>
      <w:r>
        <w:rPr>
          <w:rFonts w:hint="eastAsia" w:ascii="Times New Roman" w:eastAsia="方正仿宋_GBK"/>
          <w:color w:val="000000" w:themeColor="text1"/>
          <w:kern w:val="0"/>
          <w:sz w:val="32"/>
          <w:szCs w:val="32"/>
        </w:rPr>
        <w:t>个行业的</w:t>
      </w:r>
      <w:r>
        <w:rPr>
          <w:rFonts w:hint="eastAsia" w:ascii="Times New Roman" w:hAnsi="Times New Roman" w:eastAsia="方正仿宋_GBK"/>
          <w:color w:val="000000" w:themeColor="text1"/>
          <w:kern w:val="0"/>
          <w:sz w:val="32"/>
          <w:szCs w:val="32"/>
        </w:rPr>
        <w:t>202</w:t>
      </w:r>
      <w:r>
        <w:rPr>
          <w:rFonts w:hint="eastAsia" w:ascii="Times New Roman" w:eastAsia="方正仿宋_GBK"/>
          <w:color w:val="000000" w:themeColor="text1"/>
          <w:kern w:val="0"/>
          <w:sz w:val="32"/>
          <w:szCs w:val="32"/>
        </w:rPr>
        <w:t>个项目，现已全部登记、分类，目标考核任务提前完成。</w:t>
      </w:r>
    </w:p>
    <w:p w14:paraId="43A4E485">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w:t>
      </w:r>
      <w:r>
        <w:rPr>
          <w:rFonts w:hint="eastAsia" w:ascii="Times New Roman" w:eastAsia="方正仿宋_GBK"/>
          <w:color w:val="000000" w:themeColor="text1"/>
          <w:kern w:val="0"/>
          <w:sz w:val="32"/>
          <w:szCs w:val="32"/>
        </w:rPr>
        <w:t>政务服务中心牵头的</w:t>
      </w:r>
      <w:r>
        <w:rPr>
          <w:rFonts w:ascii="Times New Roman" w:eastAsia="方正仿宋_GBK"/>
          <w:color w:val="000000" w:themeColor="text1"/>
          <w:kern w:val="0"/>
          <w:sz w:val="32"/>
          <w:szCs w:val="32"/>
        </w:rPr>
        <w:t>深化</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放管服</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改革</w:t>
      </w:r>
      <w:r>
        <w:rPr>
          <w:rFonts w:hint="eastAsia" w:ascii="Times New Roman" w:eastAsia="方正仿宋_GBK"/>
          <w:color w:val="000000" w:themeColor="text1"/>
          <w:kern w:val="0"/>
          <w:sz w:val="32"/>
          <w:szCs w:val="32"/>
        </w:rPr>
        <w:t>，已完成市政府要求</w:t>
      </w:r>
      <w:r>
        <w:rPr>
          <w:rFonts w:hint="eastAsia" w:ascii="Times New Roman" w:hAnsi="Times New Roman" w:eastAsia="方正仿宋_GBK"/>
          <w:color w:val="000000" w:themeColor="text1"/>
          <w:kern w:val="0"/>
          <w:sz w:val="32"/>
          <w:szCs w:val="32"/>
        </w:rPr>
        <w:t>80%</w:t>
      </w:r>
      <w:r>
        <w:rPr>
          <w:rFonts w:hint="eastAsia" w:ascii="Times New Roman" w:eastAsia="方正仿宋_GBK"/>
          <w:color w:val="000000" w:themeColor="text1"/>
          <w:kern w:val="0"/>
          <w:sz w:val="32"/>
          <w:szCs w:val="32"/>
        </w:rPr>
        <w:t>以上的办理类政务服务事项集中入驻各级中心的要求；已完成行政许可承诺时限较法定时限平均减少</w:t>
      </w:r>
      <w:r>
        <w:rPr>
          <w:rFonts w:hint="eastAsia" w:ascii="Times New Roman" w:hAnsi="Times New Roman" w:eastAsia="方正仿宋_GBK"/>
          <w:color w:val="000000" w:themeColor="text1"/>
          <w:kern w:val="0"/>
          <w:sz w:val="32"/>
          <w:szCs w:val="32"/>
        </w:rPr>
        <w:t>50%</w:t>
      </w:r>
      <w:r>
        <w:rPr>
          <w:rFonts w:hint="eastAsia" w:ascii="Times New Roman" w:eastAsia="方正仿宋_GBK"/>
          <w:color w:val="000000" w:themeColor="text1"/>
          <w:kern w:val="0"/>
          <w:sz w:val="32"/>
          <w:szCs w:val="32"/>
        </w:rPr>
        <w:t>以上的目标，时限压缩率达到</w:t>
      </w:r>
      <w:r>
        <w:rPr>
          <w:rFonts w:hint="eastAsia" w:ascii="Times New Roman" w:hAnsi="Times New Roman" w:eastAsia="方正仿宋_GBK"/>
          <w:color w:val="000000" w:themeColor="text1"/>
          <w:kern w:val="0"/>
          <w:sz w:val="32"/>
          <w:szCs w:val="32"/>
        </w:rPr>
        <w:t>50.3%</w:t>
      </w:r>
      <w:r>
        <w:rPr>
          <w:rFonts w:hint="eastAsia" w:ascii="Times New Roman" w:eastAsia="方正仿宋_GBK"/>
          <w:color w:val="000000" w:themeColor="text1"/>
          <w:kern w:val="0"/>
          <w:sz w:val="32"/>
          <w:szCs w:val="32"/>
        </w:rPr>
        <w:t>，较上年的</w:t>
      </w:r>
      <w:r>
        <w:rPr>
          <w:rFonts w:hint="eastAsia" w:ascii="Times New Roman" w:hAnsi="Times New Roman" w:eastAsia="方正仿宋_GBK"/>
          <w:color w:val="000000" w:themeColor="text1"/>
          <w:kern w:val="0"/>
          <w:sz w:val="32"/>
          <w:szCs w:val="32"/>
        </w:rPr>
        <w:t>35.4%</w:t>
      </w:r>
      <w:r>
        <w:rPr>
          <w:rFonts w:hint="eastAsia" w:ascii="Times New Roman" w:eastAsia="方正仿宋_GBK"/>
          <w:color w:val="000000" w:themeColor="text1"/>
          <w:kern w:val="0"/>
          <w:sz w:val="32"/>
          <w:szCs w:val="32"/>
        </w:rPr>
        <w:t>增长了</w:t>
      </w:r>
      <w:r>
        <w:rPr>
          <w:rFonts w:hint="eastAsia" w:ascii="Times New Roman" w:hAnsi="Times New Roman" w:eastAsia="方正仿宋_GBK"/>
          <w:color w:val="000000" w:themeColor="text1"/>
          <w:kern w:val="0"/>
          <w:sz w:val="32"/>
          <w:szCs w:val="32"/>
        </w:rPr>
        <w:t>14.9</w:t>
      </w:r>
      <w:r>
        <w:rPr>
          <w:rFonts w:hint="eastAsia" w:ascii="Times New Roman" w:eastAsia="方正仿宋_GBK"/>
          <w:color w:val="000000" w:themeColor="text1"/>
          <w:kern w:val="0"/>
          <w:sz w:val="32"/>
          <w:szCs w:val="32"/>
        </w:rPr>
        <w:t>个百分点。</w:t>
      </w:r>
    </w:p>
    <w:p w14:paraId="511FB7DB">
      <w:pPr>
        <w:spacing w:line="560" w:lineRule="exact"/>
        <w:ind w:firstLine="640" w:firstLineChars="200"/>
        <w:jc w:val="left"/>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3</w:t>
      </w:r>
      <w:r>
        <w:rPr>
          <w:rFonts w:hint="eastAsia" w:ascii="Times New Roman" w:eastAsia="方正仿宋_GBK"/>
          <w:color w:val="000000" w:themeColor="text1"/>
          <w:kern w:val="0"/>
          <w:sz w:val="32"/>
          <w:szCs w:val="32"/>
        </w:rPr>
        <w:t>、县人力社保局、县民政局、县医保局、县残联完善覆盖全民的社会保障体系，全县因病、因残、因学等丧失或部分丧失劳动力的家庭共</w:t>
      </w:r>
      <w:r>
        <w:rPr>
          <w:rFonts w:hint="eastAsia" w:ascii="Times New Roman" w:hAnsi="Times New Roman" w:eastAsia="方正仿宋_GBK"/>
          <w:color w:val="000000" w:themeColor="text1"/>
          <w:kern w:val="0"/>
          <w:sz w:val="32"/>
          <w:szCs w:val="32"/>
        </w:rPr>
        <w:t>82</w:t>
      </w:r>
      <w:r>
        <w:rPr>
          <w:rFonts w:hint="eastAsia" w:ascii="Times New Roman" w:eastAsia="方正仿宋_GBK"/>
          <w:color w:val="000000" w:themeColor="text1"/>
          <w:kern w:val="0"/>
          <w:sz w:val="32"/>
          <w:szCs w:val="32"/>
        </w:rPr>
        <w:t>户</w:t>
      </w:r>
      <w:r>
        <w:rPr>
          <w:rFonts w:hint="eastAsia" w:ascii="Times New Roman" w:hAnsi="Times New Roman" w:eastAsia="方正仿宋_GBK"/>
          <w:color w:val="000000" w:themeColor="text1"/>
          <w:kern w:val="0"/>
          <w:sz w:val="32"/>
          <w:szCs w:val="32"/>
        </w:rPr>
        <w:t>220</w:t>
      </w:r>
      <w:r>
        <w:rPr>
          <w:rFonts w:hint="eastAsia" w:ascii="Times New Roman" w:eastAsia="方正仿宋_GBK"/>
          <w:color w:val="000000" w:themeColor="text1"/>
          <w:kern w:val="0"/>
          <w:sz w:val="32"/>
          <w:szCs w:val="32"/>
        </w:rPr>
        <w:t>人获得了最低生活保障；对在册</w:t>
      </w:r>
      <w:r>
        <w:rPr>
          <w:rFonts w:hint="eastAsia" w:ascii="Times New Roman" w:hAnsi="Times New Roman" w:eastAsia="方正仿宋_GBK"/>
          <w:color w:val="000000" w:themeColor="text1"/>
          <w:kern w:val="0"/>
          <w:sz w:val="32"/>
          <w:szCs w:val="32"/>
        </w:rPr>
        <w:t>408</w:t>
      </w:r>
      <w:r>
        <w:rPr>
          <w:rFonts w:hint="eastAsia" w:ascii="Times New Roman" w:eastAsia="方正仿宋_GBK"/>
          <w:color w:val="000000" w:themeColor="text1"/>
          <w:kern w:val="0"/>
          <w:sz w:val="32"/>
          <w:szCs w:val="32"/>
        </w:rPr>
        <w:t>个低保家庭户的补差水平进行了动态调整，确保保障合理。残疾人补助</w:t>
      </w:r>
      <w:r>
        <w:rPr>
          <w:rFonts w:hint="eastAsia" w:ascii="Times New Roman" w:hAnsi="Times New Roman" w:eastAsia="方正仿宋_GBK"/>
          <w:color w:val="000000" w:themeColor="text1"/>
          <w:kern w:val="0"/>
          <w:sz w:val="32"/>
          <w:szCs w:val="32"/>
        </w:rPr>
        <w:t>1.9026</w:t>
      </w:r>
      <w:r>
        <w:rPr>
          <w:rFonts w:hint="eastAsia" w:ascii="Times New Roman" w:eastAsia="方正仿宋_GBK"/>
          <w:color w:val="000000" w:themeColor="text1"/>
          <w:kern w:val="0"/>
          <w:sz w:val="32"/>
          <w:szCs w:val="32"/>
        </w:rPr>
        <w:t>万人次</w:t>
      </w:r>
      <w:r>
        <w:rPr>
          <w:rFonts w:hint="eastAsia" w:ascii="Times New Roman" w:hAnsi="Times New Roman" w:eastAsia="方正仿宋_GBK"/>
          <w:color w:val="000000" w:themeColor="text1"/>
          <w:kern w:val="0"/>
          <w:sz w:val="32"/>
          <w:szCs w:val="32"/>
        </w:rPr>
        <w:t>135.988</w:t>
      </w:r>
      <w:r>
        <w:rPr>
          <w:rFonts w:hint="eastAsia" w:ascii="Times New Roman" w:eastAsia="方正仿宋_GBK"/>
          <w:color w:val="000000" w:themeColor="text1"/>
          <w:kern w:val="0"/>
          <w:sz w:val="32"/>
          <w:szCs w:val="32"/>
        </w:rPr>
        <w:t>万元。</w:t>
      </w:r>
    </w:p>
    <w:p w14:paraId="4B1D8F4E">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4</w:t>
      </w:r>
      <w:r>
        <w:rPr>
          <w:rFonts w:hint="eastAsia" w:ascii="Times New Roman" w:eastAsia="方正仿宋_GBK"/>
          <w:color w:val="000000" w:themeColor="text1"/>
          <w:kern w:val="0"/>
          <w:sz w:val="32"/>
          <w:szCs w:val="32"/>
        </w:rPr>
        <w:t>、县经济信息委牵头的</w:t>
      </w:r>
      <w:r>
        <w:rPr>
          <w:rFonts w:ascii="Times New Roman" w:eastAsia="方正仿宋_GBK"/>
          <w:color w:val="000000" w:themeColor="text1"/>
          <w:kern w:val="0"/>
          <w:sz w:val="32"/>
          <w:szCs w:val="32"/>
        </w:rPr>
        <w:t>军民融合发展</w:t>
      </w:r>
      <w:r>
        <w:rPr>
          <w:rFonts w:hint="eastAsia" w:ascii="Times New Roman" w:eastAsia="方正仿宋_GBK"/>
          <w:color w:val="000000" w:themeColor="text1"/>
          <w:kern w:val="0"/>
          <w:sz w:val="32"/>
          <w:szCs w:val="32"/>
        </w:rPr>
        <w:t>，目前已完成成渝地区协同打造军民融合产业体系的调研报告。</w:t>
      </w:r>
    </w:p>
    <w:p w14:paraId="5D3C0D25">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5</w:t>
      </w:r>
      <w:r>
        <w:rPr>
          <w:rFonts w:hint="eastAsia" w:ascii="Times New Roman" w:eastAsia="方正仿宋_GBK"/>
          <w:color w:val="000000" w:themeColor="text1"/>
          <w:kern w:val="0"/>
          <w:sz w:val="32"/>
          <w:szCs w:val="32"/>
        </w:rPr>
        <w:t>、县委政法委牵头推行的网格化管理服务，全县共划分</w:t>
      </w:r>
      <w:r>
        <w:rPr>
          <w:rFonts w:ascii="Times New Roman" w:hAnsi="Times New Roman" w:eastAsia="方正仿宋_GBK"/>
          <w:color w:val="000000" w:themeColor="text1"/>
          <w:kern w:val="0"/>
          <w:sz w:val="32"/>
          <w:szCs w:val="32"/>
        </w:rPr>
        <w:t>114</w:t>
      </w:r>
      <w:r>
        <w:rPr>
          <w:rFonts w:hint="eastAsia" w:ascii="Times New Roman" w:eastAsia="方正仿宋_GBK"/>
          <w:color w:val="000000" w:themeColor="text1"/>
          <w:kern w:val="0"/>
          <w:sz w:val="32"/>
          <w:szCs w:val="32"/>
        </w:rPr>
        <w:t>个城市社区网格、</w:t>
      </w:r>
      <w:r>
        <w:rPr>
          <w:rFonts w:ascii="Times New Roman" w:hAnsi="Times New Roman" w:eastAsia="方正仿宋_GBK"/>
          <w:color w:val="000000" w:themeColor="text1"/>
          <w:kern w:val="0"/>
          <w:sz w:val="32"/>
          <w:szCs w:val="32"/>
        </w:rPr>
        <w:t>1130</w:t>
      </w:r>
      <w:r>
        <w:rPr>
          <w:rFonts w:hint="eastAsia" w:ascii="Times New Roman" w:eastAsia="方正仿宋_GBK"/>
          <w:color w:val="000000" w:themeColor="text1"/>
          <w:kern w:val="0"/>
          <w:sz w:val="32"/>
          <w:szCs w:val="32"/>
        </w:rPr>
        <w:t>个农村社区网格，全部纳入县级统一管理，为群众提供精准有效的精细化服务。</w:t>
      </w:r>
    </w:p>
    <w:p w14:paraId="37D61B2A">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6</w:t>
      </w:r>
      <w:r>
        <w:rPr>
          <w:rFonts w:hint="eastAsia" w:ascii="Times New Roman" w:eastAsia="方正仿宋_GBK"/>
          <w:color w:val="000000" w:themeColor="text1"/>
          <w:kern w:val="0"/>
          <w:sz w:val="32"/>
          <w:szCs w:val="32"/>
        </w:rPr>
        <w:t>、县生态环境局牵头的开</w:t>
      </w:r>
      <w:r>
        <w:rPr>
          <w:rFonts w:ascii="Times New Roman" w:eastAsia="方正仿宋_GBK"/>
          <w:color w:val="000000" w:themeColor="text1"/>
          <w:kern w:val="0"/>
          <w:sz w:val="32"/>
          <w:szCs w:val="32"/>
        </w:rPr>
        <w:t>展</w:t>
      </w:r>
      <w:r>
        <w:rPr>
          <w:rFonts w:hint="eastAsia" w:ascii="Times New Roman" w:eastAsia="方正仿宋_GBK"/>
          <w:color w:val="000000" w:themeColor="text1"/>
          <w:kern w:val="0"/>
          <w:sz w:val="32"/>
          <w:szCs w:val="32"/>
        </w:rPr>
        <w:t>的</w:t>
      </w:r>
      <w:r>
        <w:rPr>
          <w:rFonts w:ascii="Times New Roman" w:eastAsia="方正仿宋_GBK"/>
          <w:color w:val="000000" w:themeColor="text1"/>
          <w:kern w:val="0"/>
          <w:sz w:val="32"/>
          <w:szCs w:val="32"/>
        </w:rPr>
        <w:t>污水偷排直排乱排专项整治，各类水质达标率保持100%</w:t>
      </w:r>
      <w:r>
        <w:rPr>
          <w:rFonts w:hint="eastAsia" w:ascii="Times New Roman" w:eastAsia="方正仿宋_GBK"/>
          <w:color w:val="000000" w:themeColor="text1"/>
          <w:kern w:val="0"/>
          <w:sz w:val="32"/>
          <w:szCs w:val="32"/>
        </w:rPr>
        <w:t>，已于2019年全面完成，县生态环境局持续巩固现有成果。</w:t>
      </w:r>
    </w:p>
    <w:p w14:paraId="0FFDD2D9">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7、县农业农村委牵头的培养“三品一标一名牌”90个以上，2020年已实现市级以上认定或评选的有效期内农业品牌个数110个以上，现有品牌认证产品175个。</w:t>
      </w:r>
    </w:p>
    <w:p w14:paraId="0C93B06C">
      <w:pPr>
        <w:tabs>
          <w:tab w:val="left" w:pos="4368"/>
        </w:tabs>
        <w:spacing w:line="560" w:lineRule="exact"/>
        <w:ind w:firstLine="640" w:firstLineChars="200"/>
        <w:rPr>
          <w:rFonts w:ascii="Times New Roman" w:eastAsia="方正黑体_GBK" w:cs="宋体"/>
          <w:color w:val="000000" w:themeColor="text1"/>
          <w:kern w:val="0"/>
          <w:sz w:val="32"/>
          <w:szCs w:val="32"/>
        </w:rPr>
      </w:pPr>
      <w:r>
        <w:rPr>
          <w:rFonts w:hint="eastAsia" w:ascii="Times New Roman" w:eastAsia="方正黑体_GBK" w:cs="宋体"/>
          <w:color w:val="000000" w:themeColor="text1"/>
          <w:kern w:val="0"/>
          <w:sz w:val="32"/>
          <w:szCs w:val="32"/>
        </w:rPr>
        <w:t>三、还需加大力度推进的有关工作</w:t>
      </w:r>
    </w:p>
    <w:p w14:paraId="6ED440F2">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1、全面完成打赢打好脱贫攻坚战三年行动目标任务，对照巡视“回头看”反馈城口9个方面的问题，已完成4个问题整改，其余5个问题正在整改落实，尽早整改到位。</w:t>
      </w:r>
    </w:p>
    <w:p w14:paraId="4FB39E86">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加强与水利部、山东临沂、重庆九龙坡、市级帮扶集团、对口帮扶单位协作，</w:t>
      </w:r>
      <w:r>
        <w:rPr>
          <w:rFonts w:hint="eastAsia" w:ascii="Times New Roman" w:eastAsia="方正仿宋_GBK"/>
          <w:color w:val="000000" w:themeColor="text1"/>
          <w:kern w:val="0"/>
          <w:sz w:val="32"/>
          <w:szCs w:val="32"/>
        </w:rPr>
        <w:t>今年以来九龙坡对口帮扶只通过林之汇公司定点采购</w:t>
      </w:r>
      <w:r>
        <w:rPr>
          <w:rFonts w:hint="eastAsia" w:ascii="Times New Roman" w:hAnsi="Times New Roman" w:eastAsia="方正仿宋_GBK"/>
          <w:color w:val="000000" w:themeColor="text1"/>
          <w:kern w:val="0"/>
          <w:sz w:val="32"/>
          <w:szCs w:val="32"/>
        </w:rPr>
        <w:t>280</w:t>
      </w:r>
      <w:r>
        <w:rPr>
          <w:rFonts w:hint="eastAsia" w:ascii="Times New Roman" w:eastAsia="方正仿宋_GBK"/>
          <w:color w:val="000000" w:themeColor="text1"/>
          <w:kern w:val="0"/>
          <w:sz w:val="32"/>
          <w:szCs w:val="32"/>
        </w:rPr>
        <w:t>余万元，其它对口帮扶活动暂未开展。</w:t>
      </w:r>
    </w:p>
    <w:p w14:paraId="4CD4E36C">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3、抓实骨干企业复产复效，积极引导通渝铁合金与临沂市亿利达铁合金有限公司共建10万吨硅锰合金项目落地，督促华夏巨鳄基金公司加快生产线复产。</w:t>
      </w:r>
    </w:p>
    <w:p w14:paraId="30D90FAC">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 xml:space="preserve"> 3、受疫情影响，一季度游客出行急剧减少。接待游客达到32.05万人次，同比减少37.46%，旅游综合收入0.695亿元，同比减少37.39%。县文化旅游委要加强宣传推广，做好疫情结束后的市场重启工作。</w:t>
      </w:r>
    </w:p>
    <w:p w14:paraId="7661A985">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5</w:t>
      </w:r>
      <w:r>
        <w:rPr>
          <w:rFonts w:hint="eastAsia" w:ascii="Times New Roman" w:eastAsia="方正仿宋_GBK"/>
          <w:color w:val="000000" w:themeColor="text1"/>
          <w:kern w:val="0"/>
          <w:sz w:val="32"/>
          <w:szCs w:val="32"/>
        </w:rPr>
        <w:t>、加强</w:t>
      </w:r>
      <w:r>
        <w:rPr>
          <w:rFonts w:ascii="Times New Roman" w:eastAsia="方正仿宋_GBK"/>
          <w:color w:val="000000" w:themeColor="text1"/>
          <w:kern w:val="0"/>
          <w:sz w:val="32"/>
          <w:szCs w:val="32"/>
        </w:rPr>
        <w:t>推进社区居家养老服务全覆盖，</w:t>
      </w:r>
      <w:r>
        <w:rPr>
          <w:rFonts w:hint="eastAsia" w:ascii="Times New Roman" w:eastAsia="方正仿宋_GBK"/>
          <w:color w:val="000000" w:themeColor="text1"/>
          <w:kern w:val="0"/>
          <w:sz w:val="32"/>
          <w:szCs w:val="32"/>
        </w:rPr>
        <w:t>抓紧时间规划建设，探索医养结合的模式；</w:t>
      </w:r>
      <w:r>
        <w:rPr>
          <w:rFonts w:ascii="Times New Roman" w:eastAsia="方正仿宋_GBK"/>
          <w:color w:val="000000" w:themeColor="text1"/>
          <w:kern w:val="0"/>
          <w:sz w:val="32"/>
          <w:szCs w:val="32"/>
        </w:rPr>
        <w:t>养</w:t>
      </w:r>
      <w:r>
        <w:rPr>
          <w:rFonts w:hint="eastAsia" w:ascii="Times New Roman" w:eastAsia="方正仿宋_GBK"/>
          <w:color w:val="000000" w:themeColor="text1"/>
          <w:kern w:val="0"/>
          <w:sz w:val="32"/>
          <w:szCs w:val="32"/>
        </w:rPr>
        <w:t>老院建设完成后，尽快投入使用。</w:t>
      </w:r>
    </w:p>
    <w:p w14:paraId="4F6F90F5">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6</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加快</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雪亮工程</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建设，提高预测预警预防各类风险的能力。加快</w:t>
      </w:r>
      <w:r>
        <w:rPr>
          <w:rFonts w:hint="eastAsia" w:ascii="Times New Roman" w:eastAsia="方正仿宋_GBK"/>
          <w:color w:val="000000" w:themeColor="text1"/>
          <w:kern w:val="0"/>
          <w:sz w:val="32"/>
          <w:szCs w:val="32"/>
        </w:rPr>
        <w:t>实际勘测，力争在</w:t>
      </w:r>
      <w:r>
        <w:rPr>
          <w:rFonts w:hint="eastAsia" w:ascii="Times New Roman" w:hAnsi="Times New Roman" w:eastAsia="方正仿宋_GBK"/>
          <w:color w:val="000000" w:themeColor="text1"/>
          <w:kern w:val="0"/>
          <w:sz w:val="32"/>
          <w:szCs w:val="32"/>
        </w:rPr>
        <w:t>4</w:t>
      </w:r>
      <w:r>
        <w:rPr>
          <w:rFonts w:hint="eastAsia" w:ascii="Times New Roman" w:eastAsia="方正仿宋_GBK"/>
          <w:color w:val="000000" w:themeColor="text1"/>
          <w:kern w:val="0"/>
          <w:sz w:val="32"/>
          <w:szCs w:val="32"/>
        </w:rPr>
        <w:t>月底完成初设及批复、设计图。</w:t>
      </w:r>
    </w:p>
    <w:p w14:paraId="0D8EBF90">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7</w:t>
      </w:r>
      <w:r>
        <w:rPr>
          <w:rFonts w:hint="eastAsia" w:ascii="Times New Roman" w:eastAsia="方正仿宋_GBK"/>
          <w:color w:val="000000" w:themeColor="text1"/>
          <w:kern w:val="0"/>
          <w:sz w:val="32"/>
          <w:szCs w:val="32"/>
        </w:rPr>
        <w:t>、推动建立行政执法联动响应和协作机制，加快推进跨部门、跨领域综合行政执法改革。落实好</w:t>
      </w:r>
      <w:r>
        <w:rPr>
          <w:rFonts w:hint="eastAsia" w:ascii="Times New Roman" w:hAnsi="Times New Roman" w:eastAsia="方正仿宋_GBK"/>
          <w:color w:val="000000" w:themeColor="text1"/>
          <w:kern w:val="0"/>
          <w:sz w:val="32"/>
          <w:szCs w:val="32"/>
          <w:lang w:eastAsia="zh-CN"/>
        </w:rPr>
        <w:t>“双随机、一公开”监管</w:t>
      </w:r>
      <w:r>
        <w:rPr>
          <w:rFonts w:hint="eastAsia" w:ascii="Times New Roman" w:eastAsia="方正仿宋_GBK"/>
          <w:color w:val="000000" w:themeColor="text1"/>
          <w:kern w:val="0"/>
          <w:sz w:val="32"/>
          <w:szCs w:val="32"/>
        </w:rPr>
        <w:t>执法工作。</w:t>
      </w:r>
    </w:p>
    <w:p w14:paraId="1D3BC95A">
      <w:pPr>
        <w:tabs>
          <w:tab w:val="left" w:pos="4368"/>
        </w:tabs>
        <w:spacing w:line="560" w:lineRule="exact"/>
        <w:rPr>
          <w:rFonts w:ascii="Times New Roman" w:hAnsi="Times New Roman" w:eastAsia="楷体_GB2312"/>
          <w:color w:val="000000" w:themeColor="text1"/>
          <w:sz w:val="32"/>
          <w:szCs w:val="32"/>
        </w:rPr>
      </w:pPr>
    </w:p>
    <w:p w14:paraId="30F80C0E">
      <w:pPr>
        <w:tabs>
          <w:tab w:val="left" w:pos="4368"/>
        </w:tabs>
        <w:spacing w:line="560" w:lineRule="exact"/>
        <w:rPr>
          <w:rFonts w:ascii="Times New Roman" w:hAnsi="Times New Roman" w:eastAsia="楷体_GB2312"/>
          <w:color w:val="000000" w:themeColor="text1"/>
          <w:sz w:val="32"/>
          <w:szCs w:val="32"/>
        </w:rPr>
      </w:pPr>
    </w:p>
    <w:p w14:paraId="5B3746D5">
      <w:pPr>
        <w:jc w:val="center"/>
        <w:rPr>
          <w:rFonts w:ascii="Times New Roman" w:eastAsia="方正仿宋_GBK"/>
          <w:color w:val="000000" w:themeColor="text1"/>
          <w:kern w:val="0"/>
          <w:sz w:val="32"/>
          <w:szCs w:val="32"/>
        </w:rPr>
      </w:pPr>
      <w:r>
        <w:rPr>
          <w:rFonts w:hint="eastAsia" w:ascii="方正仿宋_GBK" w:hAnsi="Times New Roman" w:eastAsia="方正仿宋_GBK"/>
          <w:color w:val="000000" w:themeColor="text1"/>
          <w:sz w:val="32"/>
          <w:szCs w:val="32"/>
        </w:rPr>
        <w:t>附件</w:t>
      </w:r>
      <w:r>
        <w:rPr>
          <w:rFonts w:hint="eastAsia" w:ascii="Times New Roman" w:hAnsi="Times New Roman" w:eastAsia="楷体_GB2312"/>
          <w:color w:val="000000" w:themeColor="text1"/>
          <w:sz w:val="32"/>
          <w:szCs w:val="32"/>
        </w:rPr>
        <w:t>：</w:t>
      </w:r>
      <w:r>
        <w:rPr>
          <w:rFonts w:hint="eastAsia" w:ascii="Times New Roman" w:eastAsia="方正仿宋_GBK"/>
          <w:color w:val="000000" w:themeColor="text1"/>
          <w:kern w:val="0"/>
          <w:sz w:val="32"/>
          <w:szCs w:val="32"/>
        </w:rPr>
        <w:t>一季度政府工作报告推进情况统计表</w:t>
      </w:r>
    </w:p>
    <w:p w14:paraId="5BEAD0EC">
      <w:pPr>
        <w:jc w:val="center"/>
        <w:rPr>
          <w:rFonts w:ascii="Times New Roman" w:eastAsia="方正仿宋_GBK"/>
          <w:color w:val="000000" w:themeColor="text1"/>
          <w:kern w:val="0"/>
          <w:sz w:val="32"/>
          <w:szCs w:val="32"/>
        </w:rPr>
      </w:pPr>
    </w:p>
    <w:p w14:paraId="64951B55">
      <w:pPr>
        <w:jc w:val="center"/>
        <w:rPr>
          <w:rFonts w:ascii="Times New Roman" w:hAnsi="Times New Roman"/>
          <w:color w:val="000000" w:themeColor="text1"/>
          <w:sz w:val="24"/>
          <w:szCs w:val="24"/>
        </w:rPr>
      </w:pPr>
    </w:p>
    <w:p w14:paraId="1199A056">
      <w:pPr>
        <w:tabs>
          <w:tab w:val="left" w:pos="4368"/>
        </w:tabs>
        <w:spacing w:line="560" w:lineRule="exact"/>
        <w:ind w:firstLine="5600" w:firstLineChars="175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城口县人民政府办公室</w:t>
      </w:r>
    </w:p>
    <w:p w14:paraId="34EA801D">
      <w:pPr>
        <w:tabs>
          <w:tab w:val="left" w:pos="4368"/>
        </w:tabs>
        <w:spacing w:line="560" w:lineRule="exact"/>
        <w:ind w:firstLine="6240" w:firstLineChars="195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2020年4月20日</w:t>
      </w:r>
    </w:p>
    <w:p w14:paraId="787241C4">
      <w:pPr>
        <w:tabs>
          <w:tab w:val="left" w:pos="4368"/>
        </w:tabs>
        <w:spacing w:line="560" w:lineRule="exact"/>
        <w:rPr>
          <w:rFonts w:ascii="Times New Roman" w:hAnsi="Times New Roman" w:eastAsia="楷体_GB2312"/>
          <w:color w:val="000000" w:themeColor="text1"/>
          <w:sz w:val="32"/>
          <w:szCs w:val="32"/>
        </w:rPr>
      </w:pPr>
    </w:p>
    <w:p w14:paraId="055BEFF2">
      <w:pPr>
        <w:tabs>
          <w:tab w:val="left" w:pos="4368"/>
        </w:tabs>
        <w:spacing w:line="560" w:lineRule="exact"/>
        <w:rPr>
          <w:rFonts w:ascii="Times New Roman" w:hAnsi="Times New Roman" w:eastAsia="楷体_GB2312"/>
          <w:color w:val="000000" w:themeColor="text1"/>
          <w:sz w:val="32"/>
          <w:szCs w:val="32"/>
        </w:rPr>
      </w:pPr>
    </w:p>
    <w:p w14:paraId="70CFC62C">
      <w:pPr>
        <w:tabs>
          <w:tab w:val="left" w:pos="4368"/>
        </w:tabs>
        <w:spacing w:line="560" w:lineRule="exact"/>
        <w:rPr>
          <w:rFonts w:ascii="Times New Roman" w:hAnsi="Times New Roman" w:eastAsia="楷体_GB2312"/>
          <w:color w:val="000000" w:themeColor="text1"/>
          <w:sz w:val="32"/>
          <w:szCs w:val="32"/>
        </w:rPr>
      </w:pPr>
    </w:p>
    <w:p w14:paraId="73F1129A">
      <w:pPr>
        <w:tabs>
          <w:tab w:val="left" w:pos="4368"/>
        </w:tabs>
        <w:spacing w:line="560" w:lineRule="exact"/>
        <w:rPr>
          <w:rFonts w:ascii="Times New Roman" w:hAnsi="Times New Roman" w:eastAsia="楷体_GB2312"/>
          <w:color w:val="000000" w:themeColor="text1"/>
          <w:sz w:val="32"/>
          <w:szCs w:val="32"/>
        </w:rPr>
      </w:pPr>
    </w:p>
    <w:p w14:paraId="22CB91DA">
      <w:pPr>
        <w:jc w:val="center"/>
        <w:rPr>
          <w:rFonts w:ascii="Times New Roman" w:hAnsi="Times New Roman" w:eastAsia="方正小标宋_GBK"/>
          <w:color w:val="000000" w:themeColor="text1"/>
          <w:kern w:val="0"/>
          <w:sz w:val="24"/>
          <w:szCs w:val="24"/>
        </w:rPr>
        <w:sectPr>
          <w:footerReference r:id="rId3" w:type="default"/>
          <w:pgSz w:w="11907" w:h="16839"/>
          <w:pgMar w:top="2098" w:right="1418" w:bottom="1985" w:left="1531" w:header="851" w:footer="992" w:gutter="0"/>
          <w:pgNumType w:fmt="numberInDash"/>
          <w:cols w:space="425" w:num="1"/>
          <w:docGrid w:type="lines" w:linePitch="312" w:charSpace="0"/>
        </w:sectPr>
      </w:pPr>
    </w:p>
    <w:p w14:paraId="1835F90F">
      <w:pPr>
        <w:rPr>
          <w:rFonts w:ascii="方正黑体_GBK" w:hAnsi="Times New Roman" w:eastAsia="方正黑体_GBK"/>
          <w:color w:val="000000" w:themeColor="text1"/>
          <w:kern w:val="0"/>
          <w:sz w:val="30"/>
          <w:szCs w:val="30"/>
        </w:rPr>
      </w:pPr>
      <w:r>
        <w:rPr>
          <w:rFonts w:hint="eastAsia" w:ascii="方正黑体_GBK" w:hAnsi="Times New Roman" w:eastAsia="方正黑体_GBK"/>
          <w:color w:val="000000" w:themeColor="text1"/>
          <w:kern w:val="0"/>
          <w:sz w:val="30"/>
          <w:szCs w:val="30"/>
        </w:rPr>
        <w:t>附件：</w:t>
      </w:r>
    </w:p>
    <w:p w14:paraId="050CC496">
      <w:pPr>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kern w:val="0"/>
          <w:sz w:val="44"/>
          <w:szCs w:val="44"/>
        </w:rPr>
        <w:t>一季度政府工作报告推进情况统计表</w:t>
      </w:r>
    </w:p>
    <w:tbl>
      <w:tblPr>
        <w:tblStyle w:val="9"/>
        <w:tblW w:w="16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50"/>
        <w:gridCol w:w="1134"/>
        <w:gridCol w:w="1559"/>
        <w:gridCol w:w="4111"/>
        <w:gridCol w:w="2576"/>
        <w:gridCol w:w="3827"/>
      </w:tblGrid>
      <w:tr w14:paraId="4B71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6" w:type="dxa"/>
            <w:vAlign w:val="center"/>
          </w:tcPr>
          <w:p w14:paraId="1087B8C9">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工作内容</w:t>
            </w:r>
          </w:p>
        </w:tc>
        <w:tc>
          <w:tcPr>
            <w:tcW w:w="850" w:type="dxa"/>
            <w:vAlign w:val="center"/>
          </w:tcPr>
          <w:p w14:paraId="5777C237">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责任</w:t>
            </w:r>
          </w:p>
          <w:p w14:paraId="73B9D1B5">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领导</w:t>
            </w:r>
          </w:p>
        </w:tc>
        <w:tc>
          <w:tcPr>
            <w:tcW w:w="1134" w:type="dxa"/>
            <w:vAlign w:val="center"/>
          </w:tcPr>
          <w:p w14:paraId="0A2EF2D5">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牵头</w:t>
            </w:r>
          </w:p>
          <w:p w14:paraId="2AD55BAB">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单位</w:t>
            </w:r>
          </w:p>
        </w:tc>
        <w:tc>
          <w:tcPr>
            <w:tcW w:w="1559" w:type="dxa"/>
            <w:vAlign w:val="center"/>
          </w:tcPr>
          <w:p w14:paraId="5B8E69BC">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责任</w:t>
            </w:r>
            <w:r>
              <w:rPr>
                <w:rFonts w:ascii="Times New Roman" w:hAnsi="Times New Roman" w:eastAsia="方正黑体_GBK"/>
                <w:color w:val="000000" w:themeColor="text1"/>
                <w:spacing w:val="-2"/>
                <w:kern w:val="0"/>
                <w:szCs w:val="21"/>
              </w:rPr>
              <w:t>单位</w:t>
            </w:r>
          </w:p>
        </w:tc>
        <w:tc>
          <w:tcPr>
            <w:tcW w:w="4111" w:type="dxa"/>
            <w:vAlign w:val="center"/>
          </w:tcPr>
          <w:p w14:paraId="31A4C932">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一季度推进情况</w:t>
            </w:r>
          </w:p>
        </w:tc>
        <w:tc>
          <w:tcPr>
            <w:tcW w:w="2576" w:type="dxa"/>
            <w:vAlign w:val="center"/>
          </w:tcPr>
          <w:p w14:paraId="361349D2">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存在的问题</w:t>
            </w:r>
          </w:p>
        </w:tc>
        <w:tc>
          <w:tcPr>
            <w:tcW w:w="3827" w:type="dxa"/>
            <w:vAlign w:val="center"/>
          </w:tcPr>
          <w:p w14:paraId="0A8296B5">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下步工作打算</w:t>
            </w:r>
          </w:p>
        </w:tc>
      </w:tr>
      <w:tr w14:paraId="0F88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043" w:type="dxa"/>
            <w:gridSpan w:val="7"/>
            <w:vAlign w:val="center"/>
          </w:tcPr>
          <w:p w14:paraId="311783FA">
            <w:pPr>
              <w:widowControl/>
              <w:spacing w:line="300" w:lineRule="exact"/>
              <w:jc w:val="center"/>
              <w:rPr>
                <w:rFonts w:ascii="Times New Roman" w:hAnsi="Times New Roman" w:eastAsia="方正黑体_GBK"/>
                <w:color w:val="000000" w:themeColor="text1"/>
                <w:spacing w:val="-2"/>
                <w:kern w:val="0"/>
                <w:sz w:val="28"/>
                <w:szCs w:val="28"/>
              </w:rPr>
            </w:pPr>
            <w:r>
              <w:rPr>
                <w:rFonts w:ascii="Times New Roman" w:hAnsi="Times New Roman" w:eastAsia="方正黑体_GBK"/>
                <w:color w:val="000000" w:themeColor="text1"/>
                <w:spacing w:val="-2"/>
                <w:kern w:val="0"/>
                <w:sz w:val="28"/>
                <w:szCs w:val="28"/>
              </w:rPr>
              <w:t>一、20</w:t>
            </w:r>
            <w:r>
              <w:rPr>
                <w:rFonts w:hint="eastAsia" w:ascii="Times New Roman" w:hAnsi="Times New Roman" w:eastAsia="方正黑体_GBK"/>
                <w:color w:val="000000" w:themeColor="text1"/>
                <w:spacing w:val="-2"/>
                <w:kern w:val="0"/>
                <w:sz w:val="28"/>
                <w:szCs w:val="28"/>
              </w:rPr>
              <w:t>20</w:t>
            </w:r>
            <w:r>
              <w:rPr>
                <w:rFonts w:ascii="Times New Roman" w:hAnsi="Times New Roman" w:eastAsia="方正黑体_GBK"/>
                <w:color w:val="000000" w:themeColor="text1"/>
                <w:spacing w:val="-2"/>
                <w:kern w:val="0"/>
                <w:sz w:val="28"/>
                <w:szCs w:val="28"/>
              </w:rPr>
              <w:t>年主要目标</w:t>
            </w:r>
          </w:p>
        </w:tc>
      </w:tr>
      <w:tr w14:paraId="494A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515AA04">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1.地区生产总值增长</w:t>
            </w:r>
            <w:r>
              <w:rPr>
                <w:rFonts w:hint="eastAsia" w:ascii="Times New Roman" w:hAnsi="Times New Roman" w:eastAsia="方正仿宋_GBK"/>
                <w:color w:val="000000" w:themeColor="text1"/>
                <w:spacing w:val="-2"/>
                <w:kern w:val="0"/>
                <w:szCs w:val="21"/>
              </w:rPr>
              <w:t>5</w:t>
            </w:r>
            <w:r>
              <w:rPr>
                <w:rFonts w:ascii="Times New Roman" w:hAnsi="Times New Roman" w:eastAsia="方正仿宋_GBK"/>
                <w:color w:val="000000" w:themeColor="text1"/>
                <w:spacing w:val="-2"/>
                <w:kern w:val="0"/>
                <w:szCs w:val="21"/>
              </w:rPr>
              <w:t>%左右。</w:t>
            </w:r>
          </w:p>
        </w:tc>
        <w:tc>
          <w:tcPr>
            <w:tcW w:w="850" w:type="dxa"/>
            <w:vAlign w:val="center"/>
          </w:tcPr>
          <w:p w14:paraId="58726A3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44736833">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县发展改革委</w:t>
            </w:r>
          </w:p>
        </w:tc>
        <w:tc>
          <w:tcPr>
            <w:tcW w:w="1559" w:type="dxa"/>
            <w:vAlign w:val="center"/>
          </w:tcPr>
          <w:p w14:paraId="3884654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县经济信息委、县财政局、县住房城乡建委、县农业农村委、县商务委等</w:t>
            </w:r>
          </w:p>
        </w:tc>
        <w:tc>
          <w:tcPr>
            <w:tcW w:w="4111" w:type="dxa"/>
            <w:vAlign w:val="center"/>
          </w:tcPr>
          <w:p w14:paraId="4592976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地区生产总值实现11.3亿元，同比下降6.6%。</w:t>
            </w:r>
          </w:p>
          <w:p w14:paraId="54E5B4E5">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3AA721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新冠肺炎疫情出现以来，市场避险、居民居家、要素不足等问题集中呈现，造成经济运行刹车降速。</w:t>
            </w:r>
          </w:p>
        </w:tc>
        <w:tc>
          <w:tcPr>
            <w:tcW w:w="3827" w:type="dxa"/>
            <w:vAlign w:val="center"/>
          </w:tcPr>
          <w:p w14:paraId="7F8CB59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经济运行分析，提供具有精准性、针对性的措施建设。建议各行业部门采取有力措施抓好畜禽农耕生产，稳定一产；推动工业和建筑业复工复产，回升二产；着力刺激消费、调度非营利性服务业，拉动三产，最大程度对冲疫情对全年经济的影响。</w:t>
            </w:r>
          </w:p>
        </w:tc>
      </w:tr>
      <w:tr w14:paraId="7F22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9F2E02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w:t>
            </w:r>
            <w:r>
              <w:rPr>
                <w:rFonts w:ascii="Times New Roman" w:hAnsi="Times New Roman" w:eastAsia="方正仿宋_GBK"/>
                <w:color w:val="000000" w:themeColor="text1"/>
                <w:spacing w:val="-2"/>
                <w:kern w:val="0"/>
                <w:szCs w:val="21"/>
              </w:rPr>
              <w:t>.固定资产投资增长</w:t>
            </w:r>
            <w:r>
              <w:rPr>
                <w:rFonts w:hint="eastAsia" w:ascii="Times New Roman" w:hAnsi="Times New Roman" w:eastAsia="方正仿宋_GBK"/>
                <w:color w:val="000000" w:themeColor="text1"/>
                <w:spacing w:val="-2"/>
                <w:kern w:val="0"/>
                <w:szCs w:val="21"/>
              </w:rPr>
              <w:t>4</w:t>
            </w:r>
            <w:r>
              <w:rPr>
                <w:rFonts w:ascii="Times New Roman" w:hAnsi="Times New Roman" w:eastAsia="方正仿宋_GBK"/>
                <w:color w:val="000000" w:themeColor="text1"/>
                <w:spacing w:val="-2"/>
                <w:kern w:val="0"/>
                <w:szCs w:val="21"/>
              </w:rPr>
              <w:t>%左右。</w:t>
            </w:r>
          </w:p>
        </w:tc>
        <w:tc>
          <w:tcPr>
            <w:tcW w:w="850" w:type="dxa"/>
            <w:vAlign w:val="center"/>
          </w:tcPr>
          <w:p w14:paraId="10388BD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3109D44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县发展改革委</w:t>
            </w:r>
          </w:p>
        </w:tc>
        <w:tc>
          <w:tcPr>
            <w:tcW w:w="1559" w:type="dxa"/>
            <w:vAlign w:val="center"/>
          </w:tcPr>
          <w:p w14:paraId="27C6A7A4">
            <w:pPr>
              <w:widowControl/>
              <w:spacing w:line="240" w:lineRule="exact"/>
              <w:jc w:val="center"/>
              <w:rPr>
                <w:rFonts w:ascii="Times New Roman" w:hAnsi="Times New Roman" w:eastAsia="方正仿宋_GBK"/>
                <w:color w:val="000000" w:themeColor="text1"/>
                <w:spacing w:val="-6"/>
                <w:kern w:val="0"/>
                <w:szCs w:val="21"/>
              </w:rPr>
            </w:pPr>
            <w:r>
              <w:rPr>
                <w:rFonts w:ascii="Times New Roman" w:hAnsi="Times New Roman" w:eastAsia="方正仿宋_GBK"/>
                <w:color w:val="000000" w:themeColor="text1"/>
                <w:spacing w:val="-6"/>
                <w:kern w:val="0"/>
                <w:szCs w:val="21"/>
              </w:rPr>
              <w:t>县经济信息委、县财政局、</w:t>
            </w:r>
            <w:r>
              <w:rPr>
                <w:rFonts w:ascii="Times New Roman" w:hAnsi="Times New Roman" w:eastAsia="方正仿宋_GBK"/>
                <w:color w:val="000000" w:themeColor="text1"/>
                <w:spacing w:val="-10"/>
                <w:kern w:val="0"/>
                <w:szCs w:val="21"/>
              </w:rPr>
              <w:t>县规划自然资源局</w:t>
            </w:r>
            <w:r>
              <w:rPr>
                <w:rFonts w:ascii="Times New Roman" w:hAnsi="Times New Roman" w:eastAsia="方正仿宋_GBK"/>
                <w:color w:val="000000" w:themeColor="text1"/>
                <w:spacing w:val="-6"/>
                <w:kern w:val="0"/>
                <w:szCs w:val="21"/>
              </w:rPr>
              <w:t>、县住房城乡建委、县交通局、县水利局、县农业农村委等</w:t>
            </w:r>
          </w:p>
        </w:tc>
        <w:tc>
          <w:tcPr>
            <w:tcW w:w="4111" w:type="dxa"/>
            <w:vAlign w:val="center"/>
          </w:tcPr>
          <w:p w14:paraId="770B67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完成投资3.75亿元，同比下降6.6%。</w:t>
            </w:r>
          </w:p>
        </w:tc>
        <w:tc>
          <w:tcPr>
            <w:tcW w:w="2576" w:type="dxa"/>
            <w:vAlign w:val="center"/>
          </w:tcPr>
          <w:p w14:paraId="24849F6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受新型冠状肺炎影响，人工、材料、运输都受到不同程度影响，部分重点项目在3月初才实现开工、复工，较以往年份缺失1个月的建设进度.。</w:t>
            </w:r>
          </w:p>
        </w:tc>
        <w:tc>
          <w:tcPr>
            <w:tcW w:w="3827" w:type="dxa"/>
            <w:vAlign w:val="center"/>
          </w:tcPr>
          <w:p w14:paraId="4673D04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一是加快在建项目投资进度。</w:t>
            </w:r>
          </w:p>
          <w:p w14:paraId="7FC1CAD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二是推动新建项目提前开工。</w:t>
            </w:r>
          </w:p>
          <w:p w14:paraId="0A79B0D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三是统筹做好用工、设备材料、项目审批等工作，为项目加快推进奠定基础。</w:t>
            </w:r>
          </w:p>
          <w:p w14:paraId="039314D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四是强化投资项目统计力度。</w:t>
            </w:r>
          </w:p>
          <w:p w14:paraId="7E71FE75">
            <w:pPr>
              <w:widowControl/>
              <w:spacing w:line="240" w:lineRule="exact"/>
              <w:jc w:val="left"/>
              <w:rPr>
                <w:rFonts w:ascii="Times New Roman" w:hAnsi="Times New Roman" w:eastAsia="方正仿宋_GBK"/>
                <w:color w:val="000000" w:themeColor="text1"/>
                <w:spacing w:val="-2"/>
                <w:kern w:val="0"/>
                <w:szCs w:val="21"/>
              </w:rPr>
            </w:pPr>
          </w:p>
        </w:tc>
      </w:tr>
      <w:tr w14:paraId="3B2B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86" w:type="dxa"/>
            <w:vAlign w:val="center"/>
          </w:tcPr>
          <w:p w14:paraId="182E25D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w:t>
            </w:r>
            <w:r>
              <w:rPr>
                <w:rFonts w:ascii="Times New Roman" w:hAnsi="Times New Roman" w:eastAsia="方正仿宋_GBK"/>
                <w:color w:val="000000" w:themeColor="text1"/>
                <w:spacing w:val="-2"/>
                <w:kern w:val="0"/>
                <w:szCs w:val="21"/>
              </w:rPr>
              <w:t>.社会消费品零售总额增长6</w:t>
            </w:r>
            <w:r>
              <w:rPr>
                <w:rFonts w:hint="eastAsia" w:ascii="Times New Roman" w:hAnsi="Times New Roman" w:eastAsia="方正仿宋_GBK"/>
                <w:color w:val="000000" w:themeColor="text1"/>
                <w:spacing w:val="-2"/>
                <w:kern w:val="0"/>
                <w:szCs w:val="21"/>
              </w:rPr>
              <w:t>.5</w:t>
            </w:r>
            <w:r>
              <w:rPr>
                <w:rFonts w:ascii="Times New Roman" w:hAnsi="Times New Roman" w:eastAsia="方正仿宋_GBK"/>
                <w:color w:val="000000" w:themeColor="text1"/>
                <w:spacing w:val="-2"/>
                <w:kern w:val="0"/>
                <w:szCs w:val="21"/>
              </w:rPr>
              <w:t>%左右。</w:t>
            </w:r>
          </w:p>
        </w:tc>
        <w:tc>
          <w:tcPr>
            <w:tcW w:w="850" w:type="dxa"/>
            <w:vAlign w:val="center"/>
          </w:tcPr>
          <w:p w14:paraId="39B5A1C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张国进</w:t>
            </w:r>
          </w:p>
        </w:tc>
        <w:tc>
          <w:tcPr>
            <w:tcW w:w="1134" w:type="dxa"/>
            <w:vAlign w:val="center"/>
          </w:tcPr>
          <w:p w14:paraId="33600B17">
            <w:pPr>
              <w:widowControl/>
              <w:spacing w:line="240" w:lineRule="exact"/>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县商务委</w:t>
            </w:r>
          </w:p>
        </w:tc>
        <w:tc>
          <w:tcPr>
            <w:tcW w:w="1559" w:type="dxa"/>
            <w:vAlign w:val="center"/>
          </w:tcPr>
          <w:p w14:paraId="739DAA0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356153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社会消费品零售总额</w:t>
            </w:r>
            <w:r>
              <w:rPr>
                <w:rFonts w:ascii="Times New Roman" w:hAnsi="Times New Roman" w:eastAsia="方正仿宋_GBK"/>
                <w:color w:val="000000" w:themeColor="text1"/>
                <w:spacing w:val="-2"/>
                <w:kern w:val="0"/>
                <w:szCs w:val="21"/>
              </w:rPr>
              <w:t>5.8</w:t>
            </w:r>
            <w:r>
              <w:rPr>
                <w:rFonts w:hint="eastAsia" w:ascii="Times New Roman" w:hAnsi="Times New Roman" w:eastAsia="方正仿宋_GBK"/>
                <w:color w:val="000000" w:themeColor="text1"/>
                <w:spacing w:val="-2"/>
                <w:kern w:val="0"/>
                <w:szCs w:val="21"/>
              </w:rPr>
              <w:t>亿元，同比下降</w:t>
            </w:r>
            <w:r>
              <w:rPr>
                <w:rFonts w:ascii="Times New Roman" w:hAnsi="Times New Roman" w:eastAsia="方正仿宋_GBK"/>
                <w:color w:val="000000" w:themeColor="text1"/>
                <w:spacing w:val="-2"/>
                <w:kern w:val="0"/>
                <w:szCs w:val="21"/>
              </w:rPr>
              <w:t>15.1%</w:t>
            </w:r>
            <w:r>
              <w:rPr>
                <w:rFonts w:hint="eastAsia" w:ascii="Times New Roman" w:hAnsi="Times New Roman" w:eastAsia="方正仿宋_GBK"/>
                <w:color w:val="000000" w:themeColor="text1"/>
                <w:spacing w:val="-2"/>
                <w:kern w:val="0"/>
                <w:szCs w:val="21"/>
              </w:rPr>
              <w:t>。</w:t>
            </w:r>
          </w:p>
        </w:tc>
        <w:tc>
          <w:tcPr>
            <w:tcW w:w="2576" w:type="dxa"/>
            <w:vAlign w:val="center"/>
          </w:tcPr>
          <w:p w14:paraId="5377F3E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一是目标升限企业少。</w:t>
            </w:r>
          </w:p>
          <w:p w14:paraId="0153499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二是市场不景气，消费信心不足。</w:t>
            </w:r>
          </w:p>
        </w:tc>
        <w:tc>
          <w:tcPr>
            <w:tcW w:w="3827" w:type="dxa"/>
            <w:vAlign w:val="center"/>
          </w:tcPr>
          <w:p w14:paraId="0366085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一是加强对商贸企业的服务。用好县领导联系帮扶限额以上商贸企业的政策，及时分析研究解决商贸企业存在的问题。继续宣传协调支持政策措施落地。</w:t>
            </w:r>
          </w:p>
          <w:p w14:paraId="43B3CA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二是抓好市场主体培育工作，积极培育商贸升限目标企业、个体。</w:t>
            </w:r>
          </w:p>
          <w:p w14:paraId="083350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三是继续开展促进消费系列活动。</w:t>
            </w:r>
          </w:p>
        </w:tc>
      </w:tr>
      <w:tr w14:paraId="0781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6" w:type="dxa"/>
            <w:vAlign w:val="center"/>
          </w:tcPr>
          <w:p w14:paraId="33AACF94">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4</w:t>
            </w:r>
            <w:r>
              <w:rPr>
                <w:rFonts w:ascii="Times New Roman" w:hAnsi="Times New Roman" w:eastAsia="方正仿宋_GBK"/>
                <w:spacing w:val="-2"/>
                <w:kern w:val="0"/>
                <w:szCs w:val="21"/>
              </w:rPr>
              <w:t>.一般公共预算收入增长</w:t>
            </w:r>
            <w:r>
              <w:rPr>
                <w:rFonts w:hint="eastAsia" w:ascii="Times New Roman" w:hAnsi="Times New Roman" w:eastAsia="方正仿宋_GBK"/>
                <w:spacing w:val="-2"/>
                <w:kern w:val="0"/>
                <w:szCs w:val="21"/>
              </w:rPr>
              <w:t>1</w:t>
            </w:r>
            <w:r>
              <w:rPr>
                <w:rFonts w:ascii="Times New Roman" w:hAnsi="Times New Roman" w:eastAsia="方正仿宋_GBK"/>
                <w:spacing w:val="-2"/>
                <w:kern w:val="0"/>
                <w:szCs w:val="21"/>
              </w:rPr>
              <w:t>%左右。</w:t>
            </w:r>
          </w:p>
        </w:tc>
        <w:tc>
          <w:tcPr>
            <w:tcW w:w="850" w:type="dxa"/>
            <w:vAlign w:val="center"/>
          </w:tcPr>
          <w:p w14:paraId="2E091358">
            <w:pPr>
              <w:widowControl/>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张国进</w:t>
            </w:r>
          </w:p>
        </w:tc>
        <w:tc>
          <w:tcPr>
            <w:tcW w:w="1134" w:type="dxa"/>
            <w:vAlign w:val="center"/>
          </w:tcPr>
          <w:p w14:paraId="6285625E">
            <w:pPr>
              <w:widowControl/>
              <w:spacing w:line="240" w:lineRule="exact"/>
              <w:rPr>
                <w:rFonts w:ascii="Times New Roman" w:hAnsi="Times New Roman" w:eastAsia="方正仿宋_GBK"/>
                <w:spacing w:val="-2"/>
                <w:szCs w:val="21"/>
              </w:rPr>
            </w:pPr>
            <w:r>
              <w:rPr>
                <w:rFonts w:ascii="Times New Roman" w:hAnsi="Times New Roman" w:eastAsia="方正仿宋_GBK"/>
                <w:spacing w:val="-2"/>
                <w:szCs w:val="21"/>
              </w:rPr>
              <w:t>县财政局</w:t>
            </w:r>
          </w:p>
        </w:tc>
        <w:tc>
          <w:tcPr>
            <w:tcW w:w="1559" w:type="dxa"/>
            <w:vAlign w:val="center"/>
          </w:tcPr>
          <w:p w14:paraId="330E9754">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县税务局</w:t>
            </w:r>
          </w:p>
        </w:tc>
        <w:tc>
          <w:tcPr>
            <w:tcW w:w="4111" w:type="dxa"/>
            <w:vAlign w:val="center"/>
          </w:tcPr>
          <w:p w14:paraId="62FF9DF5">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税务及财政部门在持续全力催收催缴税费，一季度一般公共预算收入</w:t>
            </w:r>
            <w:r>
              <w:rPr>
                <w:rFonts w:ascii="Times New Roman" w:hAnsi="Times New Roman" w:eastAsia="方正仿宋_GBK"/>
                <w:spacing w:val="-2"/>
                <w:kern w:val="0"/>
                <w:szCs w:val="21"/>
              </w:rPr>
              <w:t>11593</w:t>
            </w:r>
            <w:r>
              <w:rPr>
                <w:rFonts w:hint="eastAsia" w:ascii="Times New Roman" w:hAnsi="Times New Roman" w:eastAsia="方正仿宋_GBK"/>
                <w:spacing w:val="-2"/>
                <w:kern w:val="0"/>
                <w:szCs w:val="21"/>
              </w:rPr>
              <w:t>万元（税收</w:t>
            </w:r>
            <w:r>
              <w:rPr>
                <w:rFonts w:ascii="Times New Roman" w:hAnsi="Times New Roman" w:eastAsia="方正仿宋_GBK"/>
                <w:spacing w:val="-2"/>
                <w:kern w:val="0"/>
                <w:szCs w:val="21"/>
              </w:rPr>
              <w:t>6154</w:t>
            </w:r>
            <w:r>
              <w:rPr>
                <w:rFonts w:hint="eastAsia" w:ascii="Times New Roman" w:hAnsi="Times New Roman" w:eastAsia="方正仿宋_GBK"/>
                <w:spacing w:val="-2"/>
                <w:kern w:val="0"/>
                <w:szCs w:val="21"/>
              </w:rPr>
              <w:t>万元，非税收入</w:t>
            </w:r>
            <w:r>
              <w:rPr>
                <w:rFonts w:ascii="Times New Roman" w:hAnsi="Times New Roman" w:eastAsia="方正仿宋_GBK"/>
                <w:spacing w:val="-2"/>
                <w:kern w:val="0"/>
                <w:szCs w:val="21"/>
              </w:rPr>
              <w:t>5439</w:t>
            </w:r>
            <w:r>
              <w:rPr>
                <w:rFonts w:hint="eastAsia" w:ascii="Times New Roman" w:hAnsi="Times New Roman" w:eastAsia="方正仿宋_GBK"/>
                <w:spacing w:val="-2"/>
                <w:kern w:val="0"/>
                <w:szCs w:val="21"/>
              </w:rPr>
              <w:t>万元），同比增长</w:t>
            </w:r>
            <w:r>
              <w:rPr>
                <w:rFonts w:ascii="Times New Roman" w:hAnsi="Times New Roman" w:eastAsia="方正仿宋_GBK"/>
                <w:spacing w:val="-2"/>
                <w:kern w:val="0"/>
                <w:szCs w:val="21"/>
              </w:rPr>
              <w:t>1.68%</w:t>
            </w:r>
            <w:r>
              <w:rPr>
                <w:rFonts w:hint="eastAsia" w:ascii="Times New Roman" w:hAnsi="Times New Roman" w:eastAsia="方正仿宋_GBK"/>
                <w:spacing w:val="-2"/>
                <w:kern w:val="0"/>
                <w:szCs w:val="21"/>
              </w:rPr>
              <w:t>。</w:t>
            </w:r>
          </w:p>
        </w:tc>
        <w:tc>
          <w:tcPr>
            <w:tcW w:w="2576" w:type="dxa"/>
            <w:vAlign w:val="center"/>
          </w:tcPr>
          <w:p w14:paraId="72B23EA8">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受疫情影响，工业企业停产停工，第一季度本级财政收入任务未能圆满完成。</w:t>
            </w:r>
          </w:p>
        </w:tc>
        <w:tc>
          <w:tcPr>
            <w:tcW w:w="3827" w:type="dxa"/>
            <w:vAlign w:val="center"/>
          </w:tcPr>
          <w:p w14:paraId="1B0ABBAE">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税务与财政部门将加强税收及非税的征收催收力度，确保圆满完成年度任务。</w:t>
            </w:r>
          </w:p>
          <w:p w14:paraId="2932E038">
            <w:pPr>
              <w:widowControl/>
              <w:spacing w:line="240" w:lineRule="exact"/>
              <w:jc w:val="left"/>
              <w:rPr>
                <w:rFonts w:ascii="Times New Roman" w:hAnsi="Times New Roman" w:eastAsia="方正仿宋_GBK"/>
                <w:spacing w:val="-2"/>
                <w:kern w:val="0"/>
                <w:szCs w:val="21"/>
              </w:rPr>
            </w:pPr>
          </w:p>
          <w:p w14:paraId="6418615D">
            <w:pPr>
              <w:widowControl/>
              <w:spacing w:line="240" w:lineRule="exact"/>
              <w:jc w:val="left"/>
              <w:rPr>
                <w:rFonts w:ascii="Times New Roman" w:hAnsi="Times New Roman" w:eastAsia="方正仿宋_GBK"/>
                <w:spacing w:val="-2"/>
                <w:kern w:val="0"/>
                <w:szCs w:val="21"/>
              </w:rPr>
            </w:pPr>
          </w:p>
        </w:tc>
      </w:tr>
      <w:tr w14:paraId="34C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9B2BB2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w:t>
            </w:r>
            <w:r>
              <w:rPr>
                <w:rFonts w:ascii="Times New Roman" w:hAnsi="Times New Roman" w:eastAsia="方正仿宋_GBK"/>
                <w:color w:val="000000" w:themeColor="text1"/>
                <w:spacing w:val="-2"/>
                <w:kern w:val="0"/>
                <w:szCs w:val="21"/>
              </w:rPr>
              <w:t>.城乡居民人均可支配收入与经济增长同步，农民人均可支配收入增幅高于全市平均水平</w:t>
            </w:r>
            <w:r>
              <w:rPr>
                <w:rFonts w:hint="eastAsia" w:ascii="Times New Roman" w:hAnsi="Times New Roman" w:eastAsia="方正仿宋_GBK"/>
                <w:color w:val="000000" w:themeColor="text1"/>
                <w:spacing w:val="-2"/>
                <w:kern w:val="0"/>
                <w:szCs w:val="21"/>
              </w:rPr>
              <w:t>。</w:t>
            </w:r>
          </w:p>
        </w:tc>
        <w:tc>
          <w:tcPr>
            <w:tcW w:w="850" w:type="dxa"/>
            <w:vAlign w:val="center"/>
          </w:tcPr>
          <w:p w14:paraId="3EF981A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39FE040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县人力社保局</w:t>
            </w:r>
          </w:p>
        </w:tc>
        <w:tc>
          <w:tcPr>
            <w:tcW w:w="1559" w:type="dxa"/>
            <w:vAlign w:val="center"/>
          </w:tcPr>
          <w:p w14:paraId="2E249AD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r>
              <w:rPr>
                <w:rFonts w:ascii="Times New Roman" w:hAnsi="Times New Roman" w:eastAsia="方正仿宋_GBK"/>
                <w:color w:val="000000" w:themeColor="text1"/>
                <w:spacing w:val="-2"/>
                <w:kern w:val="0"/>
                <w:szCs w:val="21"/>
              </w:rPr>
              <w:t>县财政局、县农业农村委</w:t>
            </w:r>
            <w:r>
              <w:rPr>
                <w:rFonts w:hint="eastAsia" w:ascii="Times New Roman" w:hAnsi="Times New Roman" w:eastAsia="方正仿宋_GBK"/>
                <w:color w:val="000000" w:themeColor="text1"/>
                <w:spacing w:val="-2"/>
                <w:kern w:val="0"/>
                <w:szCs w:val="21"/>
              </w:rPr>
              <w:t>、县商务委</w:t>
            </w:r>
            <w:r>
              <w:rPr>
                <w:rFonts w:ascii="Times New Roman" w:hAnsi="Times New Roman" w:eastAsia="方正仿宋_GBK"/>
                <w:color w:val="000000" w:themeColor="text1"/>
                <w:spacing w:val="-2"/>
                <w:kern w:val="0"/>
                <w:szCs w:val="21"/>
              </w:rPr>
              <w:t>等</w:t>
            </w:r>
          </w:p>
        </w:tc>
        <w:tc>
          <w:tcPr>
            <w:tcW w:w="4111" w:type="dxa"/>
            <w:vAlign w:val="center"/>
          </w:tcPr>
          <w:p w14:paraId="72D6F07E">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落实财税政策，增强企业活力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一是在落实国家有关促进小微企业发展的</w:t>
            </w:r>
            <w:r>
              <w:rPr>
                <w:rFonts w:hint="eastAsia" w:ascii="Times New Roman" w:hAnsi="Times New Roman" w:eastAsia="方正仿宋_GBK"/>
                <w:color w:val="000000" w:themeColor="text1"/>
                <w:spacing w:val="-2"/>
                <w:kern w:val="0"/>
                <w:szCs w:val="21"/>
              </w:rPr>
              <w:t>优惠政策</w:t>
            </w:r>
            <w:r>
              <w:rPr>
                <w:rFonts w:ascii="Times New Roman" w:hAnsi="Times New Roman" w:eastAsia="方正仿宋_GBK"/>
                <w:color w:val="000000" w:themeColor="text1"/>
                <w:spacing w:val="-2"/>
                <w:kern w:val="0"/>
                <w:szCs w:val="21"/>
              </w:rPr>
              <w:t>，助力企业轻装上阵，降低企业运行成本。二是积极争取阶段性、有针对性的减税降费政策，加大对复工复产企业的支持力度。</w:t>
            </w:r>
          </w:p>
          <w:p w14:paraId="4B48AC42">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加强资金统筹，保障重点项目</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是安排资金138万元，提升农村公共服务文化水平；二是安排资金3,855万元，全力支持农村薄弱学校改造；三是安排资金8,892万元，保障全县医疗卫生机构正常运行和能力提升；四是安排资金7,371万元，保障困难群体的基本待遇和机构运行</w:t>
            </w:r>
            <w:r>
              <w:rPr>
                <w:rFonts w:hint="eastAsia" w:ascii="Times New Roman" w:hAnsi="Times New Roman" w:eastAsia="方正仿宋_GBK"/>
                <w:color w:val="000000" w:themeColor="text1"/>
                <w:spacing w:val="-2"/>
                <w:kern w:val="0"/>
                <w:szCs w:val="21"/>
              </w:rPr>
              <w:t>。</w:t>
            </w:r>
          </w:p>
          <w:p w14:paraId="0A9390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进一步巩固我县农业产业扶贫成果，健全完善农业产业扶贫长效机制：制定《城口县农业产业扶贫巩固提升行动方案》、《城口县 2020 年产业到户扶持实施细则》等 8 个实施细则。</w:t>
            </w:r>
          </w:p>
          <w:p w14:paraId="16C42CE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加大产业到户扶持力度：一是进一步完善到户扶持政策、提高到户扶持标准。贫困户和边缘户产业发展每户最高补助总额不超过2000元，一般农户不超过1500元。二是充分发挥农业产业为农户提供就业创业的基础作用，鼓励农户特别是贫困户多渠道就业创业。</w:t>
            </w:r>
            <w:r>
              <w:rPr>
                <w:rFonts w:hint="eastAsia" w:ascii="Times New Roman" w:hAnsi="Times New Roman" w:eastAsia="方正仿宋_GBK"/>
                <w:color w:val="FF0000"/>
                <w:spacing w:val="-2"/>
                <w:kern w:val="0"/>
                <w:szCs w:val="21"/>
              </w:rPr>
              <w:t>（具体数据未出）</w:t>
            </w:r>
          </w:p>
          <w:p w14:paraId="7B56974E">
            <w:pPr>
              <w:widowControl/>
              <w:spacing w:line="240" w:lineRule="exact"/>
              <w:ind w:firstLine="412" w:firstLineChars="200"/>
              <w:jc w:val="left"/>
              <w:rPr>
                <w:rFonts w:ascii="Times New Roman" w:hAnsi="Times New Roman" w:eastAsia="方正仿宋_GBK"/>
                <w:color w:val="000000" w:themeColor="text1"/>
                <w:spacing w:val="-2"/>
                <w:kern w:val="0"/>
                <w:szCs w:val="21"/>
              </w:rPr>
            </w:pPr>
          </w:p>
        </w:tc>
        <w:tc>
          <w:tcPr>
            <w:tcW w:w="2576" w:type="dxa"/>
          </w:tcPr>
          <w:p w14:paraId="76CBFD9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年初预计上级专项补助财力24.6亿元(含基金)，到位19.11亿元，到位率77.68%；预计上级“三保”财力补助9.9亿元，到位9.1亿元，差口0.8亿元，到位率92%。二是按6月底疫情影响全面结束，已出台应对疫情的阶段性经济刺激政策全面退出口径测算，预计影响本级财政收支总额5389万元。三是目前还有6.24亿元未分配落实到具体项目，占比达24%。从单位预算执行进度看，差序时进度5个百分点以下的单位达113个，占比达72%。四是收入渠道相对单一，多为土地租赁和务工为收入，市场主体带动能力较弱。</w:t>
            </w:r>
          </w:p>
          <w:p w14:paraId="310C6873">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C461F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严格落实支持帮助企业复工复产的政策措施，全力协助各类市场主体复产复工。二是全力支持重点领域创新发展。三是协助国有企业加快资产盘活处置力度，弥补短收缺口。四是切实提升专项资金的使用效益。五是压实收入征管责任。充分发挥财政在收入征管牵头总职能，紧盯政府下达的收入征管任务，逗硬收入考核力度，压实部门征管责任。六是探索实施“三类十种”利益联结模式，通过组织、带动、提升、增收贫困户，实现产业扶贫“两个全覆盖”。七是不断增强市场主体带动能力，重点扶持与优势特色主导产业关联度高的新型农业经营主体，培育引进和扶持一批社会责任意识强的农业龙头企业。</w:t>
            </w:r>
          </w:p>
          <w:p w14:paraId="35E38DBA">
            <w:pPr>
              <w:widowControl/>
              <w:spacing w:line="240" w:lineRule="exact"/>
              <w:jc w:val="left"/>
              <w:rPr>
                <w:rFonts w:ascii="Times New Roman" w:hAnsi="Times New Roman" w:eastAsia="方正仿宋_GBK"/>
                <w:color w:val="000000" w:themeColor="text1"/>
                <w:spacing w:val="-2"/>
                <w:kern w:val="0"/>
                <w:szCs w:val="21"/>
              </w:rPr>
            </w:pPr>
          </w:p>
        </w:tc>
      </w:tr>
      <w:tr w14:paraId="012E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D28868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w:t>
            </w:r>
            <w:r>
              <w:rPr>
                <w:rFonts w:ascii="Times New Roman" w:hAnsi="Times New Roman" w:eastAsia="方正仿宋_GBK"/>
                <w:color w:val="000000" w:themeColor="text1"/>
                <w:spacing w:val="-2"/>
                <w:kern w:val="0"/>
                <w:szCs w:val="21"/>
              </w:rPr>
              <w:t>.城镇登记失业率控制在</w:t>
            </w:r>
            <w:r>
              <w:rPr>
                <w:rFonts w:hint="eastAsia" w:ascii="Times New Roman" w:hAnsi="Times New Roman" w:eastAsia="方正仿宋_GBK"/>
                <w:color w:val="000000" w:themeColor="text1"/>
                <w:spacing w:val="-2"/>
                <w:kern w:val="0"/>
                <w:szCs w:val="21"/>
              </w:rPr>
              <w:t>5.5</w:t>
            </w:r>
            <w:r>
              <w:rPr>
                <w:rFonts w:ascii="Times New Roman" w:hAnsi="Times New Roman" w:eastAsia="方正仿宋_GBK"/>
                <w:color w:val="000000" w:themeColor="text1"/>
                <w:spacing w:val="-2"/>
                <w:kern w:val="0"/>
                <w:szCs w:val="21"/>
              </w:rPr>
              <w:t>%以内。</w:t>
            </w:r>
          </w:p>
        </w:tc>
        <w:tc>
          <w:tcPr>
            <w:tcW w:w="850" w:type="dxa"/>
            <w:vAlign w:val="center"/>
          </w:tcPr>
          <w:p w14:paraId="221B60D3">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4DA9B75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县人力社保局</w:t>
            </w:r>
          </w:p>
        </w:tc>
        <w:tc>
          <w:tcPr>
            <w:tcW w:w="1559" w:type="dxa"/>
            <w:vAlign w:val="center"/>
          </w:tcPr>
          <w:p w14:paraId="0C4DDF9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县就业和人才服务局</w:t>
            </w:r>
            <w:r>
              <w:rPr>
                <w:rFonts w:ascii="Times New Roman" w:hAnsi="Times New Roman" w:eastAsia="方正仿宋_GBK"/>
                <w:color w:val="000000" w:themeColor="text1"/>
                <w:spacing w:val="-2"/>
                <w:kern w:val="0"/>
                <w:szCs w:val="21"/>
              </w:rPr>
              <w:t>等</w:t>
            </w:r>
          </w:p>
        </w:tc>
        <w:tc>
          <w:tcPr>
            <w:tcW w:w="4111" w:type="dxa"/>
            <w:vAlign w:val="center"/>
          </w:tcPr>
          <w:p w14:paraId="631B6F2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城镇登记失业率控制在5.5%以内。</w:t>
            </w:r>
          </w:p>
        </w:tc>
        <w:tc>
          <w:tcPr>
            <w:tcW w:w="2576" w:type="dxa"/>
            <w:vAlign w:val="center"/>
          </w:tcPr>
          <w:p w14:paraId="7C6E478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296A30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持续做好就业失业人员登记工作。</w:t>
            </w:r>
          </w:p>
        </w:tc>
      </w:tr>
      <w:tr w14:paraId="4310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86" w:type="dxa"/>
            <w:vAlign w:val="center"/>
          </w:tcPr>
          <w:p w14:paraId="60DD6DA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w:t>
            </w:r>
            <w:r>
              <w:rPr>
                <w:rFonts w:ascii="Times New Roman" w:hAnsi="Times New Roman" w:eastAsia="方正仿宋_GBK"/>
                <w:color w:val="000000" w:themeColor="text1"/>
                <w:spacing w:val="-2"/>
                <w:kern w:val="0"/>
                <w:szCs w:val="21"/>
              </w:rPr>
              <w:t>.单位生产总值能耗控制在市上下达的目标之内。</w:t>
            </w:r>
          </w:p>
        </w:tc>
        <w:tc>
          <w:tcPr>
            <w:tcW w:w="850" w:type="dxa"/>
            <w:vAlign w:val="center"/>
          </w:tcPr>
          <w:p w14:paraId="7B91355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0EFB557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kern w:val="0"/>
                <w:szCs w:val="21"/>
              </w:rPr>
              <w:t>县发展改革委</w:t>
            </w:r>
          </w:p>
        </w:tc>
        <w:tc>
          <w:tcPr>
            <w:tcW w:w="1559" w:type="dxa"/>
            <w:vAlign w:val="center"/>
          </w:tcPr>
          <w:p w14:paraId="7007DFD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szCs w:val="21"/>
              </w:rPr>
              <w:t>县经济信息委</w:t>
            </w:r>
            <w:r>
              <w:rPr>
                <w:rFonts w:ascii="Times New Roman" w:hAnsi="Times New Roman" w:eastAsia="方正仿宋_GBK"/>
                <w:color w:val="000000" w:themeColor="text1"/>
                <w:spacing w:val="-2"/>
                <w:kern w:val="0"/>
                <w:szCs w:val="21"/>
              </w:rPr>
              <w:t>、县住房城乡建委</w:t>
            </w:r>
            <w:r>
              <w:rPr>
                <w:rFonts w:hint="eastAsia" w:ascii="Times New Roman" w:hAnsi="Times New Roman" w:eastAsia="方正仿宋_GBK"/>
                <w:color w:val="000000" w:themeColor="text1"/>
                <w:spacing w:val="-2"/>
                <w:kern w:val="0"/>
                <w:szCs w:val="21"/>
              </w:rPr>
              <w:t>等</w:t>
            </w:r>
          </w:p>
        </w:tc>
        <w:tc>
          <w:tcPr>
            <w:tcW w:w="4111" w:type="dxa"/>
            <w:vAlign w:val="center"/>
          </w:tcPr>
          <w:p w14:paraId="50C6E04B">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生产总值能耗</w:t>
            </w:r>
            <w:r>
              <w:rPr>
                <w:rFonts w:hint="eastAsia" w:ascii="Times New Roman" w:hAnsi="Times New Roman" w:eastAsia="方正仿宋_GBK"/>
                <w:color w:val="000000" w:themeColor="text1"/>
                <w:spacing w:val="-2"/>
                <w:kern w:val="0"/>
                <w:szCs w:val="21"/>
              </w:rPr>
              <w:t>控制在范围内。</w:t>
            </w:r>
          </w:p>
        </w:tc>
        <w:tc>
          <w:tcPr>
            <w:tcW w:w="2576" w:type="dxa"/>
            <w:vAlign w:val="center"/>
          </w:tcPr>
          <w:p w14:paraId="1AB2AFA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锰铁合金市场回暖会直接影响能源消费总量大幅攀升，企业无专业节能人才。</w:t>
            </w:r>
          </w:p>
        </w:tc>
        <w:tc>
          <w:tcPr>
            <w:tcW w:w="3827" w:type="dxa"/>
            <w:vAlign w:val="center"/>
          </w:tcPr>
          <w:p w14:paraId="750037A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引导企业加强综合节能管理，加大节能监督检查。</w:t>
            </w:r>
          </w:p>
        </w:tc>
      </w:tr>
      <w:tr w14:paraId="49B9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986" w:type="dxa"/>
            <w:vAlign w:val="center"/>
          </w:tcPr>
          <w:p w14:paraId="2C4D2B1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w:t>
            </w:r>
            <w:r>
              <w:rPr>
                <w:rFonts w:ascii="Times New Roman" w:hAnsi="Times New Roman" w:eastAsia="方正仿宋_GBK"/>
                <w:color w:val="000000" w:themeColor="text1"/>
                <w:spacing w:val="-2"/>
                <w:kern w:val="0"/>
                <w:szCs w:val="21"/>
              </w:rPr>
              <w:t>.主要污染物减排指标控制在市上下达的目标之内。</w:t>
            </w:r>
          </w:p>
        </w:tc>
        <w:tc>
          <w:tcPr>
            <w:tcW w:w="850" w:type="dxa"/>
            <w:vAlign w:val="center"/>
          </w:tcPr>
          <w:p w14:paraId="59E8B42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夏朝华</w:t>
            </w:r>
          </w:p>
        </w:tc>
        <w:tc>
          <w:tcPr>
            <w:tcW w:w="1134" w:type="dxa"/>
            <w:vAlign w:val="center"/>
          </w:tcPr>
          <w:p w14:paraId="1E09EE4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县生态环境局</w:t>
            </w:r>
          </w:p>
        </w:tc>
        <w:tc>
          <w:tcPr>
            <w:tcW w:w="1559" w:type="dxa"/>
            <w:vAlign w:val="center"/>
          </w:tcPr>
          <w:p w14:paraId="5270930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县经济信息委、县住房城乡建委</w:t>
            </w:r>
            <w:r>
              <w:rPr>
                <w:rFonts w:hint="eastAsia" w:ascii="Times New Roman" w:hAnsi="Times New Roman" w:eastAsia="方正仿宋_GBK"/>
                <w:color w:val="000000" w:themeColor="text1"/>
                <w:spacing w:val="-2"/>
                <w:kern w:val="0"/>
                <w:szCs w:val="21"/>
              </w:rPr>
              <w:t>等</w:t>
            </w:r>
          </w:p>
        </w:tc>
        <w:tc>
          <w:tcPr>
            <w:tcW w:w="4111" w:type="dxa"/>
            <w:vAlign w:val="center"/>
          </w:tcPr>
          <w:p w14:paraId="512537F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市局尚未发布污染物减排控制目标。</w:t>
            </w:r>
          </w:p>
        </w:tc>
        <w:tc>
          <w:tcPr>
            <w:tcW w:w="2576" w:type="dxa"/>
            <w:vAlign w:val="center"/>
          </w:tcPr>
          <w:p w14:paraId="01B3E75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0D74C96">
            <w:pPr>
              <w:widowControl/>
              <w:spacing w:line="240" w:lineRule="exact"/>
              <w:jc w:val="left"/>
              <w:rPr>
                <w:rFonts w:ascii="Times New Roman" w:hAnsi="Times New Roman" w:eastAsia="方正仿宋_GBK"/>
                <w:color w:val="000000" w:themeColor="text1"/>
                <w:spacing w:val="-2"/>
                <w:kern w:val="0"/>
                <w:szCs w:val="21"/>
              </w:rPr>
            </w:pPr>
          </w:p>
        </w:tc>
      </w:tr>
      <w:tr w14:paraId="5E43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043" w:type="dxa"/>
            <w:gridSpan w:val="7"/>
            <w:vAlign w:val="center"/>
          </w:tcPr>
          <w:p w14:paraId="30F69E68">
            <w:pPr>
              <w:widowControl/>
              <w:spacing w:line="240" w:lineRule="exact"/>
              <w:jc w:val="center"/>
              <w:rPr>
                <w:rFonts w:ascii="方正黑体_GBK" w:hAnsi="Times New Roman" w:eastAsia="方正黑体_GBK"/>
                <w:color w:val="000000" w:themeColor="text1"/>
                <w:spacing w:val="-2"/>
                <w:kern w:val="0"/>
                <w:sz w:val="28"/>
                <w:szCs w:val="28"/>
              </w:rPr>
            </w:pPr>
          </w:p>
          <w:p w14:paraId="3F71ED45">
            <w:pPr>
              <w:widowControl/>
              <w:spacing w:line="300" w:lineRule="exact"/>
              <w:jc w:val="center"/>
              <w:rPr>
                <w:rFonts w:ascii="方正黑体_GBK" w:hAnsi="Times New Roman" w:eastAsia="方正黑体_GBK"/>
                <w:color w:val="000000" w:themeColor="text1"/>
                <w:spacing w:val="-2"/>
                <w:kern w:val="0"/>
                <w:sz w:val="28"/>
                <w:szCs w:val="28"/>
              </w:rPr>
            </w:pPr>
            <w:r>
              <w:rPr>
                <w:rFonts w:hint="eastAsia" w:ascii="Times New Roman" w:hAnsi="Times New Roman" w:eastAsia="方正黑体_GBK"/>
                <w:color w:val="000000" w:themeColor="text1"/>
                <w:spacing w:val="-2"/>
                <w:kern w:val="0"/>
                <w:sz w:val="28"/>
                <w:szCs w:val="28"/>
              </w:rPr>
              <w:t>二、2020年主要工作任务</w:t>
            </w:r>
          </w:p>
        </w:tc>
      </w:tr>
      <w:tr w14:paraId="1B03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043" w:type="dxa"/>
            <w:gridSpan w:val="7"/>
            <w:vAlign w:val="center"/>
          </w:tcPr>
          <w:p w14:paraId="77F900B3">
            <w:pPr>
              <w:widowControl/>
              <w:spacing w:line="240" w:lineRule="exact"/>
              <w:jc w:val="left"/>
              <w:rPr>
                <w:rFonts w:ascii="方正楷体_GBK" w:hAnsi="Times New Roman" w:eastAsia="方正楷体_GBK"/>
                <w:b/>
                <w:color w:val="000000" w:themeColor="text1"/>
                <w:spacing w:val="-2"/>
                <w:kern w:val="0"/>
                <w:szCs w:val="21"/>
              </w:rPr>
            </w:pPr>
            <w:r>
              <w:rPr>
                <w:rFonts w:hint="eastAsia" w:ascii="方正楷体_GBK" w:hAnsi="Times New Roman" w:eastAsia="方正楷体_GBK"/>
                <w:b/>
                <w:color w:val="000000" w:themeColor="text1"/>
                <w:spacing w:val="-2"/>
                <w:kern w:val="0"/>
                <w:szCs w:val="21"/>
              </w:rPr>
              <w:t>（一）决战决胜脱贫攻坚战，同步全面建成小康社会。</w:t>
            </w:r>
          </w:p>
        </w:tc>
      </w:tr>
      <w:tr w14:paraId="3834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986" w:type="dxa"/>
            <w:vAlign w:val="center"/>
          </w:tcPr>
          <w:p w14:paraId="5FF5BCE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w:t>
            </w:r>
            <w:r>
              <w:rPr>
                <w:rFonts w:ascii="Times New Roman" w:hAnsi="Times New Roman" w:eastAsia="方正仿宋_GBK"/>
                <w:color w:val="000000" w:themeColor="text1"/>
                <w:spacing w:val="-2"/>
                <w:kern w:val="0"/>
                <w:szCs w:val="21"/>
              </w:rPr>
              <w:t>.坚持精准方略，整合</w:t>
            </w:r>
            <w:r>
              <w:rPr>
                <w:rFonts w:hint="eastAsia" w:ascii="Times New Roman" w:hAnsi="Times New Roman" w:eastAsia="方正仿宋_GBK"/>
                <w:color w:val="000000" w:themeColor="text1"/>
                <w:spacing w:val="-2"/>
                <w:kern w:val="0"/>
                <w:szCs w:val="21"/>
              </w:rPr>
              <w:t>扶贫</w:t>
            </w:r>
            <w:r>
              <w:rPr>
                <w:rFonts w:ascii="Times New Roman" w:hAnsi="Times New Roman" w:eastAsia="方正仿宋_GBK"/>
                <w:color w:val="000000" w:themeColor="text1"/>
                <w:spacing w:val="-2"/>
                <w:kern w:val="0"/>
                <w:szCs w:val="21"/>
              </w:rPr>
              <w:t>资源、压实</w:t>
            </w:r>
            <w:r>
              <w:rPr>
                <w:rFonts w:hint="eastAsia" w:ascii="Times New Roman" w:hAnsi="Times New Roman" w:eastAsia="方正仿宋_GBK"/>
                <w:color w:val="000000" w:themeColor="text1"/>
                <w:spacing w:val="-2"/>
                <w:kern w:val="0"/>
                <w:szCs w:val="21"/>
              </w:rPr>
              <w:t>攻坚</w:t>
            </w:r>
            <w:r>
              <w:rPr>
                <w:rFonts w:ascii="Times New Roman" w:hAnsi="Times New Roman" w:eastAsia="方正仿宋_GBK"/>
                <w:color w:val="000000" w:themeColor="text1"/>
                <w:spacing w:val="-2"/>
                <w:kern w:val="0"/>
                <w:szCs w:val="21"/>
              </w:rPr>
              <w:t>责任、聚焦深度贫困，深化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一线工作法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网格化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管理，落实产业扶持、转移就业、教育资助、医疗救助、</w:t>
            </w:r>
            <w:r>
              <w:rPr>
                <w:rFonts w:hint="eastAsia" w:ascii="Times New Roman" w:hAnsi="Times New Roman" w:eastAsia="方正仿宋_GBK"/>
                <w:color w:val="000000" w:themeColor="text1"/>
                <w:spacing w:val="-2"/>
                <w:kern w:val="0"/>
                <w:szCs w:val="21"/>
              </w:rPr>
              <w:t>民政</w:t>
            </w:r>
            <w:r>
              <w:rPr>
                <w:rFonts w:ascii="Times New Roman" w:hAnsi="Times New Roman" w:eastAsia="方正仿宋_GBK"/>
                <w:color w:val="000000" w:themeColor="text1"/>
                <w:spacing w:val="-2"/>
                <w:kern w:val="0"/>
                <w:szCs w:val="21"/>
              </w:rPr>
              <w:t>兜底、消费扶贫等政策措施。</w:t>
            </w:r>
          </w:p>
        </w:tc>
        <w:tc>
          <w:tcPr>
            <w:tcW w:w="850" w:type="dxa"/>
            <w:vAlign w:val="center"/>
          </w:tcPr>
          <w:p w14:paraId="5BDF14F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235C956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2ED9D1B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6A16402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5A875F0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印发了《城口县2020年脱贫攻坚“百日会战”行动方案》；全面摸排了全县群众“两不愁三保障情况”和各项政策落实情况并开展了问题整改；</w:t>
            </w:r>
            <w:r>
              <w:rPr>
                <w:rFonts w:ascii="Times New Roman" w:hAnsi="Times New Roman" w:eastAsia="方正仿宋_GBK"/>
                <w:color w:val="000000" w:themeColor="text1"/>
                <w:spacing w:val="-2"/>
                <w:kern w:val="0"/>
                <w:szCs w:val="21"/>
              </w:rPr>
              <w:t>全县</w:t>
            </w:r>
            <w:r>
              <w:rPr>
                <w:rFonts w:hint="eastAsia" w:ascii="Times New Roman" w:hAnsi="Times New Roman" w:eastAsia="方正仿宋_GBK"/>
                <w:color w:val="000000" w:themeColor="text1"/>
                <w:spacing w:val="-2"/>
                <w:kern w:val="0"/>
                <w:szCs w:val="21"/>
              </w:rPr>
              <w:t>组成了</w:t>
            </w:r>
            <w:r>
              <w:rPr>
                <w:rFonts w:ascii="Times New Roman" w:hAnsi="Times New Roman" w:eastAsia="方正仿宋_GBK"/>
                <w:color w:val="000000" w:themeColor="text1"/>
                <w:spacing w:val="-2"/>
                <w:kern w:val="0"/>
                <w:szCs w:val="21"/>
              </w:rPr>
              <w:t>25个驻乡工作队</w:t>
            </w:r>
            <w:r>
              <w:rPr>
                <w:rFonts w:hint="eastAsia" w:ascii="Times New Roman" w:hAnsi="Times New Roman" w:eastAsia="方正仿宋_GBK"/>
                <w:color w:val="000000" w:themeColor="text1"/>
                <w:spacing w:val="-2"/>
                <w:kern w:val="0"/>
                <w:szCs w:val="21"/>
              </w:rPr>
              <w:t>开展了工作督导调研。</w:t>
            </w:r>
          </w:p>
        </w:tc>
        <w:tc>
          <w:tcPr>
            <w:tcW w:w="2576" w:type="dxa"/>
            <w:vAlign w:val="center"/>
          </w:tcPr>
          <w:p w14:paraId="57DC220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形成了</w:t>
            </w:r>
            <w:r>
              <w:rPr>
                <w:rFonts w:ascii="Times New Roman" w:hAnsi="Times New Roman" w:eastAsia="方正仿宋_GBK"/>
                <w:color w:val="000000" w:themeColor="text1"/>
                <w:spacing w:val="-2"/>
                <w:kern w:val="0"/>
                <w:szCs w:val="21"/>
              </w:rPr>
              <w:t>“百日会战”</w:t>
            </w:r>
            <w:r>
              <w:rPr>
                <w:rFonts w:hint="eastAsia" w:ascii="Times New Roman" w:hAnsi="Times New Roman" w:eastAsia="方正仿宋_GBK"/>
                <w:color w:val="000000" w:themeColor="text1"/>
                <w:spacing w:val="-2"/>
                <w:kern w:val="0"/>
                <w:szCs w:val="21"/>
              </w:rPr>
              <w:t>工作督导报告和问题清单。</w:t>
            </w:r>
          </w:p>
        </w:tc>
        <w:tc>
          <w:tcPr>
            <w:tcW w:w="3827" w:type="dxa"/>
            <w:vAlign w:val="center"/>
          </w:tcPr>
          <w:p w14:paraId="30CF939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一是继续加强</w:t>
            </w:r>
            <w:r>
              <w:rPr>
                <w:rFonts w:ascii="Times New Roman" w:hAnsi="Times New Roman" w:eastAsia="方正仿宋_GBK"/>
                <w:color w:val="000000" w:themeColor="text1"/>
                <w:spacing w:val="-2"/>
                <w:kern w:val="0"/>
                <w:szCs w:val="21"/>
              </w:rPr>
              <w:t>全县党员干部教育培训</w:t>
            </w:r>
            <w:r>
              <w:rPr>
                <w:rFonts w:hint="eastAsia" w:ascii="Times New Roman" w:hAnsi="Times New Roman" w:eastAsia="方正仿宋_GBK"/>
                <w:color w:val="000000" w:themeColor="text1"/>
                <w:spacing w:val="-2"/>
                <w:kern w:val="0"/>
                <w:szCs w:val="21"/>
              </w:rPr>
              <w:t>和思想引导。二是加强工作督导，确保责任落实。三是进一步巩固脱贫成果。四是问题导向抓好</w:t>
            </w:r>
            <w:r>
              <w:rPr>
                <w:rFonts w:ascii="Times New Roman" w:hAnsi="Times New Roman" w:eastAsia="方正仿宋_GBK"/>
                <w:color w:val="000000" w:themeColor="text1"/>
                <w:spacing w:val="-2"/>
                <w:kern w:val="0"/>
                <w:szCs w:val="21"/>
              </w:rPr>
              <w:t>巡视“回头看”、国家和市级考核反馈问题整改为主线，结合“百日会战”走访排查问题、扶贫项目资金审计反馈问题和各类监督检查发现的问题</w:t>
            </w:r>
            <w:r>
              <w:rPr>
                <w:rFonts w:hint="eastAsia" w:ascii="Times New Roman" w:hAnsi="Times New Roman" w:eastAsia="方正仿宋_GBK"/>
                <w:color w:val="000000" w:themeColor="text1"/>
                <w:spacing w:val="-2"/>
                <w:kern w:val="0"/>
                <w:szCs w:val="21"/>
              </w:rPr>
              <w:t>清零。</w:t>
            </w:r>
          </w:p>
        </w:tc>
      </w:tr>
      <w:tr w14:paraId="6301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986" w:type="dxa"/>
            <w:vAlign w:val="center"/>
          </w:tcPr>
          <w:p w14:paraId="30E6C7C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w:t>
            </w:r>
            <w:r>
              <w:rPr>
                <w:rFonts w:ascii="Times New Roman" w:hAnsi="Times New Roman" w:eastAsia="方正仿宋_GBK"/>
                <w:color w:val="000000" w:themeColor="text1"/>
                <w:spacing w:val="-2"/>
                <w:kern w:val="0"/>
                <w:szCs w:val="21"/>
              </w:rPr>
              <w:t>.开展问题整改</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回头看</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，关注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边缘户</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监测户</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发展，动态消除</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两不愁三保障一达标</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问题，全面完成打赢打好脱贫攻坚战三年行动目标任务，认真开展全县脱贫攻坚普查，顺利通过脱贫摘帽市级评估和国家抽查，实现如期摘帽。</w:t>
            </w:r>
          </w:p>
        </w:tc>
        <w:tc>
          <w:tcPr>
            <w:tcW w:w="850" w:type="dxa"/>
            <w:vAlign w:val="center"/>
          </w:tcPr>
          <w:p w14:paraId="53F54249">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7C37E86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229EEAC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070BD6E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8E9952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对照巡视“回头看”反馈城口帮扶、义务教育、饮水等</w:t>
            </w:r>
            <w:r>
              <w:rPr>
                <w:rFonts w:ascii="Times New Roman" w:hAnsi="Times New Roman" w:eastAsia="方正仿宋_GBK"/>
                <w:color w:val="000000" w:themeColor="text1"/>
                <w:spacing w:val="-2"/>
                <w:kern w:val="0"/>
                <w:szCs w:val="21"/>
              </w:rPr>
              <w:t>4</w:t>
            </w:r>
            <w:r>
              <w:rPr>
                <w:rFonts w:hint="eastAsia" w:ascii="Times New Roman" w:hAnsi="Times New Roman" w:eastAsia="方正仿宋_GBK"/>
                <w:color w:val="000000" w:themeColor="text1"/>
                <w:spacing w:val="-2"/>
                <w:kern w:val="0"/>
                <w:szCs w:val="21"/>
              </w:rPr>
              <w:t>个方面的问题、国家成效考核反馈城口饮水管护、建新拆旧、危房鉴定、集体经济、扶贫资金使用等5个方面的问题，制定了整改方案、举一反三进行了整改落实，截至目前，9个问题中，帮扶、饮水管护、建新拆旧、集体经济等4个项目化问题点已整改完成，其余5个项目化问题点正在整改落实。</w:t>
            </w:r>
          </w:p>
        </w:tc>
        <w:tc>
          <w:tcPr>
            <w:tcW w:w="2576" w:type="dxa"/>
            <w:vAlign w:val="center"/>
          </w:tcPr>
          <w:p w14:paraId="7FBE5A9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55BBE3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做好全县普查前期准备工作。</w:t>
            </w:r>
          </w:p>
        </w:tc>
      </w:tr>
      <w:tr w14:paraId="7011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986" w:type="dxa"/>
            <w:vAlign w:val="center"/>
          </w:tcPr>
          <w:p w14:paraId="16F13F8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w:t>
            </w:r>
            <w:r>
              <w:rPr>
                <w:rFonts w:ascii="Times New Roman" w:hAnsi="Times New Roman" w:eastAsia="方正仿宋_GBK"/>
                <w:color w:val="000000" w:themeColor="text1"/>
                <w:spacing w:val="-2"/>
                <w:kern w:val="0"/>
                <w:szCs w:val="21"/>
              </w:rPr>
              <w:t>.坚持摘帽不摘责任、不摘政策、不摘帮扶、不摘监管，坚持扶贫同扶志扶智相结合、开发式扶贫与保障性扶贫相统筹，出台巩固脱贫防止返贫工作意见，建立扶贫对象动态管理、监测预警和返贫干预机制。</w:t>
            </w:r>
          </w:p>
        </w:tc>
        <w:tc>
          <w:tcPr>
            <w:tcW w:w="850" w:type="dxa"/>
            <w:vAlign w:val="center"/>
          </w:tcPr>
          <w:p w14:paraId="7FDF2AC3">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52AAC0B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2AE7BA6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60690B2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C5B8F9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一是坚持以脱贫攻坚统揽经济社会发展全局，先后召开11次县委常委会、8次县政府常务会和3次领导小组会议，召开2020年脱贫攻坚部署会和“百日会战”动员会，专题研究脱贫攻坚工作。</w:t>
            </w:r>
            <w:r>
              <w:rPr>
                <w:rFonts w:ascii="Times New Roman" w:hAnsi="Times New Roman" w:eastAsia="方正仿宋_GBK"/>
                <w:color w:val="000000" w:themeColor="text1"/>
                <w:spacing w:val="-2"/>
                <w:kern w:val="0"/>
                <w:szCs w:val="21"/>
              </w:rPr>
              <w:t>明确18项具体举措，</w:t>
            </w:r>
            <w:r>
              <w:rPr>
                <w:rFonts w:hint="eastAsia" w:ascii="Times New Roman" w:hAnsi="Times New Roman" w:eastAsia="方正仿宋_GBK"/>
                <w:color w:val="000000" w:themeColor="text1"/>
                <w:spacing w:val="-2"/>
                <w:kern w:val="0"/>
                <w:szCs w:val="21"/>
              </w:rPr>
              <w:t>进一步弥补薄弱环节和短板弱项，确保问题动态清零，推动形成“</w:t>
            </w:r>
            <w:r>
              <w:rPr>
                <w:rFonts w:ascii="Times New Roman" w:hAnsi="Times New Roman" w:eastAsia="方正仿宋_GBK"/>
                <w:color w:val="000000" w:themeColor="text1"/>
                <w:spacing w:val="-2"/>
                <w:kern w:val="0"/>
                <w:szCs w:val="21"/>
              </w:rPr>
              <w:t>开年</w:t>
            </w:r>
            <w:r>
              <w:rPr>
                <w:rFonts w:hint="eastAsia" w:ascii="Times New Roman" w:hAnsi="Times New Roman" w:eastAsia="方正仿宋_GBK"/>
                <w:color w:val="000000" w:themeColor="text1"/>
                <w:spacing w:val="-2"/>
                <w:kern w:val="0"/>
                <w:szCs w:val="21"/>
              </w:rPr>
              <w:t>即决战”</w:t>
            </w:r>
            <w:r>
              <w:rPr>
                <w:rFonts w:ascii="Times New Roman" w:hAnsi="Times New Roman" w:eastAsia="方正仿宋_GBK"/>
                <w:color w:val="000000" w:themeColor="text1"/>
                <w:spacing w:val="-2"/>
                <w:kern w:val="0"/>
                <w:szCs w:val="21"/>
              </w:rPr>
              <w:t>的</w:t>
            </w:r>
            <w:r>
              <w:rPr>
                <w:rFonts w:hint="eastAsia" w:ascii="Times New Roman" w:hAnsi="Times New Roman" w:eastAsia="方正仿宋_GBK"/>
                <w:color w:val="000000" w:themeColor="text1"/>
                <w:spacing w:val="-2"/>
                <w:kern w:val="0"/>
                <w:szCs w:val="21"/>
              </w:rPr>
              <w:t>攻坚态势</w:t>
            </w:r>
            <w:r>
              <w:rPr>
                <w:rFonts w:ascii="Times New Roman" w:hAnsi="Times New Roman" w:eastAsia="方正仿宋_GBK"/>
                <w:color w:val="000000" w:themeColor="text1"/>
                <w:spacing w:val="-2"/>
                <w:kern w:val="0"/>
                <w:szCs w:val="21"/>
              </w:rPr>
              <w:t>。</w:t>
            </w:r>
          </w:p>
          <w:p w14:paraId="26528BB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w:t>
            </w:r>
            <w:r>
              <w:rPr>
                <w:rFonts w:ascii="Times New Roman" w:hAnsi="Times New Roman" w:eastAsia="方正仿宋_GBK"/>
                <w:color w:val="000000" w:themeColor="text1"/>
                <w:spacing w:val="-2"/>
                <w:kern w:val="0"/>
                <w:szCs w:val="21"/>
              </w:rPr>
              <w:t>制定出台</w:t>
            </w:r>
            <w:r>
              <w:rPr>
                <w:rFonts w:hint="eastAsia" w:ascii="Times New Roman" w:hAnsi="Times New Roman" w:eastAsia="方正仿宋_GBK"/>
                <w:color w:val="000000" w:themeColor="text1"/>
                <w:spacing w:val="-2"/>
                <w:kern w:val="0"/>
                <w:szCs w:val="21"/>
              </w:rPr>
              <w:t>2020年</w:t>
            </w:r>
            <w:r>
              <w:rPr>
                <w:rFonts w:ascii="Times New Roman" w:hAnsi="Times New Roman" w:eastAsia="方正仿宋_GBK"/>
                <w:color w:val="000000" w:themeColor="text1"/>
                <w:spacing w:val="-2"/>
                <w:kern w:val="0"/>
                <w:szCs w:val="21"/>
              </w:rPr>
              <w:t>工作要点、巩固拓展脱贫攻坚成</w:t>
            </w:r>
            <w:r>
              <w:rPr>
                <w:rFonts w:hint="eastAsia" w:ascii="Times New Roman" w:hAnsi="Times New Roman" w:eastAsia="方正仿宋_GBK"/>
                <w:color w:val="000000" w:themeColor="text1"/>
                <w:spacing w:val="-2"/>
                <w:kern w:val="0"/>
                <w:szCs w:val="21"/>
              </w:rPr>
              <w:t>果、落实“四个不摘”要求、抓实党建促脱贫、推进基层治理、“百日会战”行动和十大专项扶贫为主要内容的“</w:t>
            </w:r>
            <w:r>
              <w:rPr>
                <w:rFonts w:ascii="Times New Roman" w:hAnsi="Times New Roman" w:eastAsia="方正仿宋_GBK"/>
                <w:color w:val="000000" w:themeColor="text1"/>
                <w:spacing w:val="-2"/>
                <w:kern w:val="0"/>
                <w:szCs w:val="21"/>
              </w:rPr>
              <w:t>6+10+N</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的政</w:t>
            </w:r>
            <w:r>
              <w:rPr>
                <w:rFonts w:hint="eastAsia" w:ascii="Times New Roman" w:hAnsi="Times New Roman" w:eastAsia="方正仿宋_GBK"/>
                <w:color w:val="000000" w:themeColor="text1"/>
                <w:spacing w:val="-2"/>
                <w:kern w:val="0"/>
                <w:szCs w:val="21"/>
              </w:rPr>
              <w:t>策体系，为进一步巩固提升脱贫成果、打赢打好脱贫攻坚战提供了政策保障。同时，各级各部门按照“台账+清单+表格”的方式，制定任务清单，落实责任到人到时间点，推动各项政策落地见效。</w:t>
            </w:r>
          </w:p>
          <w:p w14:paraId="2C5C1F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全县干部全面下沉，正全力以赴推进脱贫攻坚“百日会战”，已完成对所有农户的集中走访排查，建立完善“一户一策”措施清单，推动到户到人政策措施精准落实，确保所有短板问题在4月底、国家抽查前全面解决“清零”。</w:t>
            </w:r>
          </w:p>
        </w:tc>
        <w:tc>
          <w:tcPr>
            <w:tcW w:w="2576" w:type="dxa"/>
            <w:vAlign w:val="center"/>
          </w:tcPr>
          <w:p w14:paraId="1EC8268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FF8954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决落实“四个不摘”要求，咬定目标不放松、压实责任不松劲、巩固成效不漏项、整治问题不手软、转变作风不懈怠，统筹推进疫情防控“阻击战”和脱贫攻坚“收官战”，进一步聚焦“两不愁三保障”，进一步聚焦深度贫困乡村和特殊贫困人口，</w:t>
            </w:r>
            <w:r>
              <w:rPr>
                <w:rFonts w:ascii="Times New Roman" w:hAnsi="Times New Roman" w:eastAsia="方正仿宋_GBK"/>
                <w:color w:val="000000" w:themeColor="text1"/>
                <w:spacing w:val="-2"/>
                <w:kern w:val="0"/>
                <w:szCs w:val="21"/>
              </w:rPr>
              <w:t>实现</w:t>
            </w:r>
            <w:r>
              <w:rPr>
                <w:rFonts w:hint="eastAsia" w:ascii="Times New Roman" w:hAnsi="Times New Roman" w:eastAsia="方正仿宋_GBK"/>
                <w:color w:val="000000" w:themeColor="text1"/>
                <w:spacing w:val="-2"/>
                <w:kern w:val="0"/>
                <w:szCs w:val="21"/>
              </w:rPr>
              <w:t>产业就业创业“三业”齐头并进，全面完成剩余脱贫任务，多措并举巩固脱贫成果，抓好抓实各类问题整改，加快建立完善长效机制，抓好脱贫攻坚总结宣传，扎实开展挂牌督战，</w:t>
            </w:r>
            <w:r>
              <w:rPr>
                <w:rFonts w:ascii="Times New Roman" w:hAnsi="Times New Roman" w:eastAsia="方正仿宋_GBK"/>
                <w:color w:val="000000" w:themeColor="text1"/>
                <w:spacing w:val="-2"/>
                <w:kern w:val="0"/>
                <w:szCs w:val="21"/>
              </w:rPr>
              <w:t>切实</w:t>
            </w:r>
            <w:r>
              <w:rPr>
                <w:rFonts w:hint="eastAsia" w:ascii="Times New Roman" w:hAnsi="Times New Roman" w:eastAsia="方正仿宋_GBK"/>
                <w:color w:val="000000" w:themeColor="text1"/>
                <w:spacing w:val="-2"/>
                <w:kern w:val="0"/>
                <w:szCs w:val="21"/>
              </w:rPr>
              <w:t>推动脱贫攻坚各项工作落细落实，进一步提高攻坚效率和质量。</w:t>
            </w:r>
          </w:p>
        </w:tc>
      </w:tr>
      <w:tr w14:paraId="1AF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F3BCB3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w:t>
            </w:r>
            <w:r>
              <w:rPr>
                <w:rFonts w:ascii="Times New Roman" w:hAnsi="Times New Roman" w:eastAsia="方正仿宋_GBK"/>
                <w:color w:val="000000" w:themeColor="text1"/>
                <w:spacing w:val="-2"/>
                <w:kern w:val="0"/>
                <w:szCs w:val="21"/>
              </w:rPr>
              <w:t>.把产业扶贫和就业扶贫作为主攻方向，探索更加紧密的利益联结机制，</w:t>
            </w:r>
            <w:r>
              <w:rPr>
                <w:rFonts w:hint="eastAsia" w:ascii="Times New Roman" w:hAnsi="Times New Roman" w:eastAsia="方正仿宋_GBK"/>
                <w:color w:val="000000" w:themeColor="text1"/>
                <w:spacing w:val="-2"/>
                <w:kern w:val="0"/>
                <w:szCs w:val="21"/>
              </w:rPr>
              <w:t>推动消费扶贫常态化、机制化，</w:t>
            </w:r>
            <w:r>
              <w:rPr>
                <w:rFonts w:ascii="Times New Roman" w:hAnsi="Times New Roman" w:eastAsia="方正仿宋_GBK"/>
                <w:color w:val="000000" w:themeColor="text1"/>
                <w:spacing w:val="-2"/>
                <w:kern w:val="0"/>
                <w:szCs w:val="21"/>
              </w:rPr>
              <w:t>加大重点人群救助力度，</w:t>
            </w:r>
            <w:r>
              <w:rPr>
                <w:rFonts w:hint="eastAsia" w:ascii="Times New Roman" w:hAnsi="Times New Roman" w:eastAsia="方正仿宋_GBK"/>
                <w:color w:val="000000" w:themeColor="text1"/>
                <w:spacing w:val="-2"/>
                <w:kern w:val="0"/>
                <w:szCs w:val="21"/>
              </w:rPr>
              <w:t>提升脱贫质量</w:t>
            </w:r>
            <w:r>
              <w:rPr>
                <w:rFonts w:ascii="Times New Roman" w:hAnsi="Times New Roman" w:eastAsia="方正仿宋_GBK"/>
                <w:color w:val="000000" w:themeColor="text1"/>
                <w:spacing w:val="-2"/>
                <w:kern w:val="0"/>
                <w:szCs w:val="21"/>
              </w:rPr>
              <w:t>。</w:t>
            </w:r>
          </w:p>
        </w:tc>
        <w:tc>
          <w:tcPr>
            <w:tcW w:w="850" w:type="dxa"/>
            <w:vAlign w:val="center"/>
          </w:tcPr>
          <w:p w14:paraId="0B9713D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3743D1E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26C5322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农业农村委</w:t>
            </w:r>
          </w:p>
          <w:p w14:paraId="7DB84F3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县就业和人才服务局</w:t>
            </w:r>
          </w:p>
        </w:tc>
        <w:tc>
          <w:tcPr>
            <w:tcW w:w="1559" w:type="dxa"/>
            <w:vAlign w:val="center"/>
          </w:tcPr>
          <w:p w14:paraId="32AF171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县民政局、县商务委、</w:t>
            </w:r>
            <w:r>
              <w:rPr>
                <w:rFonts w:ascii="Times New Roman" w:hAnsi="Times New Roman" w:eastAsia="方正仿宋_GBK"/>
                <w:color w:val="000000" w:themeColor="text1"/>
                <w:spacing w:val="-2"/>
                <w:szCs w:val="21"/>
              </w:rPr>
              <w:t>县扶贫办</w:t>
            </w:r>
            <w:r>
              <w:rPr>
                <w:rFonts w:hint="eastAsia" w:ascii="Times New Roman" w:hAnsi="Times New Roman" w:eastAsia="方正仿宋_GBK"/>
                <w:color w:val="000000" w:themeColor="text1"/>
                <w:spacing w:val="-2"/>
                <w:kern w:val="0"/>
                <w:szCs w:val="21"/>
              </w:rPr>
              <w:t>、县林业局等</w:t>
            </w:r>
          </w:p>
          <w:p w14:paraId="7EEF5BB8">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F0DF0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农业产业扶贫巩固提升行动方案》，目前乡镇入库项目财政投入7000余万元，到户产业发展8340.1万元；出台了《城口县农民合作社规范提升行动方案》《城口县家庭农场规范发展行动方案》，印发了《农业企业、农民合作社和家庭农场带贫奖励等8个配套实施细则》，将市场主体带贫减贫效益与获得财政奖补直接挂钩，确保在家有能力有意愿的贫困户与新型农业经营主体、村级集体经济组织、产业扶贫基地等都有利益联结，每个贫困村都有村级集体经济组织带动。</w:t>
            </w:r>
          </w:p>
        </w:tc>
        <w:tc>
          <w:tcPr>
            <w:tcW w:w="2576" w:type="dxa"/>
            <w:vAlign w:val="center"/>
          </w:tcPr>
          <w:p w14:paraId="50E1498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村集体经济组织带贫益贫能力有待提高。</w:t>
            </w:r>
          </w:p>
        </w:tc>
        <w:tc>
          <w:tcPr>
            <w:tcW w:w="3827" w:type="dxa"/>
            <w:vAlign w:val="center"/>
          </w:tcPr>
          <w:p w14:paraId="173A377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持续巩固产业扶贫成效，进一步规范完善利益联结机制。</w:t>
            </w:r>
          </w:p>
        </w:tc>
      </w:tr>
      <w:tr w14:paraId="19D8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986" w:type="dxa"/>
            <w:vAlign w:val="center"/>
          </w:tcPr>
          <w:p w14:paraId="41F5C01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13</w:t>
            </w:r>
            <w:r>
              <w:rPr>
                <w:rFonts w:ascii="Times New Roman" w:hAnsi="Times New Roman" w:eastAsia="方正仿宋_GBK"/>
                <w:color w:val="000000" w:themeColor="text1"/>
                <w:spacing w:val="-2"/>
                <w:kern w:val="0"/>
                <w:szCs w:val="21"/>
              </w:rPr>
              <w:t>.深入推进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七大攻坚行动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和贫困村提升工程，增强深度贫困乡、贫困村和贫困户的自我发展能力，以高质量、高标准迎接国家脱贫攻坚大普查，确保同全国全市一道全面建成小康社会。</w:t>
            </w:r>
          </w:p>
        </w:tc>
        <w:tc>
          <w:tcPr>
            <w:tcW w:w="850" w:type="dxa"/>
            <w:vAlign w:val="center"/>
          </w:tcPr>
          <w:p w14:paraId="4AD94E42">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7612489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7DCC160F">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5CD895C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B088C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一是将深度贫困村纳入挂牌督战重点开展督战。二是焦深度贫困乡村和特殊贫困人口，</w:t>
            </w:r>
            <w:r>
              <w:rPr>
                <w:rFonts w:ascii="Times New Roman" w:hAnsi="Times New Roman" w:eastAsia="方正仿宋_GBK"/>
                <w:color w:val="000000" w:themeColor="text1"/>
                <w:spacing w:val="-2"/>
                <w:kern w:val="0"/>
                <w:szCs w:val="21"/>
              </w:rPr>
              <w:t>实现</w:t>
            </w:r>
            <w:r>
              <w:rPr>
                <w:rFonts w:hint="eastAsia" w:ascii="Times New Roman" w:hAnsi="Times New Roman" w:eastAsia="方正仿宋_GBK"/>
                <w:color w:val="000000" w:themeColor="text1"/>
                <w:spacing w:val="-2"/>
                <w:kern w:val="0"/>
                <w:szCs w:val="21"/>
              </w:rPr>
              <w:t>产业就业创业“三业”齐头并进，全面完成剩余脱贫任务。</w:t>
            </w:r>
          </w:p>
        </w:tc>
        <w:tc>
          <w:tcPr>
            <w:tcW w:w="2576" w:type="dxa"/>
            <w:vAlign w:val="center"/>
          </w:tcPr>
          <w:p w14:paraId="15DF824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8042DE2">
            <w:pPr>
              <w:widowControl/>
              <w:spacing w:line="240" w:lineRule="exact"/>
              <w:jc w:val="left"/>
              <w:rPr>
                <w:rFonts w:ascii="Times New Roman" w:hAnsi="Times New Roman" w:eastAsia="方正仿宋_GBK"/>
                <w:color w:val="000000" w:themeColor="text1"/>
                <w:spacing w:val="-2"/>
                <w:kern w:val="0"/>
                <w:szCs w:val="21"/>
              </w:rPr>
            </w:pPr>
          </w:p>
        </w:tc>
      </w:tr>
      <w:tr w14:paraId="5050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986" w:type="dxa"/>
            <w:vAlign w:val="center"/>
          </w:tcPr>
          <w:p w14:paraId="07B0F71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14</w:t>
            </w:r>
            <w:r>
              <w:rPr>
                <w:rFonts w:ascii="Times New Roman" w:hAnsi="Times New Roman" w:eastAsia="方正仿宋_GBK"/>
                <w:color w:val="000000" w:themeColor="text1"/>
                <w:spacing w:val="-2"/>
                <w:kern w:val="0"/>
                <w:szCs w:val="21"/>
              </w:rPr>
              <w:t>.编制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十四五</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巩固脱贫成果规划，推动脱贫攻坚与乡村振兴、城乡发展深度融合，探索建立城乡一体化扶贫机制。</w:t>
            </w:r>
          </w:p>
        </w:tc>
        <w:tc>
          <w:tcPr>
            <w:tcW w:w="850" w:type="dxa"/>
            <w:vAlign w:val="center"/>
          </w:tcPr>
          <w:p w14:paraId="167FB39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2CF97152">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17DCA8F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县发展改革委、县住房城乡建委、县农业农村委等</w:t>
            </w:r>
          </w:p>
        </w:tc>
        <w:tc>
          <w:tcPr>
            <w:tcW w:w="4111" w:type="dxa"/>
            <w:vAlign w:val="center"/>
          </w:tcPr>
          <w:p w14:paraId="0F4D4F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目前正在筹备，待市级相关文件和要求下发后，我县对标对表进行规划。</w:t>
            </w:r>
          </w:p>
        </w:tc>
        <w:tc>
          <w:tcPr>
            <w:tcW w:w="2576" w:type="dxa"/>
            <w:vAlign w:val="center"/>
          </w:tcPr>
          <w:p w14:paraId="43D1730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EA77696">
            <w:pPr>
              <w:widowControl/>
              <w:spacing w:line="240" w:lineRule="exact"/>
              <w:jc w:val="left"/>
              <w:rPr>
                <w:rFonts w:ascii="Times New Roman" w:hAnsi="Times New Roman" w:eastAsia="方正仿宋_GBK"/>
                <w:color w:val="000000" w:themeColor="text1"/>
                <w:spacing w:val="-2"/>
                <w:kern w:val="0"/>
                <w:szCs w:val="21"/>
              </w:rPr>
            </w:pPr>
          </w:p>
        </w:tc>
      </w:tr>
      <w:tr w14:paraId="42BC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86" w:type="dxa"/>
            <w:vAlign w:val="center"/>
          </w:tcPr>
          <w:p w14:paraId="72B996C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w:t>
            </w:r>
            <w:r>
              <w:rPr>
                <w:rFonts w:ascii="Times New Roman" w:hAnsi="Times New Roman" w:eastAsia="方正仿宋_GBK"/>
                <w:color w:val="000000" w:themeColor="text1"/>
                <w:spacing w:val="-2"/>
                <w:kern w:val="0"/>
                <w:szCs w:val="21"/>
              </w:rPr>
              <w:t>研究解决相对贫困问题，探索建立解决相对贫困长效机制。</w:t>
            </w:r>
          </w:p>
        </w:tc>
        <w:tc>
          <w:tcPr>
            <w:tcW w:w="850" w:type="dxa"/>
            <w:vAlign w:val="center"/>
          </w:tcPr>
          <w:p w14:paraId="0E387E0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3EF5159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7B03C448">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B6026A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针对相对贫困问题，通过大排查全面摸排了对边缘户和监测户，“一户一策”因户施策。二是针对我县贫困人口和相对贫困人口大病残疾比重较大的问题，全县印发了《关于建立大病户和残疾户精准帮扶机制的通知》建立了保障机制。</w:t>
            </w:r>
          </w:p>
        </w:tc>
        <w:tc>
          <w:tcPr>
            <w:tcW w:w="2576" w:type="dxa"/>
            <w:vAlign w:val="center"/>
          </w:tcPr>
          <w:p w14:paraId="78842ED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F89DAA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常态化对相对贫困人口进行监测，防止致贫返贫。</w:t>
            </w:r>
          </w:p>
        </w:tc>
      </w:tr>
      <w:tr w14:paraId="3D90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986" w:type="dxa"/>
            <w:vAlign w:val="center"/>
          </w:tcPr>
          <w:p w14:paraId="131A51A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w:t>
            </w:r>
            <w:r>
              <w:rPr>
                <w:rFonts w:ascii="Times New Roman" w:hAnsi="Times New Roman" w:eastAsia="方正仿宋_GBK"/>
                <w:color w:val="000000" w:themeColor="text1"/>
                <w:spacing w:val="-2"/>
                <w:kern w:val="0"/>
                <w:szCs w:val="21"/>
              </w:rPr>
              <w:t>.优化农村生产生活生态空间，加大易地扶贫搬迁后续扶持。</w:t>
            </w:r>
          </w:p>
        </w:tc>
        <w:tc>
          <w:tcPr>
            <w:tcW w:w="850" w:type="dxa"/>
            <w:vAlign w:val="center"/>
          </w:tcPr>
          <w:p w14:paraId="489E9DA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30162C5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tc>
        <w:tc>
          <w:tcPr>
            <w:tcW w:w="1559" w:type="dxa"/>
            <w:vAlign w:val="center"/>
          </w:tcPr>
          <w:p w14:paraId="5DBF7C1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C01403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印发了《城口县易地扶贫搬迁后续扶持 2020年专项行动方案》。明确了工作目标、重点任务和保障措施；召开了后续扶持推进会（电视电话），对政策作了进一步解读，为加快推进后扶工作，制定了挂牌督战方案，成立5个督战工作组，分片区开展督导工作。目前各乡镇街道正在建立基础信息台账、制定一户一策后续扶持措施。统筹解决搬迁群众“两不愁三保障”突出问题、搬迁后续产业、搬迁群众就业等问题，有序推动我县易地扶贫搬迁向后续扶持转移。</w:t>
            </w:r>
          </w:p>
        </w:tc>
        <w:tc>
          <w:tcPr>
            <w:tcW w:w="2576" w:type="dxa"/>
          </w:tcPr>
          <w:p w14:paraId="6A421CB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部分集中安置点基础设施建设项目5月底无法完工。二是产业发展受新冠病毒疫情影响。三是安置房不动产权登记证办理存在卡点。四是调出搬迁计划对象存在矛盾。五是建新拆旧存在一些问题亟待解决。六是整改工作有所懈怠。七是部分搬迁对象有脱贫、返贫风险。</w:t>
            </w:r>
          </w:p>
        </w:tc>
        <w:tc>
          <w:tcPr>
            <w:tcW w:w="3827" w:type="dxa"/>
          </w:tcPr>
          <w:p w14:paraId="4E4C3D4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调度，确保项目如期完工。二是综合研判，降低疫情对产业发展的影响。三是突破局限，分类办理安置住房不动产权登记证。四是抓好平衡，化解调出计划群体矛盾风险。五是分类施策，强力推进建新拆旧和收储复垦。六是高度重视，切实巩固超面积、大额负债整改成效。七是重点关注，避免易地扶贫搬迁户脱贫、返贫风险。</w:t>
            </w:r>
          </w:p>
        </w:tc>
      </w:tr>
      <w:tr w14:paraId="4A24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5C4B54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w:t>
            </w:r>
            <w:r>
              <w:rPr>
                <w:rFonts w:ascii="Times New Roman" w:hAnsi="Times New Roman" w:eastAsia="方正仿宋_GBK"/>
                <w:color w:val="000000" w:themeColor="text1"/>
                <w:spacing w:val="-2"/>
                <w:kern w:val="0"/>
                <w:szCs w:val="21"/>
              </w:rPr>
              <w:t>.加大农村公共基础设施投入，创新公共服务提供方式，实现农村教育、医疗、社会保障等基本公共服务均等化。</w:t>
            </w:r>
          </w:p>
        </w:tc>
        <w:tc>
          <w:tcPr>
            <w:tcW w:w="850" w:type="dxa"/>
            <w:vAlign w:val="center"/>
          </w:tcPr>
          <w:p w14:paraId="399CF15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p w14:paraId="286CAF6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张国进</w:t>
            </w:r>
          </w:p>
        </w:tc>
        <w:tc>
          <w:tcPr>
            <w:tcW w:w="1134" w:type="dxa"/>
            <w:vAlign w:val="center"/>
          </w:tcPr>
          <w:p w14:paraId="64E4FA5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5F5343A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7C7CFC1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县扶贫办</w:t>
            </w:r>
          </w:p>
        </w:tc>
        <w:tc>
          <w:tcPr>
            <w:tcW w:w="1559" w:type="dxa"/>
            <w:vAlign w:val="center"/>
          </w:tcPr>
          <w:p w14:paraId="1020AEE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县发展改革委、县经济信息委、县住房城乡建委、县交通局、县水利局、县教委、县人力社保局、县卫生健康委等</w:t>
            </w:r>
          </w:p>
        </w:tc>
        <w:tc>
          <w:tcPr>
            <w:tcW w:w="4111" w:type="dxa"/>
            <w:vAlign w:val="center"/>
          </w:tcPr>
          <w:p w14:paraId="3511D0D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文化方面：为提升农村公共服务文化水平，安排文化站免费开放资金100万元，中央广播电视无线覆盖资金38万元。</w:t>
            </w:r>
          </w:p>
          <w:p w14:paraId="639D738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教育方面：安排农村学校学前教育、义务教育基础设施建设资金2118万元，义务教育薄弱学校改造资金1737万元。</w:t>
            </w:r>
          </w:p>
          <w:p w14:paraId="44005AA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医疗卫生方面：年初部门预算安排资金8892万元保障全县医疗卫生机构正常运行和能力提升。</w:t>
            </w:r>
          </w:p>
          <w:p w14:paraId="3D9DB9D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社会保障方面：年初安排资金7154万元保障困难群体的基本待遇和机构运行，安排资金217万元，及时实施今年1、2月困难群众物价临时补贴。</w:t>
            </w:r>
          </w:p>
        </w:tc>
        <w:tc>
          <w:tcPr>
            <w:tcW w:w="2576" w:type="dxa"/>
            <w:vAlign w:val="center"/>
          </w:tcPr>
          <w:p w14:paraId="4D63626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资金投入有限难以保证农村公共基础设施建设需求。</w:t>
            </w:r>
          </w:p>
        </w:tc>
        <w:tc>
          <w:tcPr>
            <w:tcW w:w="3827" w:type="dxa"/>
            <w:vAlign w:val="center"/>
          </w:tcPr>
          <w:p w14:paraId="1502FE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加大农村基础设施经费投入和资金统筹，资金向农村公共服务倾斜，补短板、强弱项，持续推进全县基本公共服务均等化。</w:t>
            </w:r>
          </w:p>
        </w:tc>
      </w:tr>
      <w:tr w14:paraId="3816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986" w:type="dxa"/>
            <w:vAlign w:val="center"/>
          </w:tcPr>
          <w:p w14:paraId="6836EC6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18</w:t>
            </w:r>
            <w:r>
              <w:rPr>
                <w:rFonts w:ascii="Times New Roman" w:hAnsi="Times New Roman" w:eastAsia="方正仿宋_GBK"/>
                <w:color w:val="000000" w:themeColor="text1"/>
                <w:spacing w:val="-2"/>
                <w:kern w:val="0"/>
                <w:szCs w:val="21"/>
              </w:rPr>
              <w:t>.鼓励社会组织和专业社会工作者广泛参与贫困治理，兴办公益事业，满足人民</w:t>
            </w:r>
            <w:r>
              <w:rPr>
                <w:rFonts w:hint="eastAsia" w:ascii="Times New Roman" w:hAnsi="Times New Roman" w:eastAsia="方正仿宋_GBK"/>
                <w:color w:val="000000" w:themeColor="text1"/>
                <w:spacing w:val="-2"/>
                <w:kern w:val="0"/>
                <w:szCs w:val="21"/>
              </w:rPr>
              <w:t>群众</w:t>
            </w:r>
            <w:r>
              <w:rPr>
                <w:rFonts w:ascii="Times New Roman" w:hAnsi="Times New Roman" w:eastAsia="方正仿宋_GBK"/>
                <w:color w:val="000000" w:themeColor="text1"/>
                <w:spacing w:val="-2"/>
                <w:kern w:val="0"/>
                <w:szCs w:val="21"/>
              </w:rPr>
              <w:t>多层次多样化需求。</w:t>
            </w:r>
          </w:p>
        </w:tc>
        <w:tc>
          <w:tcPr>
            <w:tcW w:w="850" w:type="dxa"/>
            <w:vAlign w:val="center"/>
          </w:tcPr>
          <w:p w14:paraId="3A868F3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2F10675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县民政局</w:t>
            </w:r>
          </w:p>
        </w:tc>
        <w:tc>
          <w:tcPr>
            <w:tcW w:w="1559" w:type="dxa"/>
            <w:vAlign w:val="center"/>
          </w:tcPr>
          <w:p w14:paraId="435E5E0D">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5E492FA">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争取社会工作服务市级财政补助资金95万元，用于我县社会工作服务项目，助力脱贫攻坚</w:t>
            </w:r>
            <w:r>
              <w:rPr>
                <w:rFonts w:hint="eastAsia" w:ascii="Times New Roman" w:hAnsi="Times New Roman" w:eastAsia="方正仿宋_GBK"/>
                <w:color w:val="000000" w:themeColor="text1"/>
                <w:spacing w:val="-2"/>
                <w:kern w:val="0"/>
                <w:szCs w:val="21"/>
              </w:rPr>
              <w:t>。</w:t>
            </w:r>
          </w:p>
        </w:tc>
        <w:tc>
          <w:tcPr>
            <w:tcW w:w="2576" w:type="dxa"/>
            <w:vAlign w:val="center"/>
          </w:tcPr>
          <w:p w14:paraId="7605B0BF">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按照市民政局相关工作要求，个别项目需调整实施地点</w:t>
            </w:r>
            <w:r>
              <w:rPr>
                <w:rFonts w:hint="eastAsia" w:ascii="Times New Roman" w:hAnsi="Times New Roman" w:eastAsia="方正仿宋_GBK"/>
                <w:color w:val="000000" w:themeColor="text1"/>
                <w:spacing w:val="-2"/>
                <w:kern w:val="0"/>
                <w:szCs w:val="21"/>
              </w:rPr>
              <w:t>。</w:t>
            </w:r>
          </w:p>
        </w:tc>
        <w:tc>
          <w:tcPr>
            <w:tcW w:w="3827" w:type="dxa"/>
            <w:vAlign w:val="center"/>
          </w:tcPr>
          <w:p w14:paraId="643F82EC">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尽快落实项目的实施，加快资金拨付进度</w:t>
            </w:r>
            <w:r>
              <w:rPr>
                <w:rFonts w:hint="eastAsia" w:ascii="Times New Roman" w:hAnsi="Times New Roman" w:eastAsia="方正仿宋_GBK"/>
                <w:color w:val="000000" w:themeColor="text1"/>
                <w:spacing w:val="-2"/>
                <w:kern w:val="0"/>
                <w:szCs w:val="21"/>
              </w:rPr>
              <w:t>。</w:t>
            </w:r>
          </w:p>
          <w:p w14:paraId="0F16D7E9">
            <w:pPr>
              <w:widowControl/>
              <w:spacing w:line="240" w:lineRule="exact"/>
              <w:jc w:val="left"/>
              <w:rPr>
                <w:rFonts w:ascii="Times New Roman" w:hAnsi="Times New Roman" w:eastAsia="方正仿宋_GBK"/>
                <w:color w:val="000000" w:themeColor="text1"/>
                <w:spacing w:val="-2"/>
                <w:kern w:val="0"/>
                <w:szCs w:val="21"/>
              </w:rPr>
            </w:pPr>
          </w:p>
        </w:tc>
      </w:tr>
      <w:tr w14:paraId="5746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986" w:type="dxa"/>
            <w:vAlign w:val="center"/>
          </w:tcPr>
          <w:p w14:paraId="5CC2A496">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9</w:t>
            </w:r>
            <w:r>
              <w:rPr>
                <w:rFonts w:ascii="Times New Roman" w:hAnsi="Times New Roman" w:eastAsia="方正仿宋_GBK"/>
                <w:color w:val="000000" w:themeColor="text1"/>
                <w:spacing w:val="-2"/>
                <w:kern w:val="0"/>
                <w:szCs w:val="21"/>
              </w:rPr>
              <w:t>.建立干预代际贫困传递的阻断性机制，提升贫困家庭人力资本，创造基础条件让贫困群体自立自强。</w:t>
            </w:r>
          </w:p>
        </w:tc>
        <w:tc>
          <w:tcPr>
            <w:tcW w:w="850" w:type="dxa"/>
            <w:vAlign w:val="center"/>
          </w:tcPr>
          <w:p w14:paraId="598270C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伍咏梅</w:t>
            </w:r>
          </w:p>
        </w:tc>
        <w:tc>
          <w:tcPr>
            <w:tcW w:w="1134" w:type="dxa"/>
            <w:vAlign w:val="center"/>
          </w:tcPr>
          <w:p w14:paraId="5B91B006">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教委</w:t>
            </w:r>
          </w:p>
        </w:tc>
        <w:tc>
          <w:tcPr>
            <w:tcW w:w="1559" w:type="dxa"/>
            <w:vAlign w:val="center"/>
          </w:tcPr>
          <w:p w14:paraId="4CAB97C1">
            <w:pPr>
              <w:widowControl/>
              <w:spacing w:line="240" w:lineRule="exact"/>
              <w:jc w:val="center"/>
              <w:rPr>
                <w:rFonts w:ascii="Times New Roman" w:hAnsi="Times New Roman" w:eastAsia="方正仿宋_GBK"/>
                <w:b/>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人力社保局等</w:t>
            </w:r>
          </w:p>
        </w:tc>
        <w:tc>
          <w:tcPr>
            <w:tcW w:w="4111" w:type="dxa"/>
            <w:vAlign w:val="center"/>
          </w:tcPr>
          <w:p w14:paraId="6A92E2F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一是印发《2020年全县教育工作要点》。</w:t>
            </w:r>
          </w:p>
          <w:p w14:paraId="385EE15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通过微信公众号、微博等多渠道推送涉及教育资助政策、疫情防控知识、师生心理健康等相关信息200余篇。开设覆盖全县师生、家长的在线课堂，常态化举行心理健康线上培训，截至4月3日，推送开展培训17场。从2月10日起，全县中小学全面开展网络教学，线上教学覆盖学生3.5万人，累计上网课10万余节。将2020年春季学期教材送到学生手上。积极联系三大网络营运商，为253户解决无终端、无网络问题。已为我县1名新冠肺炎患者家庭大学生实施1000元临时生活费资助。提前下达、拨付各学段各类贫困学生资助资金1192.73万元。预安排营养改善计划资金1753.57万元。开展全覆盖教师家访2轮，走访学生3.5万人次。对全县38所中小学和6所独立幼儿园的“大排查大走访、落实消费扶贫、控辍保学精准摸排、疫情防控等工作推进情况进行全面督查。启动明通片区教育扶贫挂牌督战行动。</w:t>
            </w:r>
          </w:p>
        </w:tc>
        <w:tc>
          <w:tcPr>
            <w:tcW w:w="2576" w:type="dxa"/>
            <w:vAlign w:val="center"/>
          </w:tcPr>
          <w:p w14:paraId="790C3F6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脱贫成果巩固难度加大。控辍难度增大。推迟开学，对学生收心、入学巩固造成了一定影响，有极少数学生外出现象。特殊群体送教滞后。由于避免面对面接触，对特殊群体上门关爱、送教上门不能开展。二是贫困学生资助兑现滞后。按照资助年初工作目标，贫困家庭学生资助将在3月底兑现落实到位，但随着疫情发生，家长申请、学校比对公示、政府审核把关等环节都相对滞后，县教委虽已预拨贫困家庭学生资金，目前仍未兑现。</w:t>
            </w:r>
          </w:p>
        </w:tc>
        <w:tc>
          <w:tcPr>
            <w:tcW w:w="3827" w:type="dxa"/>
            <w:vAlign w:val="center"/>
          </w:tcPr>
          <w:p w14:paraId="71FB9D6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夯实控辍机制，巩固控辍成果。健全体制机制。制定印发《关于做好疫情期间及2020年春季开学后控辍保学工作的通知》等文件，建立辍学风险台账，启动辍学应急预案。加大送教力度。按照送教“一生一案”立即补送，确保每学年送教不少于80学时。二是精准兑现资助，突出脱贫成效。加强政策指导。加强过程监督。开展“回头看”，正式开学一周内将贫困家庭学生资助资金兑现落实到位。加强教育引导。教育引导贫困家庭学生、家长知恩、懂恩。</w:t>
            </w:r>
          </w:p>
        </w:tc>
      </w:tr>
      <w:tr w14:paraId="54B6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043" w:type="dxa"/>
            <w:gridSpan w:val="7"/>
            <w:vAlign w:val="center"/>
          </w:tcPr>
          <w:p w14:paraId="1E6852FA">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b/>
                <w:color w:val="000000" w:themeColor="text1"/>
                <w:spacing w:val="-2"/>
                <w:kern w:val="0"/>
                <w:szCs w:val="21"/>
              </w:rPr>
              <w:t>（二）加快推进以交通为主的基础设施建设，加速补上经济社会发展短板。</w:t>
            </w:r>
          </w:p>
        </w:tc>
      </w:tr>
      <w:tr w14:paraId="7EEF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986" w:type="dxa"/>
            <w:vAlign w:val="center"/>
          </w:tcPr>
          <w:p w14:paraId="4E329D1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20</w:t>
            </w:r>
            <w:r>
              <w:rPr>
                <w:rFonts w:ascii="Times New Roman" w:hAnsi="Times New Roman" w:eastAsia="方正仿宋_GBK"/>
                <w:bCs/>
                <w:color w:val="000000" w:themeColor="text1"/>
                <w:spacing w:val="-2"/>
                <w:kern w:val="0"/>
                <w:szCs w:val="21"/>
              </w:rPr>
              <w:t>.加快推进G69银百高速城开段建设，</w:t>
            </w:r>
            <w:r>
              <w:rPr>
                <w:rFonts w:hint="eastAsia" w:ascii="Times New Roman" w:hAnsi="Times New Roman" w:eastAsia="方正仿宋_GBK"/>
                <w:bCs/>
                <w:color w:val="000000" w:themeColor="text1"/>
                <w:spacing w:val="-2"/>
                <w:kern w:val="0"/>
                <w:szCs w:val="21"/>
              </w:rPr>
              <w:t>全力</w:t>
            </w:r>
            <w:r>
              <w:rPr>
                <w:rFonts w:ascii="Times New Roman" w:hAnsi="Times New Roman" w:eastAsia="方正仿宋_GBK"/>
                <w:bCs/>
                <w:color w:val="000000" w:themeColor="text1"/>
                <w:spacing w:val="-2"/>
                <w:kern w:val="0"/>
                <w:szCs w:val="21"/>
              </w:rPr>
              <w:t>争取渝西高铁开工建设，做好城口至巫溪、城口至万源、城口至宣汉等高速公路、安张铁路等重大交通项目的前期及争取工作。</w:t>
            </w:r>
          </w:p>
        </w:tc>
        <w:tc>
          <w:tcPr>
            <w:tcW w:w="850" w:type="dxa"/>
            <w:vAlign w:val="center"/>
          </w:tcPr>
          <w:p w14:paraId="127364F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tc>
        <w:tc>
          <w:tcPr>
            <w:tcW w:w="1134" w:type="dxa"/>
            <w:vAlign w:val="center"/>
          </w:tcPr>
          <w:p w14:paraId="68CF04B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tc>
        <w:tc>
          <w:tcPr>
            <w:tcW w:w="1559" w:type="dxa"/>
            <w:vAlign w:val="center"/>
          </w:tcPr>
          <w:p w14:paraId="6E8BB04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县发展改革委</w:t>
            </w:r>
          </w:p>
          <w:p w14:paraId="53BCA7B3">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600634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高速公路方面。G69银百高速公路（城口段）A1</w:t>
            </w:r>
            <w:r>
              <w:rPr>
                <w:rFonts w:ascii="Times New Roman" w:hAnsi="Times New Roman" w:eastAsia="方正仿宋_GBK"/>
                <w:color w:val="000000" w:themeColor="text1"/>
                <w:spacing w:val="-2"/>
                <w:kern w:val="0"/>
                <w:szCs w:val="21"/>
              </w:rPr>
              <w:t>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县城至北屏段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正在</w:t>
            </w:r>
            <w:r>
              <w:rPr>
                <w:rFonts w:hint="eastAsia" w:ascii="Times New Roman" w:hAnsi="Times New Roman" w:eastAsia="方正仿宋_GBK"/>
                <w:color w:val="000000" w:themeColor="text1"/>
                <w:spacing w:val="-2"/>
                <w:kern w:val="0"/>
                <w:szCs w:val="21"/>
              </w:rPr>
              <w:t>开展招投标前期准备工作，其余标段正在全力推进建设，预计2022年县城通高速。</w:t>
            </w:r>
            <w:r>
              <w:rPr>
                <w:rFonts w:ascii="Times New Roman" w:hAnsi="Times New Roman" w:eastAsia="方正仿宋_GBK"/>
                <w:color w:val="000000" w:themeColor="text1"/>
                <w:spacing w:val="-2"/>
                <w:kern w:val="0"/>
                <w:szCs w:val="21"/>
              </w:rPr>
              <w:t>截至目前，A2合同段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城口隧道已掘进</w:t>
            </w:r>
            <w:r>
              <w:rPr>
                <w:rFonts w:hint="eastAsia" w:ascii="Times New Roman" w:hAnsi="Times New Roman" w:eastAsia="方正仿宋_GBK"/>
                <w:color w:val="000000" w:themeColor="text1"/>
                <w:spacing w:val="-2"/>
                <w:kern w:val="0"/>
                <w:szCs w:val="21"/>
              </w:rPr>
              <w:t>1476</w:t>
            </w:r>
            <w:r>
              <w:rPr>
                <w:rFonts w:ascii="Times New Roman" w:hAnsi="Times New Roman" w:eastAsia="方正仿宋_GBK"/>
                <w:color w:val="000000" w:themeColor="text1"/>
                <w:spacing w:val="-2"/>
                <w:kern w:val="0"/>
                <w:szCs w:val="21"/>
              </w:rPr>
              <w:t>米</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尖东山隧道已掘进</w:t>
            </w:r>
            <w:r>
              <w:rPr>
                <w:rFonts w:hint="eastAsia" w:ascii="Times New Roman" w:hAnsi="Times New Roman" w:eastAsia="方正仿宋_GBK"/>
                <w:color w:val="000000" w:themeColor="text1"/>
                <w:spacing w:val="-2"/>
                <w:kern w:val="0"/>
                <w:szCs w:val="21"/>
              </w:rPr>
              <w:t>4789</w:t>
            </w:r>
            <w:r>
              <w:rPr>
                <w:rFonts w:ascii="Times New Roman" w:hAnsi="Times New Roman" w:eastAsia="方正仿宋_GBK"/>
                <w:color w:val="000000" w:themeColor="text1"/>
                <w:spacing w:val="-2"/>
                <w:kern w:val="0"/>
                <w:szCs w:val="21"/>
              </w:rPr>
              <w:t>米。A3合同段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旗杆山隧道已掘进</w:t>
            </w:r>
            <w:r>
              <w:rPr>
                <w:rFonts w:hint="eastAsia" w:ascii="Times New Roman" w:hAnsi="Times New Roman" w:eastAsia="方正仿宋_GBK"/>
                <w:color w:val="000000" w:themeColor="text1"/>
                <w:spacing w:val="-2"/>
                <w:kern w:val="0"/>
                <w:szCs w:val="21"/>
              </w:rPr>
              <w:t>7135</w:t>
            </w:r>
            <w:r>
              <w:rPr>
                <w:rFonts w:ascii="Times New Roman" w:hAnsi="Times New Roman" w:eastAsia="方正仿宋_GBK"/>
                <w:color w:val="000000" w:themeColor="text1"/>
                <w:spacing w:val="-2"/>
                <w:kern w:val="0"/>
                <w:szCs w:val="21"/>
              </w:rPr>
              <w:t>米。B1合同段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蓼子隧道已掘进</w:t>
            </w:r>
            <w:r>
              <w:rPr>
                <w:rFonts w:hint="eastAsia" w:ascii="Times New Roman" w:hAnsi="Times New Roman" w:eastAsia="方正仿宋_GBK"/>
                <w:color w:val="000000" w:themeColor="text1"/>
                <w:spacing w:val="-2"/>
                <w:kern w:val="0"/>
                <w:szCs w:val="21"/>
              </w:rPr>
              <w:t>767</w:t>
            </w:r>
            <w:r>
              <w:rPr>
                <w:rFonts w:ascii="Times New Roman" w:hAnsi="Times New Roman" w:eastAsia="方正仿宋_GBK"/>
                <w:color w:val="000000" w:themeColor="text1"/>
                <w:spacing w:val="-2"/>
                <w:kern w:val="0"/>
                <w:szCs w:val="21"/>
              </w:rPr>
              <w:t>米</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鸡鸣隧道已掘进</w:t>
            </w:r>
            <w:r>
              <w:rPr>
                <w:rFonts w:hint="eastAsia" w:ascii="Times New Roman" w:hAnsi="Times New Roman" w:eastAsia="方正仿宋_GBK"/>
                <w:color w:val="000000" w:themeColor="text1"/>
                <w:spacing w:val="-2"/>
                <w:kern w:val="0"/>
                <w:szCs w:val="21"/>
              </w:rPr>
              <w:t>3829</w:t>
            </w:r>
            <w:r>
              <w:rPr>
                <w:rFonts w:ascii="Times New Roman" w:hAnsi="Times New Roman" w:eastAsia="方正仿宋_GBK"/>
                <w:color w:val="000000" w:themeColor="text1"/>
                <w:spacing w:val="-2"/>
                <w:kern w:val="0"/>
                <w:szCs w:val="21"/>
              </w:rPr>
              <w:t>米。B2合同段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城开隧道已掘进</w:t>
            </w:r>
            <w:r>
              <w:rPr>
                <w:rFonts w:hint="eastAsia" w:ascii="Times New Roman" w:hAnsi="Times New Roman" w:eastAsia="方正仿宋_GBK"/>
                <w:color w:val="000000" w:themeColor="text1"/>
                <w:spacing w:val="-2"/>
                <w:kern w:val="0"/>
                <w:szCs w:val="21"/>
              </w:rPr>
              <w:t>11722.5</w:t>
            </w:r>
            <w:r>
              <w:rPr>
                <w:rFonts w:ascii="Times New Roman" w:hAnsi="Times New Roman" w:eastAsia="方正仿宋_GBK"/>
                <w:color w:val="000000" w:themeColor="text1"/>
                <w:spacing w:val="-2"/>
                <w:kern w:val="0"/>
                <w:szCs w:val="21"/>
              </w:rPr>
              <w:t>米，其中城口端</w:t>
            </w:r>
            <w:r>
              <w:rPr>
                <w:rFonts w:hint="eastAsia" w:ascii="Times New Roman" w:hAnsi="Times New Roman" w:eastAsia="方正仿宋_GBK"/>
                <w:color w:val="000000" w:themeColor="text1"/>
                <w:spacing w:val="-2"/>
                <w:kern w:val="0"/>
                <w:szCs w:val="21"/>
              </w:rPr>
              <w:t>已</w:t>
            </w:r>
            <w:r>
              <w:rPr>
                <w:rFonts w:ascii="Times New Roman" w:hAnsi="Times New Roman" w:eastAsia="方正仿宋_GBK"/>
                <w:color w:val="000000" w:themeColor="text1"/>
                <w:spacing w:val="-2"/>
                <w:kern w:val="0"/>
                <w:szCs w:val="21"/>
              </w:rPr>
              <w:t>掘进</w:t>
            </w:r>
            <w:r>
              <w:rPr>
                <w:rFonts w:hint="eastAsia" w:ascii="Times New Roman" w:hAnsi="Times New Roman" w:eastAsia="方正仿宋_GBK"/>
                <w:color w:val="000000" w:themeColor="text1"/>
                <w:spacing w:val="-2"/>
                <w:kern w:val="0"/>
                <w:szCs w:val="21"/>
              </w:rPr>
              <w:t>6039.7</w:t>
            </w:r>
            <w:r>
              <w:rPr>
                <w:rFonts w:ascii="Times New Roman" w:hAnsi="Times New Roman" w:eastAsia="方正仿宋_GBK"/>
                <w:color w:val="000000" w:themeColor="text1"/>
                <w:spacing w:val="-2"/>
                <w:kern w:val="0"/>
                <w:szCs w:val="21"/>
              </w:rPr>
              <w:t>米。</w:t>
            </w:r>
            <w:r>
              <w:rPr>
                <w:rFonts w:hint="eastAsia" w:ascii="Times New Roman" w:hAnsi="Times New Roman" w:eastAsia="方正仿宋_GBK"/>
                <w:color w:val="000000" w:themeColor="text1"/>
                <w:spacing w:val="-2"/>
                <w:kern w:val="0"/>
                <w:szCs w:val="21"/>
              </w:rPr>
              <w:t>城（口）宣（汉）大（竹）邻（水）高速公路已纳入成渝地区双城经济圈建设重大项目，明确2020年底前完成项目可研，有望</w:t>
            </w:r>
            <w:r>
              <w:rPr>
                <w:rFonts w:ascii="Times New Roman" w:hAnsi="Times New Roman" w:eastAsia="方正仿宋_GBK"/>
                <w:color w:val="000000" w:themeColor="text1"/>
                <w:spacing w:val="-2"/>
                <w:kern w:val="0"/>
                <w:szCs w:val="21"/>
              </w:rPr>
              <w:t>2021年开工建设。</w:t>
            </w:r>
            <w:r>
              <w:rPr>
                <w:rFonts w:hint="eastAsia" w:ascii="Times New Roman" w:hAnsi="Times New Roman" w:eastAsia="方正仿宋_GBK"/>
                <w:color w:val="000000" w:themeColor="text1"/>
                <w:spacing w:val="-2"/>
                <w:kern w:val="0"/>
                <w:szCs w:val="21"/>
              </w:rPr>
              <w:t>城口至巫溪、城口至万源高速公路已纳入全市高速公路网规划，已完成项目方案编制。</w:t>
            </w:r>
          </w:p>
          <w:p w14:paraId="72A5712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高速铁路方面。中铁二院已按渝西高铁途经城口县城的站位设置方案完成可研工作，并报中国铁路集团公司，中国铁路集团公司将在疫情结束后，组织到我县开展现场踏勘。我们将全力配合、积极跟进，力争2020年底前开工建设。安张铁路已纳入“十三五”国家铁路路网规划，正在积极开展对接争取工作。</w:t>
            </w:r>
          </w:p>
        </w:tc>
        <w:tc>
          <w:tcPr>
            <w:tcW w:w="2576" w:type="dxa"/>
            <w:vMerge w:val="restart"/>
            <w:vAlign w:val="center"/>
          </w:tcPr>
          <w:p w14:paraId="33C00E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一是部分项目前期手续推进缓慢。涉及自然保护区的</w:t>
            </w:r>
            <w:r>
              <w:rPr>
                <w:rFonts w:ascii="Times New Roman" w:hAnsi="Times New Roman" w:eastAsia="方正仿宋_GBK"/>
                <w:color w:val="000000" w:themeColor="text1"/>
                <w:spacing w:val="-2"/>
                <w:kern w:val="0"/>
                <w:szCs w:val="21"/>
              </w:rPr>
              <w:t>7条</w:t>
            </w:r>
            <w:r>
              <w:rPr>
                <w:rFonts w:hint="eastAsia" w:ascii="Times New Roman" w:hAnsi="Times New Roman" w:eastAsia="方正仿宋_GBK"/>
                <w:color w:val="000000" w:themeColor="text1"/>
                <w:spacing w:val="-2"/>
                <w:kern w:val="0"/>
                <w:szCs w:val="21"/>
              </w:rPr>
              <w:t>道路，我们已委托西南大学开展</w:t>
            </w:r>
            <w:r>
              <w:rPr>
                <w:rFonts w:ascii="Times New Roman" w:hAnsi="Times New Roman" w:eastAsia="方正仿宋_GBK"/>
                <w:color w:val="000000" w:themeColor="text1"/>
                <w:spacing w:val="-2"/>
                <w:kern w:val="0"/>
                <w:szCs w:val="21"/>
              </w:rPr>
              <w:t>道路生物多样性影响专题评价报告</w:t>
            </w:r>
            <w:r>
              <w:rPr>
                <w:rFonts w:hint="eastAsia" w:ascii="Times New Roman" w:hAnsi="Times New Roman" w:eastAsia="方正仿宋_GBK"/>
                <w:color w:val="000000" w:themeColor="text1"/>
                <w:spacing w:val="-2"/>
                <w:kern w:val="0"/>
                <w:szCs w:val="21"/>
              </w:rPr>
              <w:t>编制工作，原计划今</w:t>
            </w:r>
            <w:r>
              <w:rPr>
                <w:rFonts w:ascii="Times New Roman" w:hAnsi="Times New Roman" w:eastAsia="方正仿宋_GBK"/>
                <w:color w:val="000000" w:themeColor="text1"/>
                <w:spacing w:val="-2"/>
                <w:kern w:val="0"/>
                <w:szCs w:val="21"/>
              </w:rPr>
              <w:t>年3月底前提交报告</w:t>
            </w:r>
            <w:r>
              <w:rPr>
                <w:rFonts w:hint="eastAsia" w:ascii="Times New Roman" w:hAnsi="Times New Roman" w:eastAsia="方正仿宋_GBK"/>
                <w:color w:val="000000" w:themeColor="text1"/>
                <w:spacing w:val="-2"/>
                <w:kern w:val="0"/>
                <w:szCs w:val="21"/>
              </w:rPr>
              <w:t>，但受新冠肺炎疫情影响，学校未开学，导致提交报告时间可能要延迟到5月底。</w:t>
            </w:r>
          </w:p>
          <w:p w14:paraId="5F9D75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部分项目建设进度迟缓。重点项目摊子大、战线长，涉及问题多，我们虽然坚持了每月调度制度，但推进过程中由于土地房屋征收、施工环境保障和施工企业自身组织能力等方方面面的问题，对工程存在一定影响。</w:t>
            </w:r>
          </w:p>
        </w:tc>
        <w:tc>
          <w:tcPr>
            <w:tcW w:w="3827" w:type="dxa"/>
            <w:vMerge w:val="restart"/>
            <w:vAlign w:val="center"/>
          </w:tcPr>
          <w:p w14:paraId="279A861C">
            <w:pPr>
              <w:pStyle w:val="5"/>
              <w:spacing w:line="240" w:lineRule="exact"/>
              <w:jc w:val="left"/>
              <w:rPr>
                <w:rFonts w:ascii="Times New Roman" w:hAnsi="Times New Roman" w:eastAsia="方正仿宋_GBK" w:cstheme="minorBidi"/>
                <w:color w:val="000000" w:themeColor="text1"/>
                <w:spacing w:val="-2"/>
                <w:kern w:val="0"/>
                <w:sz w:val="21"/>
                <w:szCs w:val="21"/>
              </w:rPr>
            </w:pPr>
            <w:r>
              <w:rPr>
                <w:rFonts w:hint="eastAsia" w:ascii="Times New Roman" w:hAnsi="Times New Roman" w:eastAsia="方正仿宋_GBK" w:cstheme="minorBidi"/>
                <w:color w:val="000000" w:themeColor="text1"/>
                <w:spacing w:val="-2"/>
                <w:kern w:val="0"/>
                <w:sz w:val="21"/>
                <w:szCs w:val="21"/>
              </w:rPr>
              <w:t>一是全力以赴做好向上争取工作。全力抢抓交通强国示范区、成渝地区双城经济圈、万达开川渝统筹发展示范区、“一区两群”等重大战略机遇，主动深化落实与市交通局战略合作，加大对接争取力度，加快《城口县综合交通运输“十四五”发展规划》《城口县综合交通中长期发展规划（2020—2035）》编制工作，做深做实前期工作，力争更多交通项目纳入国家和市上的重大战略规划，并尽早启动实施。</w:t>
            </w:r>
          </w:p>
          <w:p w14:paraId="0FDF0BC4">
            <w:pPr>
              <w:pStyle w:val="3"/>
              <w:adjustRightInd w:val="0"/>
              <w:snapToGrid w:val="0"/>
              <w:spacing w:line="240" w:lineRule="exact"/>
              <w:jc w:val="left"/>
              <w:rPr>
                <w:rFonts w:ascii="Times New Roman" w:hAnsi="Times New Roman" w:eastAsia="方正仿宋_GBK"/>
                <w:b w:val="0"/>
                <w:bCs w:val="0"/>
                <w:color w:val="000000" w:themeColor="text1"/>
                <w:spacing w:val="-2"/>
                <w:kern w:val="0"/>
                <w:sz w:val="21"/>
                <w:szCs w:val="21"/>
              </w:rPr>
            </w:pPr>
            <w:r>
              <w:rPr>
                <w:rFonts w:hint="eastAsia" w:ascii="Times New Roman" w:hAnsi="Times New Roman" w:eastAsia="方正仿宋_GBK"/>
                <w:b w:val="0"/>
                <w:bCs w:val="0"/>
                <w:color w:val="000000" w:themeColor="text1"/>
                <w:spacing w:val="-2"/>
                <w:kern w:val="0"/>
                <w:sz w:val="21"/>
                <w:szCs w:val="21"/>
              </w:rPr>
              <w:t>二是全力以赴抓好项目建设进度。认真对标对表县委县政府工作安排和交通建设“三年行动计划”指标任务，全面梳理项目推进情况，明确路线图和时间表，优化施工方案和施工组织，坚持实行每月调度机制，统筹解决好建设过程中的突出问题，尽快消除疫情带来的不利影响，把时间抢回来、把进度追回来、 把损失补回来，力争每周都有新进展、每月都有新突破、每季都有新成效，全力确保到2020年底，全面完成各项目标任务，实现交通建设三年行动计划圆满收官。</w:t>
            </w:r>
          </w:p>
          <w:p w14:paraId="412CE0B1">
            <w:pPr>
              <w:pStyle w:val="3"/>
              <w:adjustRightInd w:val="0"/>
              <w:snapToGrid w:val="0"/>
              <w:spacing w:line="240" w:lineRule="exact"/>
              <w:jc w:val="left"/>
              <w:rPr>
                <w:rFonts w:ascii="Times New Roman" w:hAnsi="Times New Roman" w:eastAsia="方正仿宋_GBK"/>
                <w:b w:val="0"/>
                <w:bCs w:val="0"/>
                <w:color w:val="000000" w:themeColor="text1"/>
                <w:spacing w:val="-2"/>
                <w:kern w:val="0"/>
                <w:sz w:val="21"/>
                <w:szCs w:val="21"/>
              </w:rPr>
            </w:pPr>
            <w:r>
              <w:rPr>
                <w:rFonts w:hint="eastAsia" w:ascii="Times New Roman" w:hAnsi="Times New Roman" w:eastAsia="方正仿宋_GBK"/>
                <w:b w:val="0"/>
                <w:bCs w:val="0"/>
                <w:color w:val="000000" w:themeColor="text1"/>
                <w:spacing w:val="-2"/>
                <w:kern w:val="0"/>
                <w:sz w:val="21"/>
                <w:szCs w:val="21"/>
              </w:rPr>
              <w:t>三是全力以赴做好项目规范化精细化管理。坚持依法依规依合同管理项目，统筹好疫情防控、安全生产和复工复产相关工作，落实好交通项目每月调度制度，协调解决好项目建设过程中的各类突出问题，全面抓好安全、质量、进度、环保、档案等各方面管理工作，确保项目管理规范化精细化。</w:t>
            </w:r>
          </w:p>
          <w:p w14:paraId="5F633B1E">
            <w:pPr>
              <w:pStyle w:val="3"/>
              <w:adjustRightInd w:val="0"/>
              <w:snapToGrid w:val="0"/>
              <w:spacing w:line="240" w:lineRule="exact"/>
              <w:jc w:val="left"/>
              <w:rPr>
                <w:rFonts w:ascii="Times New Roman" w:hAnsi="Times New Roman" w:eastAsia="方正仿宋_GBK"/>
                <w:b w:val="0"/>
                <w:bCs w:val="0"/>
                <w:color w:val="000000" w:themeColor="text1"/>
                <w:spacing w:val="-2"/>
                <w:kern w:val="0"/>
                <w:sz w:val="21"/>
                <w:szCs w:val="21"/>
              </w:rPr>
            </w:pPr>
            <w:r>
              <w:rPr>
                <w:rFonts w:hint="eastAsia" w:ascii="Times New Roman" w:hAnsi="Times New Roman" w:eastAsia="方正仿宋_GBK"/>
                <w:b w:val="0"/>
                <w:bCs w:val="0"/>
                <w:color w:val="000000" w:themeColor="text1"/>
                <w:spacing w:val="-2"/>
                <w:kern w:val="0"/>
                <w:sz w:val="21"/>
                <w:szCs w:val="21"/>
              </w:rPr>
              <w:t>四是全力以赴做好廉政管理工作。坚持把全面从严治党贯穿于交通业务工作全过程，做到真管真严、敢管敢严、长管长严。严明政治纪律和政治规矩，持之以恒解决好“圈子”问题、“政商”关系问题、“潜规则”问题、“饭局”问题、“责任”问题，全力确保全系统政治生态持续向好。</w:t>
            </w:r>
          </w:p>
        </w:tc>
      </w:tr>
      <w:tr w14:paraId="1519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AD9341C">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2</w:t>
            </w:r>
            <w:r>
              <w:rPr>
                <w:rFonts w:hint="eastAsia" w:ascii="Times New Roman" w:hAnsi="Times New Roman" w:eastAsia="方正仿宋_GBK"/>
                <w:bCs/>
                <w:color w:val="000000" w:themeColor="text1"/>
                <w:spacing w:val="-2"/>
                <w:kern w:val="0"/>
                <w:szCs w:val="21"/>
              </w:rPr>
              <w:t>1</w:t>
            </w:r>
            <w:r>
              <w:rPr>
                <w:rFonts w:ascii="Times New Roman" w:hAnsi="Times New Roman" w:eastAsia="方正仿宋_GBK"/>
                <w:bCs/>
                <w:color w:val="000000" w:themeColor="text1"/>
                <w:spacing w:val="-2"/>
                <w:kern w:val="0"/>
                <w:szCs w:val="21"/>
              </w:rPr>
              <w:t>.实施好城开高速城口互通至滨河路连接线工程、龙田至巴山公路二期工程等22个项目260公里普通干线公路工程，力争完工11个项目120公里，全面完成交通建设</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三年行动计划</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四好农村路2160公里的建设任务。</w:t>
            </w:r>
          </w:p>
        </w:tc>
        <w:tc>
          <w:tcPr>
            <w:tcW w:w="850" w:type="dxa"/>
            <w:vAlign w:val="center"/>
          </w:tcPr>
          <w:p w14:paraId="3FD94BD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tc>
        <w:tc>
          <w:tcPr>
            <w:tcW w:w="1134" w:type="dxa"/>
            <w:vAlign w:val="center"/>
          </w:tcPr>
          <w:p w14:paraId="399E701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tc>
        <w:tc>
          <w:tcPr>
            <w:tcW w:w="1559" w:type="dxa"/>
            <w:vAlign w:val="center"/>
          </w:tcPr>
          <w:p w14:paraId="3A99627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w:t>
            </w:r>
            <w:r>
              <w:rPr>
                <w:rFonts w:ascii="Times New Roman" w:hAnsi="Times New Roman" w:eastAsia="方正仿宋_GBK"/>
                <w:color w:val="000000" w:themeColor="text1"/>
                <w:spacing w:val="-2"/>
                <w:kern w:val="0"/>
                <w:szCs w:val="21"/>
              </w:rPr>
              <w:t>乡镇（街道）</w:t>
            </w:r>
          </w:p>
        </w:tc>
        <w:tc>
          <w:tcPr>
            <w:tcW w:w="4111" w:type="dxa"/>
            <w:vAlign w:val="center"/>
          </w:tcPr>
          <w:p w14:paraId="049ADF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四好农村路</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（通组公路）方面。</w:t>
            </w:r>
            <w:r>
              <w:rPr>
                <w:rFonts w:hint="eastAsia" w:ascii="Times New Roman" w:hAnsi="Times New Roman" w:eastAsia="方正仿宋_GBK"/>
                <w:color w:val="000000" w:themeColor="text1"/>
                <w:spacing w:val="-2"/>
                <w:kern w:val="0"/>
                <w:szCs w:val="21"/>
              </w:rPr>
              <w:t>交通建设“三年行动计划”市上下达我县的“四好农村路”（通组公路）指标为2153公里（其中，通达工程902公里，通畅工程1251公里）。截至目前，通达工程已下达建设计划1011公里，已完工902公里，已全面完成建设目标任务；通畅工程已启动1265公里，已完工875公里，正在实施390公里，预计今年底全面完成建设目标任务。</w:t>
            </w:r>
          </w:p>
          <w:p w14:paraId="67BE60B1">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普通干线公路方面。</w:t>
            </w:r>
            <w:r>
              <w:rPr>
                <w:rFonts w:hint="eastAsia" w:ascii="Times New Roman" w:hAnsi="Times New Roman" w:eastAsia="方正仿宋_GBK"/>
                <w:color w:val="000000" w:themeColor="text1"/>
                <w:spacing w:val="-2"/>
                <w:kern w:val="0"/>
                <w:szCs w:val="21"/>
              </w:rPr>
              <w:t>2020年续建项目9个，已全面复工，正在全力推进建设。分别是：木瓜口至坪坝新改建工程已完成85%的形象进度；庙坝场镇过境（隧道）工程已完成77%的形象进度；白芷山隧道避难通道缺陷及病害整治工程已完成92%的形象进度；龙田至巴山段公路（二期）工程已完成15%的形象进度；修齐场镇过境公路改建工程已完成27%的形象进度；蓼子回头线至朱家河坝路面改造工程已完成37%的形象进度；岔溪口至沿河乡场镇路面改造工程、螃蟹溪至河鱼乡段路面改造工程、庙坝至开县界（罗江）段水毁修复工程已完成8%的形象进度。2020年新启动项目项目3个，已全部进场。分别是：城开高速城口互通至滨江路段连接线工程，银子岩至双岔河路面改造工程，猫儿碥至岔溪口路面改造工程。10个项目正在全力推进前期工作。分别是：小河口至北屏路面改造工程，北屏至懒绍台路面改造工程，左岚至巴山至高楠新改建工程（隧道），厚坪场镇至巫溪界扶贫公路工程，蓼子场镇改线工程，明中四合至巫溪红池坝扶贫公路工程，咸宜返水坪至雪宝山段扶贫公路升级改造工程，高观青龙峡溪城路抢险改线工程（含桥梁2座），黄安坝至平利扶贫公路工程，歇脚坡隧道整治工程。其它交通项目方面（4个）。沿河乡北坡中桥等四座桥工程已完成68%的形象进度；安防工程（300公里）正在概算审查；窄路面拓宽工程，沿河乡已完成60%的形象进度，鸡鸣乡已完成90%的形象进度；修齐家园等4座桥正在推进前期工作。</w:t>
            </w:r>
          </w:p>
        </w:tc>
        <w:tc>
          <w:tcPr>
            <w:tcW w:w="2576" w:type="dxa"/>
            <w:vMerge w:val="continue"/>
          </w:tcPr>
          <w:p w14:paraId="301CCE70">
            <w:pPr>
              <w:widowControl/>
              <w:spacing w:line="240" w:lineRule="exact"/>
              <w:jc w:val="left"/>
              <w:rPr>
                <w:rFonts w:ascii="Times New Roman" w:hAnsi="Times New Roman" w:eastAsia="方正仿宋_GBK"/>
                <w:color w:val="000000" w:themeColor="text1"/>
                <w:spacing w:val="-2"/>
                <w:kern w:val="0"/>
                <w:szCs w:val="21"/>
              </w:rPr>
            </w:pPr>
          </w:p>
        </w:tc>
        <w:tc>
          <w:tcPr>
            <w:tcW w:w="3827" w:type="dxa"/>
            <w:vMerge w:val="continue"/>
          </w:tcPr>
          <w:p w14:paraId="5A4CE963">
            <w:pPr>
              <w:widowControl/>
              <w:spacing w:line="240" w:lineRule="exact"/>
              <w:jc w:val="left"/>
              <w:rPr>
                <w:rFonts w:ascii="Times New Roman" w:hAnsi="Times New Roman" w:eastAsia="方正仿宋_GBK"/>
                <w:color w:val="000000" w:themeColor="text1"/>
                <w:spacing w:val="-2"/>
                <w:kern w:val="0"/>
                <w:szCs w:val="21"/>
              </w:rPr>
            </w:pPr>
          </w:p>
        </w:tc>
      </w:tr>
      <w:tr w14:paraId="2B15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A8CB56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22</w:t>
            </w:r>
            <w:r>
              <w:rPr>
                <w:rFonts w:ascii="Times New Roman" w:hAnsi="Times New Roman" w:eastAsia="方正仿宋_GBK"/>
                <w:bCs/>
                <w:color w:val="000000" w:themeColor="text1"/>
                <w:spacing w:val="-2"/>
                <w:kern w:val="0"/>
                <w:szCs w:val="21"/>
              </w:rPr>
              <w:t>.持续推进</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路长制</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，完成500公里公路防护栏建设，切实加强公路管护，全面提升公路综合管理服务能力。</w:t>
            </w:r>
          </w:p>
        </w:tc>
        <w:tc>
          <w:tcPr>
            <w:tcW w:w="850" w:type="dxa"/>
            <w:vAlign w:val="center"/>
          </w:tcPr>
          <w:p w14:paraId="52ACFE5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tc>
        <w:tc>
          <w:tcPr>
            <w:tcW w:w="1134" w:type="dxa"/>
            <w:vAlign w:val="center"/>
          </w:tcPr>
          <w:p w14:paraId="75ABC82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tc>
        <w:tc>
          <w:tcPr>
            <w:tcW w:w="1559" w:type="dxa"/>
            <w:vAlign w:val="center"/>
          </w:tcPr>
          <w:p w14:paraId="4D43ED3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9C60D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健全完善工作机制和责任链条，持续层层推进落实“路长制”工作，截至目前，县级路长巡查17次，巡查里程570.5公里，二级路长巡查2209次，巡查里程5552公里，三级路长巡查4318次，巡查里程9461公里。安防工程（300公里）正在概算审查。</w:t>
            </w:r>
          </w:p>
        </w:tc>
        <w:tc>
          <w:tcPr>
            <w:tcW w:w="2576" w:type="dxa"/>
            <w:vAlign w:val="center"/>
          </w:tcPr>
          <w:p w14:paraId="535265F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宣传力度不够，信息报送有差距，个别问题整改难度大。</w:t>
            </w:r>
          </w:p>
        </w:tc>
        <w:tc>
          <w:tcPr>
            <w:tcW w:w="3827" w:type="dxa"/>
            <w:vAlign w:val="center"/>
          </w:tcPr>
          <w:p w14:paraId="0C5827C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持续强化宣传力度，抓牢抓实队伍管理，加强巡查工作，强化督查通报。</w:t>
            </w:r>
          </w:p>
        </w:tc>
      </w:tr>
      <w:tr w14:paraId="24B7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70005D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23</w:t>
            </w:r>
            <w:r>
              <w:rPr>
                <w:rFonts w:ascii="Times New Roman" w:hAnsi="Times New Roman" w:eastAsia="方正仿宋_GBK"/>
                <w:bCs/>
                <w:color w:val="000000" w:themeColor="text1"/>
                <w:spacing w:val="-2"/>
                <w:kern w:val="0"/>
                <w:szCs w:val="21"/>
              </w:rPr>
              <w:t>.加强交通运输能力建设，建立</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一站式</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公共出行服务平台，加快建设县、乡、村三级物流体系，推进快递物流企业联合运营，乡村快递站（点）覆盖率达到75%，强力推进快递物流提速降费。</w:t>
            </w:r>
          </w:p>
        </w:tc>
        <w:tc>
          <w:tcPr>
            <w:tcW w:w="850" w:type="dxa"/>
            <w:vAlign w:val="center"/>
          </w:tcPr>
          <w:p w14:paraId="548BB33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p w14:paraId="543A4A0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753CC4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p w14:paraId="13F177F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县商务委</w:t>
            </w:r>
          </w:p>
        </w:tc>
        <w:tc>
          <w:tcPr>
            <w:tcW w:w="1559" w:type="dxa"/>
            <w:vAlign w:val="center"/>
          </w:tcPr>
          <w:p w14:paraId="768CEBE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tc>
        <w:tc>
          <w:tcPr>
            <w:tcW w:w="4111" w:type="dxa"/>
            <w:vAlign w:val="center"/>
          </w:tcPr>
          <w:p w14:paraId="1B5EABB5">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县交通局</w:t>
            </w:r>
            <w:r>
              <w:rPr>
                <w:rFonts w:hint="eastAsia" w:ascii="Times New Roman" w:hAnsi="Times New Roman" w:eastAsia="方正仿宋_GBK"/>
                <w:color w:val="000000" w:themeColor="text1"/>
                <w:spacing w:val="-2"/>
                <w:kern w:val="0"/>
                <w:szCs w:val="21"/>
              </w:rPr>
              <w:t>：加快升级改造各乡镇客运站。</w:t>
            </w:r>
          </w:p>
          <w:p w14:paraId="265560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召开了物流企业工作座谈会，起草了物流补贴方案。针对全县物流工作出台了《城口县县、乡、村三级物流体系建设实施方案》。加快推进对乡、村级物流站点的整改提升，对于效果良好的物流点进行提升工作，对于部分僵尸物流点换人换址或者进行拆除。</w:t>
            </w:r>
          </w:p>
        </w:tc>
        <w:tc>
          <w:tcPr>
            <w:tcW w:w="2576" w:type="dxa"/>
          </w:tcPr>
          <w:p w14:paraId="570DE6C7">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县交通局</w:t>
            </w:r>
            <w:r>
              <w:rPr>
                <w:rFonts w:hint="eastAsia" w:ascii="Times New Roman" w:hAnsi="Times New Roman" w:eastAsia="方正仿宋_GBK"/>
                <w:color w:val="000000" w:themeColor="text1"/>
                <w:spacing w:val="-2"/>
                <w:kern w:val="0"/>
                <w:szCs w:val="21"/>
              </w:rPr>
              <w:t>：乡镇客运站无配套设施。</w:t>
            </w:r>
          </w:p>
          <w:p w14:paraId="333CD9D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县商务委：由于新冠肺炎疫情的影响，全国物流线路受阻，部分地区物流无法到达，时效无法保证，对我县物流行业带来了较大影响。</w:t>
            </w:r>
          </w:p>
        </w:tc>
        <w:tc>
          <w:tcPr>
            <w:tcW w:w="3827" w:type="dxa"/>
          </w:tcPr>
          <w:p w14:paraId="67613DA4">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县交通局</w:t>
            </w:r>
            <w:r>
              <w:rPr>
                <w:rFonts w:hint="eastAsia" w:ascii="Times New Roman" w:hAnsi="Times New Roman" w:eastAsia="方正仿宋_GBK"/>
                <w:color w:val="000000" w:themeColor="text1"/>
                <w:spacing w:val="-2"/>
                <w:kern w:val="0"/>
                <w:szCs w:val="21"/>
              </w:rPr>
              <w:t>：全力推进各乡镇客运站升级改造工作。</w:t>
            </w:r>
          </w:p>
          <w:p w14:paraId="0F7E34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县商务委：强化三级物流体系建设，引用“一平台多品牌”的快递合作模式，加强物流资源整合，推动金融、信息、商贸、物流等服务资源集聚，实现乡、村两级物流服务覆盖率100%。</w:t>
            </w:r>
          </w:p>
        </w:tc>
      </w:tr>
      <w:tr w14:paraId="510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86" w:type="dxa"/>
            <w:vAlign w:val="center"/>
          </w:tcPr>
          <w:p w14:paraId="7810768F">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24</w:t>
            </w:r>
            <w:r>
              <w:rPr>
                <w:rFonts w:ascii="Times New Roman" w:hAnsi="Times New Roman" w:eastAsia="方正仿宋_GBK"/>
                <w:bCs/>
                <w:color w:val="000000" w:themeColor="text1"/>
                <w:spacing w:val="-2"/>
                <w:kern w:val="0"/>
                <w:szCs w:val="21"/>
              </w:rPr>
              <w:t>.实施饮水安全巩固提升项目、千人以上集中供水工程升级改造、中小河流治理等项目，建成投用龙峡水库</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完成黄沙洞、松柏水库主体工程。</w:t>
            </w:r>
          </w:p>
        </w:tc>
        <w:tc>
          <w:tcPr>
            <w:tcW w:w="850" w:type="dxa"/>
            <w:vAlign w:val="center"/>
          </w:tcPr>
          <w:p w14:paraId="771763C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李兴学</w:t>
            </w:r>
          </w:p>
          <w:p w14:paraId="5EFA7CED">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7CAA1BB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县水利局</w:t>
            </w:r>
          </w:p>
        </w:tc>
        <w:tc>
          <w:tcPr>
            <w:tcW w:w="1559" w:type="dxa"/>
            <w:vAlign w:val="center"/>
          </w:tcPr>
          <w:p w14:paraId="75795C4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县蓬源发电公司</w:t>
            </w:r>
          </w:p>
          <w:p w14:paraId="59E81AB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7A3479F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饮水安全巩固提升工程：一是目前我县农村供水保障摸底排查情况已基本完成，确保6月底前解决农村供水保障问题；二是对农村面上巩固提升项目，待实地核实后，计划6月开工建设，11月完工。千人以上集中供水工程升级改造正在开展前期工作，编制实施方案，计划6月开工建设。</w:t>
            </w:r>
          </w:p>
          <w:p w14:paraId="70A9E82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龙峡水库：龙峡水库工程大坝已通过下闸蓄水验收，大坝枢纽工程的完工。现已作好下闸蓄水的准备工作，待时间确定后即可正式下闸蓄水。总干渠一标总长1030米，现已完成隧洞开挖、灌浆、调压井、隧洞衬砌所有分部工程，于2019年9月28日通过项目法人验收，现已报市水利局中心站核备。厚坪跌水一级电站厂房土建工程已全部建成，两台水轮发电机组已安装调试完成。</w:t>
            </w:r>
          </w:p>
          <w:p w14:paraId="77A82CB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松柏水库：大坝主体基础完成3、4号坝段基础开挖，土方7000m³，石方9000m，正在进行基础的齿墙开挖。左岸完成土石方开挖9500m，完成一、二、三级边坡所有支护工作。完成左岸上坝施工便道的开挖支护工作。右岸完成开挖完成高程1520以上的边坡，正在进行边坡支护工作。临建设施完成筛分系统、拌合系统的建设。完成90%混凝土场地覆盖。完成钢筋场、成品骨料堆放场的搭设。完成施工场地内5条施工便道的开挖铺设。</w:t>
            </w:r>
          </w:p>
          <w:p w14:paraId="7CDF0FE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黄沙洞水库：黄沙洞水库于2月25日复工，截至目前，大坝完成4万多方砼，电站土建及机电设备安装完成，管道安装完成500多米，还建道路基本建成。一季度完成投资1774万元。</w:t>
            </w:r>
          </w:p>
          <w:p w14:paraId="1BF5DB4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中小河流治理等项目。实现汉昌河咸宜镇段中小河流治理工程和燕子河明通镇段综合治理工程全面复工复产，序时推进畔河东安镇（高观）段、坪坝河（巴山段、沿河）段、坪坝（河庙坝）段前期工作建设。</w:t>
            </w:r>
          </w:p>
          <w:p w14:paraId="435BE0B9">
            <w:pPr>
              <w:widowControl/>
              <w:spacing w:line="240" w:lineRule="exact"/>
              <w:jc w:val="left"/>
              <w:rPr>
                <w:rFonts w:ascii="Times New Roman" w:hAnsi="Times New Roman" w:eastAsia="方正仿宋_GBK"/>
                <w:color w:val="000000" w:themeColor="text1"/>
                <w:spacing w:val="-2"/>
                <w:kern w:val="0"/>
                <w:szCs w:val="21"/>
              </w:rPr>
            </w:pPr>
          </w:p>
          <w:p w14:paraId="15441131">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E3B928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市级以上资金仅下达了维修养护资金，饮水安全巩固提升专项资金还未下达。</w:t>
            </w:r>
          </w:p>
          <w:p w14:paraId="236E383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龙峡水库：企业已自筹资金1.95亿元已由县上统一调剂到统征办使用，国家及市级资金已全部用完，项目现已完成投资50529万元，后期的项目建设急需使用。总干渠二标段下剩400多米没有贯通，因在施工过程中出现瓦斯，规范要求必须按瓦斯隧道施工管理进行重新设计，在前期进行了瓦斯排险及专项施工方案的编制、审批工作。根据专项设计方案，需更换防爆的电气设备和设施，更换相应的炸材物资及增加措施费，预计要新增费用约600万元，目前已按程序上报县水利局备案，正在恢复施工中，报告县协调领导小组予以确认。</w:t>
            </w:r>
          </w:p>
          <w:p w14:paraId="722FBB9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松柏水库：料场开采料场环保、林业等手续正在办理，现未能开采；移民搬迁库区内5户人家尚未完成拆迁，村民通行影响项目正常施工及安全，且库区坝体基础浇筑后，彻底切断库区与外界交通。</w:t>
            </w:r>
          </w:p>
          <w:p w14:paraId="1159920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黄沙洞水库：因疫情影响，复工较计划延迟22天；国家专项资金尽快到位。</w:t>
            </w:r>
          </w:p>
        </w:tc>
        <w:tc>
          <w:tcPr>
            <w:tcW w:w="3827" w:type="dxa"/>
            <w:vAlign w:val="center"/>
          </w:tcPr>
          <w:p w14:paraId="60A2DF61">
            <w:pPr>
              <w:widowControl/>
              <w:spacing w:line="240" w:lineRule="exact"/>
              <w:jc w:val="left"/>
              <w:rPr>
                <w:rFonts w:ascii="方正仿宋_GBK" w:hAnsi="方正仿宋_GBK" w:eastAsia="方正仿宋_GBK" w:cs="方正仿宋_GBK"/>
                <w:bCs/>
                <w:color w:val="000000" w:themeColor="text1"/>
                <w:spacing w:val="-2"/>
                <w:kern w:val="0"/>
                <w:szCs w:val="21"/>
              </w:rPr>
            </w:pPr>
            <w:r>
              <w:rPr>
                <w:rFonts w:hint="eastAsia" w:ascii="方正仿宋_GBK" w:hAnsi="方正仿宋_GBK" w:eastAsia="方正仿宋_GBK" w:cs="方正仿宋_GBK"/>
                <w:bCs/>
                <w:color w:val="000000" w:themeColor="text1"/>
                <w:spacing w:val="-2"/>
                <w:kern w:val="0"/>
                <w:szCs w:val="21"/>
              </w:rPr>
              <w:t>龙峡水库：龙峡水库大坝枢纽工程力争在4月中旬下闸蓄水，厚坪跌水电站厂房5月中旬完成管道安装。7月完成电气、控制设备安装。第一台机组发电。</w:t>
            </w:r>
          </w:p>
          <w:p w14:paraId="0A4DB662">
            <w:pPr>
              <w:widowControl/>
              <w:spacing w:line="240" w:lineRule="exact"/>
              <w:jc w:val="left"/>
              <w:rPr>
                <w:rFonts w:ascii="方正仿宋_GBK" w:hAnsi="方正仿宋_GBK" w:eastAsia="方正仿宋_GBK" w:cs="方正仿宋_GBK"/>
                <w:bCs/>
                <w:color w:val="000000" w:themeColor="text1"/>
                <w:spacing w:val="-2"/>
                <w:kern w:val="0"/>
                <w:szCs w:val="21"/>
              </w:rPr>
            </w:pPr>
            <w:r>
              <w:rPr>
                <w:rFonts w:ascii="方正仿宋_GBK" w:hAnsi="方正仿宋_GBK" w:eastAsia="方正仿宋_GBK" w:cs="方正仿宋_GBK"/>
                <w:bCs/>
                <w:color w:val="000000" w:themeColor="text1"/>
                <w:spacing w:val="-2"/>
                <w:kern w:val="0"/>
                <w:szCs w:val="21"/>
              </w:rPr>
              <w:t>松柏水库</w:t>
            </w:r>
            <w:r>
              <w:rPr>
                <w:rFonts w:hint="eastAsia" w:ascii="方正仿宋_GBK" w:hAnsi="方正仿宋_GBK" w:eastAsia="方正仿宋_GBK" w:cs="方正仿宋_GBK"/>
                <w:bCs/>
                <w:color w:val="000000" w:themeColor="text1"/>
                <w:spacing w:val="-2"/>
                <w:kern w:val="0"/>
                <w:szCs w:val="21"/>
              </w:rPr>
              <w:t>：尽快完成料场审批的办理工作，立即开展石料开采加工保证施工用料。要求总承包项目部会同各参建单位集中力量，精心布置，适时调整施工方案，按照今年底完成大坝主体工程的任务，倒排工期确保工程任务的完成。协助移民管理服务中心和东安镇政府加快淹没区移民户的房屋征收拆迁工作。</w:t>
            </w:r>
          </w:p>
          <w:p w14:paraId="50939CED">
            <w:pPr>
              <w:widowControl/>
              <w:spacing w:line="240" w:lineRule="exact"/>
              <w:jc w:val="left"/>
              <w:rPr>
                <w:rFonts w:ascii="Times New Roman" w:eastAsia="方正仿宋_GBK"/>
                <w:color w:val="000000" w:themeColor="text1"/>
                <w:spacing w:val="-2"/>
                <w:kern w:val="0"/>
                <w:szCs w:val="21"/>
              </w:rPr>
            </w:pPr>
            <w:r>
              <w:rPr>
                <w:rFonts w:ascii="方正仿宋_GBK" w:hAnsi="方正仿宋_GBK" w:eastAsia="方正仿宋_GBK" w:cs="方正仿宋_GBK"/>
                <w:bCs/>
                <w:color w:val="000000" w:themeColor="text1"/>
                <w:spacing w:val="-2"/>
                <w:kern w:val="0"/>
                <w:szCs w:val="21"/>
              </w:rPr>
              <w:t>黄沙洞</w:t>
            </w:r>
            <w:r>
              <w:rPr>
                <w:rFonts w:hint="eastAsia" w:ascii="方正仿宋_GBK" w:hAnsi="方正仿宋_GBK" w:eastAsia="方正仿宋_GBK" w:cs="方正仿宋_GBK"/>
                <w:bCs/>
                <w:color w:val="000000" w:themeColor="text1"/>
                <w:spacing w:val="-2"/>
                <w:kern w:val="0"/>
                <w:szCs w:val="21"/>
              </w:rPr>
              <w:t>：加强施工组织，倒排工期，采取赶工措施，完成建设任务。</w:t>
            </w:r>
          </w:p>
        </w:tc>
      </w:tr>
      <w:tr w14:paraId="3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1511BCC">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25</w:t>
            </w:r>
            <w:r>
              <w:rPr>
                <w:rFonts w:ascii="Times New Roman" w:hAnsi="Times New Roman" w:eastAsia="方正仿宋_GBK"/>
                <w:bCs/>
                <w:color w:val="000000" w:themeColor="text1"/>
                <w:spacing w:val="-2"/>
                <w:kern w:val="0"/>
                <w:szCs w:val="21"/>
              </w:rPr>
              <w:t>.加快</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智慧河长</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建设。</w:t>
            </w:r>
          </w:p>
        </w:tc>
        <w:tc>
          <w:tcPr>
            <w:tcW w:w="850" w:type="dxa"/>
            <w:vAlign w:val="center"/>
          </w:tcPr>
          <w:p w14:paraId="7BDECF0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李兴学</w:t>
            </w:r>
          </w:p>
          <w:p w14:paraId="26CD8D4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63AA22C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县水利局</w:t>
            </w:r>
          </w:p>
        </w:tc>
        <w:tc>
          <w:tcPr>
            <w:tcW w:w="1559" w:type="dxa"/>
            <w:vAlign w:val="center"/>
          </w:tcPr>
          <w:p w14:paraId="5750A85D">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E9F78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雪亮工程”要求，县水利局编制完成了《城口县水环境监测能力建设实施方案》，并完成了立项审批和概算审查。为满足市级“智慧河长”总体要求，《城口县水环境监测能力建设实施方案》正进一步更新设计中。</w:t>
            </w:r>
          </w:p>
        </w:tc>
        <w:tc>
          <w:tcPr>
            <w:tcW w:w="2576" w:type="dxa"/>
            <w:vAlign w:val="center"/>
          </w:tcPr>
          <w:p w14:paraId="5E47AA2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市级“智慧河长”正处于规划设计阶段，总体规划要求和总体思路有待进一步确认。进而影响了城口县水环境监测能力建设工作进度</w:t>
            </w:r>
          </w:p>
        </w:tc>
        <w:tc>
          <w:tcPr>
            <w:tcW w:w="3827" w:type="dxa"/>
            <w:vAlign w:val="center"/>
          </w:tcPr>
          <w:p w14:paraId="2C76E73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按照市级“智慧河长”总体要求，变更完善《城口县水环境监测能力建设实施方案》，加快前期立项、概预算审查和招投标工作，争取早日开工建设。</w:t>
            </w:r>
          </w:p>
        </w:tc>
      </w:tr>
      <w:tr w14:paraId="555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8AFC30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26.</w:t>
            </w:r>
            <w:r>
              <w:rPr>
                <w:rFonts w:ascii="Times New Roman" w:hAnsi="Times New Roman" w:eastAsia="方正仿宋_GBK"/>
                <w:bCs/>
                <w:color w:val="000000" w:themeColor="text1"/>
                <w:spacing w:val="-2"/>
                <w:kern w:val="0"/>
                <w:szCs w:val="21"/>
              </w:rPr>
              <w:t>加强农村供水工程管理，推行农村集中供水计度收费制度。</w:t>
            </w:r>
          </w:p>
        </w:tc>
        <w:tc>
          <w:tcPr>
            <w:tcW w:w="850" w:type="dxa"/>
            <w:vAlign w:val="center"/>
          </w:tcPr>
          <w:p w14:paraId="67F22B8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李兴学</w:t>
            </w:r>
          </w:p>
          <w:p w14:paraId="2C108BC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2198B8A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县水利局</w:t>
            </w:r>
          </w:p>
        </w:tc>
        <w:tc>
          <w:tcPr>
            <w:tcW w:w="1559" w:type="dxa"/>
            <w:vAlign w:val="center"/>
          </w:tcPr>
          <w:p w14:paraId="365B8B4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县惠民公司</w:t>
            </w:r>
          </w:p>
        </w:tc>
        <w:tc>
          <w:tcPr>
            <w:tcW w:w="4111" w:type="dxa"/>
            <w:vAlign w:val="center"/>
          </w:tcPr>
          <w:p w14:paraId="268555C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印发了《城口县农村供水工程运行管理办法》，在各村社进行张贴，加大《办法》宣贯力度；正在起草维修养护资金奖补细则，落实管护经费；同时拟在庙坝镇召开农村供水工程运行管理现场会。</w:t>
            </w:r>
          </w:p>
        </w:tc>
        <w:tc>
          <w:tcPr>
            <w:tcW w:w="2576" w:type="dxa"/>
            <w:vAlign w:val="center"/>
          </w:tcPr>
          <w:p w14:paraId="1B978C1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我县水资源丰富，溪沟水众多，老百姓大多数都具备两条以上的供水管道，加之老百姓的思维还未转变，因此在推行计量收费的过程中，存在一定难度，导致推进较为缓慢。</w:t>
            </w:r>
          </w:p>
        </w:tc>
        <w:tc>
          <w:tcPr>
            <w:tcW w:w="3827" w:type="dxa"/>
            <w:vAlign w:val="center"/>
          </w:tcPr>
          <w:p w14:paraId="7DC6E0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加强供水管理考核，层层压实责任，同时通过维修养护资金的奖补机制，激励管理单位加强农村供水工程运行管理，推动农村集中供水工程计量收费管理。</w:t>
            </w:r>
          </w:p>
        </w:tc>
      </w:tr>
      <w:tr w14:paraId="1AFB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86" w:type="dxa"/>
            <w:vAlign w:val="center"/>
          </w:tcPr>
          <w:p w14:paraId="6F3D7695">
            <w:pPr>
              <w:widowControl/>
              <w:spacing w:line="240" w:lineRule="exact"/>
              <w:rPr>
                <w:rFonts w:ascii="Times New Roman" w:hAnsi="Times New Roman" w:eastAsia="方正仿宋_GBK"/>
                <w:bCs/>
                <w:spacing w:val="-2"/>
                <w:kern w:val="0"/>
                <w:szCs w:val="21"/>
              </w:rPr>
            </w:pPr>
            <w:r>
              <w:rPr>
                <w:rFonts w:hint="eastAsia" w:ascii="Times New Roman" w:hAnsi="Times New Roman" w:eastAsia="方正仿宋_GBK"/>
                <w:bCs/>
                <w:spacing w:val="-2"/>
                <w:kern w:val="0"/>
                <w:szCs w:val="21"/>
              </w:rPr>
              <w:t>27.</w:t>
            </w:r>
            <w:r>
              <w:rPr>
                <w:rFonts w:ascii="Times New Roman" w:hAnsi="Times New Roman" w:eastAsia="方正仿宋_GBK"/>
                <w:bCs/>
                <w:spacing w:val="-2"/>
                <w:kern w:val="0"/>
                <w:szCs w:val="21"/>
              </w:rPr>
              <w:t>完成90个贫困村电网升级改造。</w:t>
            </w:r>
          </w:p>
        </w:tc>
        <w:tc>
          <w:tcPr>
            <w:tcW w:w="850" w:type="dxa"/>
            <w:vAlign w:val="center"/>
          </w:tcPr>
          <w:p w14:paraId="17CECBD8">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夏朝华</w:t>
            </w:r>
          </w:p>
        </w:tc>
        <w:tc>
          <w:tcPr>
            <w:tcW w:w="1134" w:type="dxa"/>
            <w:vAlign w:val="center"/>
          </w:tcPr>
          <w:p w14:paraId="3E51613F">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县经济信息委</w:t>
            </w:r>
          </w:p>
        </w:tc>
        <w:tc>
          <w:tcPr>
            <w:tcW w:w="1559" w:type="dxa"/>
            <w:vAlign w:val="center"/>
          </w:tcPr>
          <w:p w14:paraId="4398C59B">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国网城口供电公司</w:t>
            </w:r>
          </w:p>
        </w:tc>
        <w:tc>
          <w:tcPr>
            <w:tcW w:w="4111" w:type="dxa"/>
            <w:vAlign w:val="center"/>
          </w:tcPr>
          <w:p w14:paraId="2262731F">
            <w:pPr>
              <w:widowControl/>
              <w:spacing w:line="240" w:lineRule="exact"/>
              <w:jc w:val="left"/>
              <w:rPr>
                <w:rFonts w:ascii="Times New Roman" w:hAnsi="Times New Roman" w:eastAsia="方正仿宋_GBK"/>
                <w:spacing w:val="-2"/>
                <w:kern w:val="0"/>
                <w:szCs w:val="21"/>
              </w:rPr>
            </w:pPr>
            <w:r>
              <w:rPr>
                <w:rFonts w:ascii="Times New Roman" w:hAnsi="Times New Roman" w:eastAsia="方正仿宋_GBK"/>
                <w:spacing w:val="-2"/>
                <w:kern w:val="0"/>
                <w:szCs w:val="21"/>
              </w:rPr>
              <w:t>已完成80个贫困村电网改造，剩余10个未改造的贫困村中，</w:t>
            </w:r>
            <w:r>
              <w:rPr>
                <w:rFonts w:hint="eastAsia" w:ascii="Times New Roman" w:hAnsi="Times New Roman" w:eastAsia="方正仿宋_GBK"/>
                <w:spacing w:val="-2"/>
                <w:kern w:val="0"/>
                <w:szCs w:val="21"/>
              </w:rPr>
              <w:t>其中</w:t>
            </w:r>
            <w:r>
              <w:rPr>
                <w:rFonts w:ascii="Times New Roman" w:hAnsi="Times New Roman" w:eastAsia="方正仿宋_GBK"/>
                <w:spacing w:val="-2"/>
                <w:kern w:val="0"/>
                <w:szCs w:val="21"/>
              </w:rPr>
              <w:t>8个村</w:t>
            </w:r>
            <w:r>
              <w:rPr>
                <w:rFonts w:hint="eastAsia" w:ascii="Times New Roman" w:hAnsi="Times New Roman" w:eastAsia="方正仿宋_GBK"/>
                <w:spacing w:val="-2"/>
                <w:kern w:val="0"/>
                <w:szCs w:val="21"/>
              </w:rPr>
              <w:t>已纳入</w:t>
            </w:r>
            <w:r>
              <w:rPr>
                <w:rFonts w:ascii="Times New Roman" w:hAnsi="Times New Roman" w:eastAsia="方正仿宋_GBK"/>
                <w:spacing w:val="-2"/>
                <w:kern w:val="0"/>
                <w:szCs w:val="21"/>
              </w:rPr>
              <w:t>2020年</w:t>
            </w:r>
            <w:r>
              <w:rPr>
                <w:rFonts w:hint="eastAsia" w:ascii="Times New Roman" w:hAnsi="Times New Roman" w:eastAsia="方正仿宋_GBK"/>
                <w:spacing w:val="-2"/>
                <w:kern w:val="0"/>
                <w:szCs w:val="21"/>
              </w:rPr>
              <w:t>实施</w:t>
            </w:r>
            <w:r>
              <w:rPr>
                <w:rFonts w:ascii="Times New Roman" w:hAnsi="Times New Roman" w:eastAsia="方正仿宋_GBK"/>
                <w:spacing w:val="-2"/>
                <w:kern w:val="0"/>
                <w:szCs w:val="21"/>
              </w:rPr>
              <w:t>改造，目前正在进行现场设计交底及复测，预计4月中旬进场施工</w:t>
            </w:r>
            <w:r>
              <w:rPr>
                <w:rFonts w:hint="eastAsia" w:ascii="Times New Roman" w:hAnsi="Times New Roman" w:eastAsia="方正仿宋_GBK"/>
                <w:spacing w:val="-2"/>
                <w:kern w:val="0"/>
                <w:szCs w:val="21"/>
              </w:rPr>
              <w:t>，年底可以实施完毕。</w:t>
            </w:r>
            <w:r>
              <w:rPr>
                <w:rFonts w:ascii="Times New Roman" w:hAnsi="Times New Roman" w:eastAsia="方正仿宋_GBK"/>
                <w:spacing w:val="-2"/>
                <w:kern w:val="0"/>
                <w:szCs w:val="21"/>
              </w:rPr>
              <w:t>其余2个（乐山村、红岩村）</w:t>
            </w:r>
            <w:r>
              <w:rPr>
                <w:rFonts w:hint="eastAsia" w:ascii="Times New Roman" w:hAnsi="Times New Roman" w:eastAsia="方正仿宋_GBK"/>
                <w:spacing w:val="-2"/>
                <w:kern w:val="0"/>
                <w:szCs w:val="21"/>
              </w:rPr>
              <w:t>县供电</w:t>
            </w:r>
            <w:r>
              <w:rPr>
                <w:rFonts w:ascii="Times New Roman" w:hAnsi="Times New Roman" w:eastAsia="方正仿宋_GBK"/>
                <w:spacing w:val="-2"/>
                <w:kern w:val="0"/>
                <w:szCs w:val="21"/>
              </w:rPr>
              <w:t>公司正在积极向市公司争取资金，力争今年纳入改造实施。</w:t>
            </w:r>
          </w:p>
        </w:tc>
        <w:tc>
          <w:tcPr>
            <w:tcW w:w="2576" w:type="dxa"/>
            <w:vAlign w:val="center"/>
          </w:tcPr>
          <w:p w14:paraId="09139853">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因资金受限，乐山村、红岩村两个贫困村暂无改造资金，无法进行电网改造。</w:t>
            </w:r>
          </w:p>
        </w:tc>
        <w:tc>
          <w:tcPr>
            <w:tcW w:w="3827" w:type="dxa"/>
            <w:vAlign w:val="center"/>
          </w:tcPr>
          <w:p w14:paraId="4C42297A">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城口县供电公司积极向市公司申请资金，力争将乐山、红岩两个贫困村纳入今年改造实施计划进行解决。</w:t>
            </w:r>
          </w:p>
        </w:tc>
      </w:tr>
      <w:tr w14:paraId="13DB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86" w:type="dxa"/>
            <w:vAlign w:val="center"/>
          </w:tcPr>
          <w:p w14:paraId="351B542F">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28.</w:t>
            </w:r>
            <w:r>
              <w:rPr>
                <w:rFonts w:ascii="Times New Roman" w:hAnsi="Times New Roman" w:eastAsia="方正仿宋_GBK"/>
                <w:bCs/>
                <w:color w:val="000000" w:themeColor="text1"/>
                <w:spacing w:val="-2"/>
                <w:kern w:val="0"/>
                <w:szCs w:val="21"/>
              </w:rPr>
              <w:t>推进6个乡镇燃气管网铺设，新增燃气用户2500户。</w:t>
            </w:r>
          </w:p>
        </w:tc>
        <w:tc>
          <w:tcPr>
            <w:tcW w:w="850" w:type="dxa"/>
            <w:vAlign w:val="center"/>
          </w:tcPr>
          <w:p w14:paraId="06A01AA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68DCA92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6B155E0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城口燃气公司</w:t>
            </w:r>
          </w:p>
        </w:tc>
        <w:tc>
          <w:tcPr>
            <w:tcW w:w="4111" w:type="dxa"/>
            <w:vAlign w:val="center"/>
          </w:tcPr>
          <w:p w14:paraId="35BEF7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大巴山燃气公司完成巴山场镇管网铺设和入户安装（待验收后取得许可证后通气）；乡燃公司完成修齐镇和厚坪部分管网铺设；昆仑燃气坪坝镇完成选址，目前准备建设前期工作；龙田乡选好址待公司决定。</w:t>
            </w:r>
          </w:p>
        </w:tc>
        <w:tc>
          <w:tcPr>
            <w:tcW w:w="2576" w:type="dxa"/>
            <w:vAlign w:val="center"/>
          </w:tcPr>
          <w:p w14:paraId="1E77835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昆仑燃气公司进度缓慢。</w:t>
            </w:r>
          </w:p>
        </w:tc>
        <w:tc>
          <w:tcPr>
            <w:tcW w:w="3827" w:type="dxa"/>
            <w:vAlign w:val="center"/>
          </w:tcPr>
          <w:p w14:paraId="6D5D0C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督促大巴山燃气公司加快推进完成验收工作；督促乡燃公司加快推进高观镇、厚坪乡管网敷设进度；督促昆仑燃气公司加快启动建设。</w:t>
            </w:r>
          </w:p>
        </w:tc>
      </w:tr>
      <w:tr w14:paraId="422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1CFA14E">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29.</w:t>
            </w:r>
            <w:r>
              <w:rPr>
                <w:rFonts w:ascii="Times New Roman" w:hAnsi="Times New Roman" w:eastAsia="方正仿宋_GBK"/>
                <w:bCs/>
                <w:color w:val="000000" w:themeColor="text1"/>
                <w:spacing w:val="-2"/>
                <w:kern w:val="0"/>
                <w:szCs w:val="21"/>
              </w:rPr>
              <w:t>建成光纤网络150皮长公里、4G基站200个、5G基站200个，深度贫困乡自然村光纤网络覆盖率达80%、城区5G信号全覆盖。</w:t>
            </w:r>
          </w:p>
        </w:tc>
        <w:tc>
          <w:tcPr>
            <w:tcW w:w="850" w:type="dxa"/>
            <w:vAlign w:val="center"/>
          </w:tcPr>
          <w:p w14:paraId="4CFD848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499628C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265BBDEC">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8E2494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申报电信普遍服务试点4G基站54个。二是3月中旬启动14个5G基站建设选址勘察，召开了5G建设工作联席会，确定了建设模式和部门协作要求，印发了专题会议纪要。三是截止3月底，各通信企业新建光纤30.66皮长公里，4G基站54个。</w:t>
            </w:r>
          </w:p>
        </w:tc>
        <w:tc>
          <w:tcPr>
            <w:tcW w:w="2576" w:type="dxa"/>
            <w:vAlign w:val="center"/>
          </w:tcPr>
          <w:p w14:paraId="7E79062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5G基站的建设中存在企事业单位楼顶等空间或地理资源支持建设力度较小，民宅楼顶建设协调难度大，人行步道、公共绿地等空间少，选取地面建设位置难等困难。</w:t>
            </w:r>
          </w:p>
        </w:tc>
        <w:tc>
          <w:tcPr>
            <w:tcW w:w="3827" w:type="dxa"/>
            <w:vAlign w:val="center"/>
          </w:tcPr>
          <w:p w14:paraId="5B8007F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光纤网络建设，积极争取市级资金政策支持，推动电信普遍服务试点4G基站建设，提高深度贫困乡自然村光纤网络覆盖率；加快县城5G规划立项和选址踏勘工作，实行并联审批，加快建设，力争年底完成5G基站建设任务和实现城区5G信号全覆盖。</w:t>
            </w:r>
          </w:p>
        </w:tc>
      </w:tr>
      <w:tr w14:paraId="25E6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043" w:type="dxa"/>
            <w:gridSpan w:val="7"/>
            <w:vAlign w:val="center"/>
          </w:tcPr>
          <w:p w14:paraId="362EDC25">
            <w:pPr>
              <w:widowControl/>
              <w:spacing w:line="240" w:lineRule="exact"/>
              <w:jc w:val="left"/>
              <w:rPr>
                <w:rFonts w:ascii="Times New Roman" w:hAnsi="Times New Roman" w:eastAsia="方正仿宋_GBK"/>
                <w:b/>
                <w:color w:val="000000" w:themeColor="text1"/>
                <w:spacing w:val="-2"/>
                <w:kern w:val="0"/>
                <w:szCs w:val="21"/>
              </w:rPr>
            </w:pPr>
            <w:r>
              <w:rPr>
                <w:rFonts w:hint="eastAsia" w:ascii="Times New Roman" w:hAnsi="Times New Roman" w:eastAsia="方正仿宋_GBK"/>
                <w:b/>
                <w:color w:val="000000" w:themeColor="text1"/>
                <w:spacing w:val="-2"/>
                <w:kern w:val="0"/>
                <w:szCs w:val="21"/>
              </w:rPr>
              <w:t>（三）推动以农文旅为主的产业融合，打造生态经济“升级版”。</w:t>
            </w:r>
          </w:p>
        </w:tc>
      </w:tr>
      <w:tr w14:paraId="5ECE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C5212E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30</w:t>
            </w:r>
            <w:r>
              <w:rPr>
                <w:rFonts w:ascii="Times New Roman" w:hAnsi="Times New Roman" w:eastAsia="方正仿宋_GBK"/>
                <w:color w:val="000000" w:themeColor="text1"/>
                <w:spacing w:val="-2"/>
                <w:kern w:val="0"/>
                <w:szCs w:val="21"/>
              </w:rPr>
              <w:t>.建设一批城口山地鸡、生猪、中药材、食用菌等标准化生产基地，培育</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三品一标一名牌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90个以上。</w:t>
            </w:r>
          </w:p>
        </w:tc>
        <w:tc>
          <w:tcPr>
            <w:tcW w:w="850" w:type="dxa"/>
            <w:vAlign w:val="center"/>
          </w:tcPr>
          <w:p w14:paraId="0C5F262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481B41A6">
            <w:pPr>
              <w:spacing w:line="240" w:lineRule="exact"/>
              <w:jc w:val="center"/>
              <w:rPr>
                <w:rFonts w:ascii="Times New Roman" w:hAnsi="Times New Roman" w:eastAsia="方正仿宋_GBK"/>
                <w:color w:val="000000" w:themeColor="text1"/>
                <w:spacing w:val="-10"/>
                <w:kern w:val="0"/>
                <w:szCs w:val="21"/>
              </w:rPr>
            </w:pPr>
            <w:r>
              <w:rPr>
                <w:rFonts w:ascii="Times New Roman" w:hAnsi="Times New Roman" w:eastAsia="方正仿宋_GBK"/>
                <w:color w:val="000000" w:themeColor="text1"/>
                <w:spacing w:val="-10"/>
                <w:kern w:val="0"/>
                <w:szCs w:val="21"/>
              </w:rPr>
              <w:t>县</w:t>
            </w:r>
            <w:r>
              <w:rPr>
                <w:rFonts w:hint="eastAsia" w:ascii="Times New Roman" w:hAnsi="Times New Roman" w:eastAsia="方正仿宋_GBK"/>
                <w:color w:val="000000" w:themeColor="text1"/>
                <w:spacing w:val="-10"/>
                <w:kern w:val="0"/>
                <w:szCs w:val="21"/>
              </w:rPr>
              <w:t>农业农村委</w:t>
            </w:r>
          </w:p>
          <w:p w14:paraId="5671DD7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10"/>
                <w:kern w:val="0"/>
                <w:szCs w:val="21"/>
              </w:rPr>
              <w:t>县林业局</w:t>
            </w:r>
          </w:p>
        </w:tc>
        <w:tc>
          <w:tcPr>
            <w:tcW w:w="1559" w:type="dxa"/>
            <w:vAlign w:val="center"/>
          </w:tcPr>
          <w:p w14:paraId="6674E38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2D464CF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拟定了《城口县农业产业扶贫巩固提升行动方案》；实现市级以上认定或评选的有效期内农业品牌个数110个以上。现有品牌认证产品175个。</w:t>
            </w:r>
          </w:p>
          <w:p w14:paraId="436CE720">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276BFB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农业企业规模偏小，产品有牌无量，市场供应不足；.企业积极性不高，对农业品牌打造认识不足；农业品牌潜力尚待挖掘，消费者对品牌产品消费认知度不高。</w:t>
            </w:r>
          </w:p>
        </w:tc>
        <w:tc>
          <w:tcPr>
            <w:tcW w:w="3827" w:type="dxa"/>
            <w:vAlign w:val="center"/>
          </w:tcPr>
          <w:p w14:paraId="1DA8FD2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扶持龙头企业，扩大规模生产，壮大农业品牌发展的核心力量；加强宣传引导，助力企业提高品牌意识，实现产品的质量化和规模化提升；通过各类农产品展示展销和各级媒体推介品牌、宣传品牌，形成“政府重视、企业主动、消费者认知”多方联动建设农业品牌的良好氛围。</w:t>
            </w:r>
          </w:p>
        </w:tc>
      </w:tr>
      <w:tr w14:paraId="195D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EB7AC5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31.</w:t>
            </w:r>
            <w:r>
              <w:rPr>
                <w:rFonts w:ascii="Times New Roman" w:hAnsi="Times New Roman" w:eastAsia="方正仿宋_GBK"/>
                <w:color w:val="000000" w:themeColor="text1"/>
                <w:spacing w:val="-2"/>
                <w:kern w:val="0"/>
                <w:szCs w:val="21"/>
              </w:rPr>
              <w:t>培育新型农业经营主体，健全完善利益联结机制，促进小农户生产与适度规模经营有机衔接，粮经结构比调整为38:62。</w:t>
            </w:r>
          </w:p>
        </w:tc>
        <w:tc>
          <w:tcPr>
            <w:tcW w:w="850" w:type="dxa"/>
            <w:vAlign w:val="center"/>
          </w:tcPr>
          <w:p w14:paraId="25DCB3B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10FFE9F5">
            <w:pPr>
              <w:spacing w:line="240" w:lineRule="exact"/>
              <w:jc w:val="center"/>
              <w:rPr>
                <w:rFonts w:ascii="Times New Roman" w:hAnsi="Times New Roman" w:eastAsia="方正仿宋_GBK"/>
                <w:color w:val="000000" w:themeColor="text1"/>
                <w:spacing w:val="-10"/>
                <w:kern w:val="0"/>
                <w:szCs w:val="21"/>
              </w:rPr>
            </w:pPr>
            <w:r>
              <w:rPr>
                <w:rFonts w:ascii="Times New Roman" w:hAnsi="Times New Roman" w:eastAsia="方正仿宋_GBK"/>
                <w:color w:val="000000" w:themeColor="text1"/>
                <w:spacing w:val="-10"/>
                <w:kern w:val="0"/>
                <w:szCs w:val="21"/>
              </w:rPr>
              <w:t>县</w:t>
            </w:r>
            <w:r>
              <w:rPr>
                <w:rFonts w:hint="eastAsia" w:ascii="Times New Roman" w:hAnsi="Times New Roman" w:eastAsia="方正仿宋_GBK"/>
                <w:color w:val="000000" w:themeColor="text1"/>
                <w:spacing w:val="-10"/>
                <w:kern w:val="0"/>
                <w:szCs w:val="21"/>
              </w:rPr>
              <w:t>农业农村委</w:t>
            </w:r>
          </w:p>
        </w:tc>
        <w:tc>
          <w:tcPr>
            <w:tcW w:w="1559" w:type="dxa"/>
            <w:vAlign w:val="center"/>
          </w:tcPr>
          <w:p w14:paraId="484373D4">
            <w:pPr>
              <w:widowControl/>
              <w:spacing w:line="240" w:lineRule="exact"/>
              <w:jc w:val="center"/>
              <w:rPr>
                <w:rFonts w:ascii="Times New Roman" w:hAnsi="Times New Roman" w:eastAsia="方正仿宋_GBK"/>
                <w:color w:val="000000" w:themeColor="text1"/>
                <w:spacing w:val="-10"/>
                <w:kern w:val="0"/>
                <w:szCs w:val="21"/>
              </w:rPr>
            </w:pPr>
            <w:r>
              <w:rPr>
                <w:rFonts w:hint="eastAsia" w:ascii="Times New Roman" w:hAnsi="Times New Roman" w:eastAsia="方正仿宋_GBK"/>
                <w:color w:val="000000" w:themeColor="text1"/>
                <w:spacing w:val="-10"/>
                <w:kern w:val="0"/>
                <w:szCs w:val="21"/>
              </w:rPr>
              <w:t>县供销社</w:t>
            </w:r>
          </w:p>
          <w:p w14:paraId="11E7FC77">
            <w:pPr>
              <w:widowControl/>
              <w:spacing w:line="240" w:lineRule="exact"/>
              <w:jc w:val="center"/>
              <w:rPr>
                <w:rFonts w:ascii="Times New Roman" w:hAnsi="Times New Roman" w:eastAsia="方正仿宋_GBK"/>
                <w:color w:val="000000" w:themeColor="text1"/>
                <w:spacing w:val="-10"/>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7CD3FC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出台了《城口县农民合作社规范提升行动方案》、《城口县家庭农场规范发展行动方案》、《关于印发2020年进一步加强蔬菜产业发展的指导意见的通知》；在明通、咸宜、鸡鸣新建茶园1500亩，茶苗已全部种植完成；启动神豆腐树、折耳根、山药、高山特色蔬菜等仿野生栽培的试验示范工作。</w:t>
            </w:r>
          </w:p>
        </w:tc>
        <w:tc>
          <w:tcPr>
            <w:tcW w:w="2576" w:type="dxa"/>
            <w:vAlign w:val="center"/>
          </w:tcPr>
          <w:p w14:paraId="720F167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新型农业经营主体量小质弱的现象未得到根本转变，带贫益贫能力有待进一步提高；小农户规模小，实力薄弱，抗风险能力小，限制产业发展；农民合作社的经营骨干人员作为今年我县新型职业农民培训重点对象，但全县合作社才刚启动，组织架构还没形成，人员不固定。</w:t>
            </w:r>
          </w:p>
        </w:tc>
        <w:tc>
          <w:tcPr>
            <w:tcW w:w="3827" w:type="dxa"/>
            <w:vAlign w:val="center"/>
          </w:tcPr>
          <w:p w14:paraId="1219785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预计4月份开展农民合作社和家庭农场负责人培训；加大招商引资、本土企业培育力度，建立企业监管机制，督促企业履行责任；整合培训资源，针对农民的培训需求，创新培训方式，采取理论与实践相结合的培训方式，侧重加强学员的实训教学，鼓励和引导涉农企业参与培训中，让学员真正掌握“一两门”实用技术，增强培训效果。</w:t>
            </w:r>
          </w:p>
          <w:p w14:paraId="1629FCC0">
            <w:pPr>
              <w:widowControl/>
              <w:spacing w:line="240" w:lineRule="exact"/>
              <w:jc w:val="left"/>
              <w:rPr>
                <w:rFonts w:ascii="Times New Roman" w:hAnsi="Times New Roman" w:eastAsia="方正仿宋_GBK"/>
                <w:color w:val="000000" w:themeColor="text1"/>
                <w:spacing w:val="-2"/>
                <w:kern w:val="0"/>
                <w:szCs w:val="21"/>
              </w:rPr>
            </w:pPr>
          </w:p>
        </w:tc>
      </w:tr>
      <w:tr w14:paraId="6239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626FD3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32.</w:t>
            </w:r>
            <w:r>
              <w:rPr>
                <w:rFonts w:ascii="Times New Roman" w:hAnsi="Times New Roman" w:eastAsia="方正仿宋_GBK"/>
                <w:color w:val="000000" w:themeColor="text1"/>
                <w:spacing w:val="-2"/>
                <w:kern w:val="0"/>
                <w:szCs w:val="21"/>
              </w:rPr>
              <w:t>培育一批特色旅游商品，做强乡村旅游</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后备箱工程</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w:t>
            </w:r>
          </w:p>
        </w:tc>
        <w:tc>
          <w:tcPr>
            <w:tcW w:w="850" w:type="dxa"/>
            <w:vAlign w:val="center"/>
          </w:tcPr>
          <w:p w14:paraId="43A9A90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tc>
        <w:tc>
          <w:tcPr>
            <w:tcW w:w="1134" w:type="dxa"/>
            <w:vAlign w:val="center"/>
          </w:tcPr>
          <w:p w14:paraId="31E27F7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F879314">
            <w:pPr>
              <w:widowControl/>
              <w:spacing w:line="240" w:lineRule="exact"/>
              <w:jc w:val="center"/>
              <w:rPr>
                <w:rFonts w:ascii="Times New Roman" w:hAnsi="Times New Roman" w:eastAsia="方正仿宋_GBK"/>
                <w:color w:val="000000" w:themeColor="text1"/>
                <w:spacing w:val="-10"/>
                <w:kern w:val="0"/>
                <w:szCs w:val="21"/>
              </w:rPr>
            </w:pPr>
            <w:r>
              <w:rPr>
                <w:rFonts w:hint="eastAsia" w:ascii="Times New Roman" w:hAnsi="Times New Roman" w:eastAsia="方正仿宋_GBK"/>
                <w:color w:val="000000" w:themeColor="text1"/>
                <w:spacing w:val="-10"/>
                <w:kern w:val="0"/>
                <w:szCs w:val="21"/>
              </w:rPr>
              <w:t>县商务委</w:t>
            </w:r>
          </w:p>
        </w:tc>
        <w:tc>
          <w:tcPr>
            <w:tcW w:w="4111" w:type="dxa"/>
            <w:vAlign w:val="center"/>
          </w:tcPr>
          <w:p w14:paraId="1DAA86F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加强与九龙坡的对口协作，完了八万余元的城口特色旅游商品的采购。</w:t>
            </w:r>
          </w:p>
        </w:tc>
        <w:tc>
          <w:tcPr>
            <w:tcW w:w="2576" w:type="dxa"/>
            <w:vAlign w:val="center"/>
          </w:tcPr>
          <w:p w14:paraId="7B5E69F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本地特色旅游产品竞争力不强。</w:t>
            </w:r>
          </w:p>
        </w:tc>
        <w:tc>
          <w:tcPr>
            <w:tcW w:w="3827" w:type="dxa"/>
            <w:vAlign w:val="center"/>
          </w:tcPr>
          <w:p w14:paraId="0C8377C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加大旅游商品展示展销及开发力度。</w:t>
            </w:r>
          </w:p>
          <w:p w14:paraId="16F61605">
            <w:pPr>
              <w:widowControl/>
              <w:spacing w:line="240" w:lineRule="exact"/>
              <w:jc w:val="left"/>
              <w:rPr>
                <w:rFonts w:ascii="Times New Roman" w:hAnsi="Times New Roman" w:eastAsia="方正仿宋_GBK"/>
                <w:color w:val="000000" w:themeColor="text1"/>
                <w:spacing w:val="-2"/>
                <w:kern w:val="0"/>
                <w:szCs w:val="21"/>
              </w:rPr>
            </w:pPr>
          </w:p>
        </w:tc>
      </w:tr>
      <w:tr w14:paraId="340C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CB3D8C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33.</w:t>
            </w:r>
            <w:r>
              <w:rPr>
                <w:rFonts w:ascii="Times New Roman" w:hAnsi="Times New Roman" w:eastAsia="方正仿宋_GBK"/>
                <w:color w:val="000000" w:themeColor="text1"/>
                <w:spacing w:val="-2"/>
                <w:kern w:val="0"/>
                <w:szCs w:val="21"/>
              </w:rPr>
              <w:t>提升专业市场集聚能力，打造秦巴山区特色旅游商品集散中心。</w:t>
            </w:r>
          </w:p>
        </w:tc>
        <w:tc>
          <w:tcPr>
            <w:tcW w:w="850" w:type="dxa"/>
            <w:vAlign w:val="center"/>
          </w:tcPr>
          <w:p w14:paraId="7E00DDE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p w14:paraId="48C2E69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9B264D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w:t>
            </w:r>
          </w:p>
          <w:p w14:paraId="23049FC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0B9F0B69">
            <w:pPr>
              <w:widowControl/>
              <w:spacing w:line="240" w:lineRule="exact"/>
              <w:rPr>
                <w:rFonts w:ascii="Times New Roman" w:hAnsi="Times New Roman" w:eastAsia="方正仿宋_GBK" w:cs="方正仿宋_GBK"/>
                <w:bCs/>
                <w:color w:val="000000" w:themeColor="text1"/>
                <w:spacing w:val="-2"/>
                <w:kern w:val="0"/>
                <w:szCs w:val="21"/>
              </w:rPr>
            </w:pPr>
          </w:p>
        </w:tc>
        <w:tc>
          <w:tcPr>
            <w:tcW w:w="4111" w:type="dxa"/>
            <w:vAlign w:val="center"/>
          </w:tcPr>
          <w:p w14:paraId="69BBB42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加快推进秦巴山货交易市场建设。电商产业园已入驻秦巴山货交易市场，入驻企业23家，初具规模，已收录展示我县农产品、旅游产品80余种。</w:t>
            </w:r>
          </w:p>
        </w:tc>
        <w:tc>
          <w:tcPr>
            <w:tcW w:w="2576" w:type="dxa"/>
            <w:vAlign w:val="center"/>
          </w:tcPr>
          <w:p w14:paraId="267667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因秦巴山货交易市场附近无完善的商业配套设施，距离城区较远，导致秦巴山货交易市场客流量较少；受疫情影响，重点专业市场受到前所未有的冲击，市场部分建设缓慢。</w:t>
            </w:r>
          </w:p>
        </w:tc>
        <w:tc>
          <w:tcPr>
            <w:tcW w:w="3827" w:type="dxa"/>
            <w:vAlign w:val="center"/>
          </w:tcPr>
          <w:p w14:paraId="2DF5F8B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.加快推进秦巴山货交易市场建设；在秦巴山货交易市场设立公交站牌，吸引人流量。通过举办线下活动、培训等引流客源到O2O线下体验馆。</w:t>
            </w:r>
          </w:p>
        </w:tc>
      </w:tr>
      <w:tr w14:paraId="64A8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86" w:type="dxa"/>
            <w:vAlign w:val="center"/>
          </w:tcPr>
          <w:p w14:paraId="7994794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34</w:t>
            </w:r>
            <w:r>
              <w:rPr>
                <w:rFonts w:ascii="Times New Roman" w:hAnsi="Times New Roman" w:eastAsia="方正仿宋_GBK"/>
                <w:color w:val="000000" w:themeColor="text1"/>
                <w:spacing w:val="-2"/>
                <w:kern w:val="0"/>
                <w:szCs w:val="21"/>
              </w:rPr>
              <w:t>.培育新型消费，丰富消费业态，推进特色商业街区建设，依靠市场机制推动生产性服务业向专业化和价值链高端延伸，推动生活性服务业向高品质和多样化升级，留住本地消费、吸引外来消费。</w:t>
            </w:r>
          </w:p>
        </w:tc>
        <w:tc>
          <w:tcPr>
            <w:tcW w:w="850" w:type="dxa"/>
            <w:vAlign w:val="center"/>
          </w:tcPr>
          <w:p w14:paraId="5126B50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13C3EA19">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w:t>
            </w:r>
          </w:p>
        </w:tc>
        <w:tc>
          <w:tcPr>
            <w:tcW w:w="1559" w:type="dxa"/>
            <w:vAlign w:val="center"/>
          </w:tcPr>
          <w:p w14:paraId="64CA416A">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734B9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加快建设“重庆国际消费中心城市”工作方案》《关于加快流通，促进商业消费的通知》《城口县家政服务提质扩容实施方案》；结合县域实际和我委职能，配合策划了电子商务等生产性服务业发展方向。</w:t>
            </w:r>
          </w:p>
        </w:tc>
        <w:tc>
          <w:tcPr>
            <w:tcW w:w="2576" w:type="dxa"/>
            <w:vAlign w:val="center"/>
          </w:tcPr>
          <w:p w14:paraId="2AB6485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受疫情影响，特色商业街区建设未启动；我县生产性服务业尚处于起步阶段，升级困难。</w:t>
            </w:r>
          </w:p>
          <w:p w14:paraId="79C0AFA0">
            <w:pPr>
              <w:widowControl/>
              <w:spacing w:line="240" w:lineRule="exact"/>
              <w:jc w:val="left"/>
              <w:rPr>
                <w:rFonts w:ascii="Times New Roman" w:hAnsi="Times New Roman" w:eastAsia="方正仿宋_GBK"/>
                <w:color w:val="000000" w:themeColor="text1"/>
                <w:spacing w:val="-2"/>
                <w:kern w:val="0"/>
                <w:szCs w:val="21"/>
              </w:rPr>
            </w:pPr>
          </w:p>
          <w:p w14:paraId="724D8C1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3AC5B5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加大协调力度，推动特色商业街区建设；协调相关部门，积极推进生产性服务业发展。</w:t>
            </w:r>
          </w:p>
          <w:p w14:paraId="1ABF0238">
            <w:pPr>
              <w:widowControl/>
              <w:spacing w:line="240" w:lineRule="exact"/>
              <w:jc w:val="left"/>
              <w:rPr>
                <w:rFonts w:ascii="Times New Roman" w:hAnsi="Times New Roman" w:eastAsia="方正仿宋_GBK"/>
                <w:color w:val="000000" w:themeColor="text1"/>
                <w:spacing w:val="-2"/>
                <w:kern w:val="0"/>
                <w:szCs w:val="21"/>
              </w:rPr>
            </w:pPr>
          </w:p>
          <w:p w14:paraId="7CE77FD7">
            <w:pPr>
              <w:widowControl/>
              <w:spacing w:line="240" w:lineRule="exact"/>
              <w:jc w:val="left"/>
              <w:rPr>
                <w:rFonts w:ascii="Times New Roman" w:hAnsi="Times New Roman" w:eastAsia="方正仿宋_GBK"/>
                <w:color w:val="000000" w:themeColor="text1"/>
                <w:spacing w:val="-2"/>
                <w:kern w:val="0"/>
                <w:szCs w:val="21"/>
              </w:rPr>
            </w:pPr>
          </w:p>
          <w:p w14:paraId="43361DAC">
            <w:pPr>
              <w:widowControl/>
              <w:spacing w:line="240" w:lineRule="exact"/>
              <w:jc w:val="left"/>
              <w:rPr>
                <w:rFonts w:ascii="Times New Roman" w:hAnsi="Times New Roman" w:eastAsia="方正仿宋_GBK"/>
                <w:color w:val="000000" w:themeColor="text1"/>
                <w:spacing w:val="-2"/>
                <w:kern w:val="0"/>
                <w:szCs w:val="21"/>
              </w:rPr>
            </w:pPr>
          </w:p>
        </w:tc>
      </w:tr>
      <w:tr w14:paraId="2F4D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986" w:type="dxa"/>
            <w:vAlign w:val="center"/>
          </w:tcPr>
          <w:p w14:paraId="4F4018E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35</w:t>
            </w:r>
            <w:r>
              <w:rPr>
                <w:rFonts w:ascii="Times New Roman" w:hAnsi="Times New Roman" w:eastAsia="方正仿宋_GBK"/>
                <w:color w:val="000000" w:themeColor="text1"/>
                <w:spacing w:val="-2"/>
                <w:kern w:val="0"/>
                <w:szCs w:val="21"/>
              </w:rPr>
              <w:t>.延伸生态产品加工产业链条，开发地方特色美食，丰富游客餐饮体验。</w:t>
            </w:r>
          </w:p>
        </w:tc>
        <w:tc>
          <w:tcPr>
            <w:tcW w:w="850" w:type="dxa"/>
            <w:vAlign w:val="center"/>
          </w:tcPr>
          <w:p w14:paraId="544634A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7EE916D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w:t>
            </w:r>
          </w:p>
        </w:tc>
        <w:tc>
          <w:tcPr>
            <w:tcW w:w="1559" w:type="dxa"/>
            <w:vAlign w:val="center"/>
          </w:tcPr>
          <w:p w14:paraId="301BB54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E2675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已和“秘卤百味”洽谈，争取引进建中央厨房，带动城口美食开发。</w:t>
            </w:r>
          </w:p>
          <w:p w14:paraId="4FA6095E">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72B7930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县内餐饮行业信心不足。</w:t>
            </w:r>
          </w:p>
          <w:p w14:paraId="709C75BA">
            <w:pPr>
              <w:widowControl/>
              <w:spacing w:line="240" w:lineRule="exact"/>
              <w:jc w:val="left"/>
              <w:rPr>
                <w:rFonts w:ascii="Times New Roman" w:hAnsi="Times New Roman" w:eastAsia="方正仿宋_GBK"/>
                <w:color w:val="000000" w:themeColor="text1"/>
                <w:spacing w:val="-2"/>
                <w:kern w:val="0"/>
                <w:szCs w:val="21"/>
              </w:rPr>
            </w:pPr>
          </w:p>
          <w:p w14:paraId="79F3E8A4">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E6881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加大招商力度，促成中央厨房项目；引导本地餐饮行业推进菜品创新、餐饮业态创新和体验消费创新，提高服务质量，加强住宿餐饮业与旅游文化创意产业的融合互动，推动住宿餐饮业向精细和高品质服务转变。</w:t>
            </w:r>
          </w:p>
        </w:tc>
      </w:tr>
      <w:tr w14:paraId="388D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986" w:type="dxa"/>
            <w:vAlign w:val="center"/>
          </w:tcPr>
          <w:p w14:paraId="54CE992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36</w:t>
            </w:r>
            <w:r>
              <w:rPr>
                <w:rFonts w:ascii="Times New Roman" w:hAnsi="Times New Roman" w:eastAsia="方正仿宋_GBK"/>
                <w:color w:val="000000" w:themeColor="text1"/>
                <w:spacing w:val="-2"/>
                <w:kern w:val="0"/>
                <w:szCs w:val="21"/>
              </w:rPr>
              <w:t>.培育发展以优质矿泉水、富锌富硒及功能性食品、道地中药材为主的消费品加工业，鼓励发展新型绿色材料产业。</w:t>
            </w:r>
          </w:p>
        </w:tc>
        <w:tc>
          <w:tcPr>
            <w:tcW w:w="850" w:type="dxa"/>
            <w:vAlign w:val="center"/>
          </w:tcPr>
          <w:p w14:paraId="6001DD1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77D0943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县经济信息委</w:t>
            </w:r>
          </w:p>
        </w:tc>
        <w:tc>
          <w:tcPr>
            <w:tcW w:w="1559" w:type="dxa"/>
            <w:vAlign w:val="center"/>
          </w:tcPr>
          <w:p w14:paraId="6317494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县规划自然资源局、县农业农村委、县林业局、工业园区管委会</w:t>
            </w:r>
          </w:p>
        </w:tc>
        <w:tc>
          <w:tcPr>
            <w:tcW w:w="4111" w:type="dxa"/>
            <w:vAlign w:val="center"/>
          </w:tcPr>
          <w:p w14:paraId="6F391E0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正在开展十四五绿色工业规划编制的前期调研工作；二是分别联系对接了达州市工信局、宣汉县工信局，起草完成《城渝地区绿色工业协作研究》；三是全力优化产业结构，大力培育天宝药业、功能食品，指导天宝复工复产，牵线功能食品研究院与企业开展研发活动；四是督促日昌升新型建材项目5月底开工，金诚矿业页岩陶粒项目签订框架合作协议。</w:t>
            </w:r>
          </w:p>
        </w:tc>
        <w:tc>
          <w:tcPr>
            <w:tcW w:w="2576" w:type="dxa"/>
          </w:tcPr>
          <w:p w14:paraId="50048F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一是城口绿色工业基础薄弱，消费品加工业培育难度大；二是日昌升资金未到位，开工时间一再延后。</w:t>
            </w:r>
          </w:p>
        </w:tc>
        <w:tc>
          <w:tcPr>
            <w:tcW w:w="3827" w:type="dxa"/>
          </w:tcPr>
          <w:p w14:paraId="39438D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一是协助县规划自然资源局加对水资源的普查，加快矿泉水资源利用步伐；二是督促日昌升建筑骨料项目务必5月底前开工建设。</w:t>
            </w:r>
          </w:p>
        </w:tc>
      </w:tr>
      <w:tr w14:paraId="168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986" w:type="dxa"/>
            <w:vAlign w:val="center"/>
          </w:tcPr>
          <w:p w14:paraId="17245BB7">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37</w:t>
            </w:r>
            <w:r>
              <w:rPr>
                <w:rFonts w:ascii="Times New Roman" w:hAnsi="Times New Roman" w:eastAsia="方正仿宋_GBK"/>
                <w:spacing w:val="-2"/>
                <w:kern w:val="0"/>
                <w:szCs w:val="21"/>
              </w:rPr>
              <w:t>.着力引资培育5万吨电解金属锰和其他规模锰加工项目，促进5万吨氯化钡项目投产，规上工业总产值实现12亿元以上。</w:t>
            </w:r>
          </w:p>
        </w:tc>
        <w:tc>
          <w:tcPr>
            <w:tcW w:w="850" w:type="dxa"/>
            <w:vAlign w:val="center"/>
          </w:tcPr>
          <w:p w14:paraId="16FA8A2A">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夏朝华</w:t>
            </w:r>
          </w:p>
        </w:tc>
        <w:tc>
          <w:tcPr>
            <w:tcW w:w="1134" w:type="dxa"/>
            <w:vAlign w:val="center"/>
          </w:tcPr>
          <w:p w14:paraId="3384CB3B">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县经济信息委</w:t>
            </w:r>
          </w:p>
        </w:tc>
        <w:tc>
          <w:tcPr>
            <w:tcW w:w="1559" w:type="dxa"/>
            <w:vAlign w:val="center"/>
          </w:tcPr>
          <w:p w14:paraId="6BA141DD">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工业园区管委会有关乡镇（街道）</w:t>
            </w:r>
          </w:p>
        </w:tc>
        <w:tc>
          <w:tcPr>
            <w:tcW w:w="4111" w:type="dxa"/>
            <w:vAlign w:val="center"/>
          </w:tcPr>
          <w:p w14:paraId="5D6F945D">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加大招商引资力度，积极引导通渝铁合金、同英锰业以商招商，通过整合重组实现升级改造；二是全力支持富宇锰业和华夏巨鳄基金整合，助推现有生产线产能恢复；三是跟进巴山钡渣场产权变更手续办理相关事宜，力争5万吨氯化钡项目尽快投产；四是受新冠肺炎疫情影响，2020年一季度预计实现规上工业产值1.66亿元，同比负增长15.30%。</w:t>
            </w:r>
          </w:p>
          <w:p w14:paraId="16A2E4CA">
            <w:pPr>
              <w:widowControl/>
              <w:spacing w:line="240" w:lineRule="exact"/>
              <w:jc w:val="left"/>
              <w:rPr>
                <w:rFonts w:ascii="Times New Roman" w:hAnsi="Times New Roman" w:eastAsia="方正仿宋_GBK"/>
                <w:spacing w:val="-2"/>
                <w:kern w:val="0"/>
                <w:szCs w:val="21"/>
              </w:rPr>
            </w:pPr>
          </w:p>
        </w:tc>
        <w:tc>
          <w:tcPr>
            <w:tcW w:w="2576" w:type="dxa"/>
          </w:tcPr>
          <w:p w14:paraId="3826A885">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原矿保障不足。11户规模工业中，锰加工企业5户，占45.45%，因原矿保障不足，未能释放产能，影响目标任务完成。二是流动资金困难。企业复工复产，装备升级急需资金，特别是锰钡加工业，融资难有突破；三是氯化钡项目投产投产时间延后。</w:t>
            </w:r>
          </w:p>
        </w:tc>
        <w:tc>
          <w:tcPr>
            <w:tcW w:w="3827" w:type="dxa"/>
          </w:tcPr>
          <w:p w14:paraId="043DD3BF">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督促华夏巨鳄基金公司加快生产线复产；二是积极引导通渝铁合金与临沂市亿利达铁合金有限公司共建10万吨硅锰合金项目落地；三是积极为企业服务紧跟巴山钡渣场产权变更手续办理相关事宜；四是抓实骨干企业复产复效。通过实施一企一策，蹲点联系制度，全力保障骨干企业正常生产。五是抓好锰加工企业原矿保障。全力协调金融机构，帮助企业融资。</w:t>
            </w:r>
          </w:p>
        </w:tc>
      </w:tr>
      <w:tr w14:paraId="206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986" w:type="dxa"/>
            <w:vAlign w:val="center"/>
          </w:tcPr>
          <w:p w14:paraId="5E8D0B1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38</w:t>
            </w:r>
            <w:r>
              <w:rPr>
                <w:rFonts w:ascii="Times New Roman" w:hAnsi="Times New Roman" w:eastAsia="方正仿宋_GBK"/>
                <w:color w:val="000000" w:themeColor="text1"/>
                <w:spacing w:val="-2"/>
                <w:kern w:val="0"/>
                <w:szCs w:val="21"/>
              </w:rPr>
              <w:t>.加强大巴山红色、民俗文化资源挖掘保护开发，创作一批精品文艺节目，丰富旅游产品供给。</w:t>
            </w:r>
          </w:p>
        </w:tc>
        <w:tc>
          <w:tcPr>
            <w:tcW w:w="850" w:type="dxa"/>
            <w:vAlign w:val="center"/>
          </w:tcPr>
          <w:p w14:paraId="361BC78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DAF8FD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23F2866C">
            <w:pPr>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57FDAB9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正在开展节目策划初期资料收集工作。</w:t>
            </w:r>
          </w:p>
        </w:tc>
        <w:tc>
          <w:tcPr>
            <w:tcW w:w="2576" w:type="dxa"/>
            <w:vAlign w:val="center"/>
          </w:tcPr>
          <w:p w14:paraId="65254536">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大巴山红色文化较分散，集中开发难度较大</w:t>
            </w:r>
          </w:p>
        </w:tc>
        <w:tc>
          <w:tcPr>
            <w:tcW w:w="3827" w:type="dxa"/>
            <w:vAlign w:val="center"/>
          </w:tcPr>
          <w:p w14:paraId="52650545">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加大统筹力度，力争创作一批展现我县红色文化、民俗文化的精品节目</w:t>
            </w:r>
          </w:p>
        </w:tc>
      </w:tr>
      <w:tr w14:paraId="34C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986" w:type="dxa"/>
            <w:vAlign w:val="center"/>
          </w:tcPr>
          <w:p w14:paraId="3FE61EEC">
            <w:pPr>
              <w:widowControl/>
              <w:spacing w:line="240" w:lineRule="exact"/>
              <w:rPr>
                <w:rFonts w:ascii="Times New Roman" w:hAnsi="Times New Roman" w:eastAsia="方正仿宋_GBK"/>
                <w:color w:val="000000" w:themeColor="text1"/>
                <w:spacing w:val="-2"/>
                <w:kern w:val="0"/>
                <w:szCs w:val="21"/>
                <w:lang w:val="zh-CN"/>
              </w:rPr>
            </w:pPr>
            <w:r>
              <w:rPr>
                <w:rFonts w:hint="eastAsia" w:ascii="Times New Roman" w:hAnsi="Times New Roman" w:eastAsia="方正仿宋_GBK"/>
                <w:color w:val="000000" w:themeColor="text1"/>
                <w:spacing w:val="-2"/>
                <w:kern w:val="0"/>
                <w:szCs w:val="21"/>
                <w:lang w:val="zh-CN"/>
              </w:rPr>
              <w:t>39</w:t>
            </w:r>
            <w:r>
              <w:rPr>
                <w:rFonts w:ascii="Times New Roman" w:hAnsi="Times New Roman" w:eastAsia="方正仿宋_GBK"/>
                <w:color w:val="000000" w:themeColor="text1"/>
                <w:spacing w:val="-2"/>
                <w:kern w:val="0"/>
                <w:szCs w:val="21"/>
                <w:lang w:val="zh-CN"/>
              </w:rPr>
              <w:t>.</w:t>
            </w:r>
            <w:r>
              <w:rPr>
                <w:rFonts w:ascii="Times New Roman" w:hAnsi="Times New Roman" w:eastAsia="方正仿宋_GBK"/>
                <w:color w:val="000000" w:themeColor="text1"/>
                <w:spacing w:val="-2"/>
                <w:kern w:val="0"/>
                <w:szCs w:val="21"/>
              </w:rPr>
              <w:t>深化山东临沂</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燕筑·朱家林</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专家团队合作，完成亢家寨国家5A级景区文创方案，促进农文旅产业全链条发展。</w:t>
            </w:r>
          </w:p>
        </w:tc>
        <w:tc>
          <w:tcPr>
            <w:tcW w:w="850" w:type="dxa"/>
            <w:vAlign w:val="center"/>
          </w:tcPr>
          <w:p w14:paraId="319EDAF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p w14:paraId="2766411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4C68B56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35FD6C7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58C9583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大巴山旅投公司有关乡镇（街道）</w:t>
            </w:r>
          </w:p>
        </w:tc>
        <w:tc>
          <w:tcPr>
            <w:tcW w:w="4111" w:type="dxa"/>
            <w:vAlign w:val="center"/>
          </w:tcPr>
          <w:p w14:paraId="3D71259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燕筑团队于2020年1月21日至23日再次到城口县进行考察，进一步明确了双方的合作方式和目标任务。目前，双方已初步建立了对接协调机制，由县发展改革委牵头，每周四与燕筑团队召开视频会议，协商处理项目推进有关问题。燕筑团队已初步完成2020年工作推进计划，有关事项双方正在进一步协商确定。</w:t>
            </w:r>
          </w:p>
          <w:p w14:paraId="76DC01D4">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4A9D04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需要成立领导小组和联合工作推进小组，便于指导和衔接工作；组建新公司，需要明确城口县的投资运营主体、双方合作模式（主要包括股权比例、运营管理权、监督权等）以及启动资金来源等；设立前期工作站，主要是在粮仓改造完成前，为燕筑团队提供工作场所；粮仓的使用方式问题，需要明确是租用还是购买。另外，粮仓目前还有部分住户需要搬迁安置（院内3户、沿街13户）；有关后勤服务保障工作，主要是食宿、交通等方面。</w:t>
            </w:r>
          </w:p>
        </w:tc>
        <w:tc>
          <w:tcPr>
            <w:tcW w:w="3827" w:type="dxa"/>
            <w:vAlign w:val="center"/>
          </w:tcPr>
          <w:p w14:paraId="42C80F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正在按程序申报人才周转房；已草拟前期筹备工作合同，燕筑团队入驻城口；尽快推动成立联合工作机制，成立领导小组。</w:t>
            </w:r>
          </w:p>
        </w:tc>
      </w:tr>
      <w:tr w14:paraId="4A44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986" w:type="dxa"/>
            <w:vAlign w:val="center"/>
          </w:tcPr>
          <w:p w14:paraId="03CDB10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40</w:t>
            </w:r>
            <w:r>
              <w:rPr>
                <w:rFonts w:ascii="Times New Roman" w:hAnsi="Times New Roman" w:eastAsia="方正仿宋_GBK"/>
                <w:color w:val="000000" w:themeColor="text1"/>
                <w:spacing w:val="-2"/>
                <w:kern w:val="0"/>
                <w:szCs w:val="21"/>
              </w:rPr>
              <w:t>.完善非遗保护体系，深入推进文物保护利用改革，加强传承实践能力建设和传承力度。举办县运会和第二届全国门球邀请赛，办好大巴山消夏养生节和大巴山彩叶节等文体节会。</w:t>
            </w:r>
          </w:p>
        </w:tc>
        <w:tc>
          <w:tcPr>
            <w:tcW w:w="850" w:type="dxa"/>
            <w:vAlign w:val="center"/>
          </w:tcPr>
          <w:p w14:paraId="09A52A4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157EADD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C7E4FE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大巴山旅投公司有关乡镇（街道）</w:t>
            </w:r>
          </w:p>
        </w:tc>
        <w:tc>
          <w:tcPr>
            <w:tcW w:w="4111" w:type="dxa"/>
            <w:vAlign w:val="center"/>
          </w:tcPr>
          <w:p w14:paraId="797D6E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启动了红三十三军庙坝指挥部旧址的二期修缮工作。二是完成文物App巡查1季度的巡查工作。三是完成城口县关于革命文物保护利用实施意见编制工作。四是完成了对25个乡镇的文物考核工作。五是完成纪念公园改扩建项目、红三十三军指挥部旧址及庙坝指挥部旧址环境改展陈的申报工作。六是正在开展全县不可移动文物摸底调查。七是启动了城口县非遗展示厅建设工作.截至目前,已完成装修方案第一次审定工作。八是完成《城口老腊肉制作技艺》、《搭红习俗》等6项市级非遗传承人的申报工作。积极筹备开展县运会等本地文旅体节庆活动。</w:t>
            </w:r>
          </w:p>
        </w:tc>
        <w:tc>
          <w:tcPr>
            <w:tcW w:w="2576" w:type="dxa"/>
            <w:vAlign w:val="center"/>
          </w:tcPr>
          <w:p w14:paraId="1A846A8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活动开展经费紧张。</w:t>
            </w:r>
          </w:p>
        </w:tc>
        <w:tc>
          <w:tcPr>
            <w:tcW w:w="3827" w:type="dxa"/>
            <w:vAlign w:val="center"/>
          </w:tcPr>
          <w:p w14:paraId="0E020D7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加大统筹，高质量开展节庆活动，进一步强化本地文旅体节庆活动的影响力。</w:t>
            </w:r>
          </w:p>
        </w:tc>
      </w:tr>
      <w:tr w14:paraId="31A1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986" w:type="dxa"/>
            <w:vAlign w:val="center"/>
          </w:tcPr>
          <w:p w14:paraId="290EA47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41</w:t>
            </w:r>
            <w:r>
              <w:rPr>
                <w:rFonts w:ascii="Times New Roman" w:hAnsi="Times New Roman" w:eastAsia="方正仿宋_GBK"/>
                <w:bCs/>
                <w:color w:val="000000" w:themeColor="text1"/>
                <w:spacing w:val="-2"/>
                <w:kern w:val="0"/>
                <w:szCs w:val="21"/>
              </w:rPr>
              <w:t>.积极争取城口县大巴山文化艺术中心等项目，搭建文创平台，开发文创产品。</w:t>
            </w:r>
          </w:p>
        </w:tc>
        <w:tc>
          <w:tcPr>
            <w:tcW w:w="850" w:type="dxa"/>
            <w:vAlign w:val="center"/>
          </w:tcPr>
          <w:p w14:paraId="0C10B75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323E06E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76AEA9C7">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59ED1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正在进行前期项目申报。</w:t>
            </w:r>
          </w:p>
        </w:tc>
        <w:tc>
          <w:tcPr>
            <w:tcW w:w="2576" w:type="dxa"/>
            <w:vAlign w:val="center"/>
          </w:tcPr>
          <w:p w14:paraId="0FBF393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申报难度较大。</w:t>
            </w:r>
          </w:p>
        </w:tc>
        <w:tc>
          <w:tcPr>
            <w:tcW w:w="3827" w:type="dxa"/>
            <w:vAlign w:val="center"/>
          </w:tcPr>
          <w:p w14:paraId="51D58C2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完善申报资料，，加强与上级相关部门的沟通联系，做好申报工作，力争申报成功</w:t>
            </w:r>
          </w:p>
        </w:tc>
      </w:tr>
      <w:tr w14:paraId="7BE7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86" w:type="dxa"/>
            <w:vAlign w:val="center"/>
          </w:tcPr>
          <w:p w14:paraId="48CF067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42</w:t>
            </w:r>
            <w:r>
              <w:rPr>
                <w:rFonts w:ascii="Times New Roman" w:hAnsi="Times New Roman" w:eastAsia="方正仿宋_GBK"/>
                <w:bCs/>
                <w:color w:val="000000" w:themeColor="text1"/>
                <w:spacing w:val="-2"/>
                <w:kern w:val="0"/>
                <w:szCs w:val="21"/>
              </w:rPr>
              <w:t>.完成农文旅融合发展规划编制。</w:t>
            </w:r>
          </w:p>
        </w:tc>
        <w:tc>
          <w:tcPr>
            <w:tcW w:w="850" w:type="dxa"/>
            <w:vAlign w:val="center"/>
          </w:tcPr>
          <w:p w14:paraId="64A5254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ADAAEFF">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99365B2">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EF9CF1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完成市级专家评审意见修改。</w:t>
            </w:r>
          </w:p>
        </w:tc>
        <w:tc>
          <w:tcPr>
            <w:tcW w:w="2576" w:type="dxa"/>
            <w:vAlign w:val="center"/>
          </w:tcPr>
          <w:p w14:paraId="412A46D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规划涵盖范围广，需要一段较长的时间修改完善。</w:t>
            </w:r>
          </w:p>
        </w:tc>
        <w:tc>
          <w:tcPr>
            <w:tcW w:w="3827" w:type="dxa"/>
            <w:vAlign w:val="center"/>
          </w:tcPr>
          <w:p w14:paraId="1D2A7E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力争今年完成《城口县农文旅融合发展专项规划》。</w:t>
            </w:r>
          </w:p>
        </w:tc>
      </w:tr>
      <w:tr w14:paraId="29EC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986" w:type="dxa"/>
            <w:vAlign w:val="center"/>
          </w:tcPr>
          <w:p w14:paraId="70D10AE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43</w:t>
            </w:r>
            <w:r>
              <w:rPr>
                <w:rFonts w:ascii="Times New Roman" w:hAnsi="Times New Roman" w:eastAsia="方正仿宋_GBK"/>
                <w:bCs/>
                <w:color w:val="000000" w:themeColor="text1"/>
                <w:spacing w:val="-2"/>
                <w:kern w:val="0"/>
                <w:szCs w:val="21"/>
              </w:rPr>
              <w:t>.力争基本建成亢家寨国家5A级</w:t>
            </w:r>
            <w:r>
              <w:rPr>
                <w:rFonts w:hint="eastAsia" w:ascii="Times New Roman" w:hAnsi="Times New Roman" w:eastAsia="方正仿宋_GBK"/>
                <w:bCs/>
                <w:color w:val="000000" w:themeColor="text1"/>
                <w:spacing w:val="-2"/>
                <w:kern w:val="0"/>
                <w:szCs w:val="21"/>
              </w:rPr>
              <w:t>旅游</w:t>
            </w:r>
            <w:r>
              <w:rPr>
                <w:rFonts w:ascii="Times New Roman" w:hAnsi="Times New Roman" w:eastAsia="方正仿宋_GBK"/>
                <w:bCs/>
                <w:color w:val="000000" w:themeColor="text1"/>
                <w:spacing w:val="-2"/>
                <w:kern w:val="0"/>
                <w:szCs w:val="21"/>
              </w:rPr>
              <w:t>景区及亢谷国家级旅游度假区，推进九重山国家5A级旅游景区建设，完成土城老街景区业态布局，创建国家4A级、3A级</w:t>
            </w:r>
            <w:r>
              <w:rPr>
                <w:rFonts w:hint="eastAsia" w:ascii="Times New Roman" w:hAnsi="Times New Roman" w:eastAsia="方正仿宋_GBK"/>
                <w:bCs/>
                <w:color w:val="000000" w:themeColor="text1"/>
                <w:spacing w:val="-2"/>
                <w:kern w:val="0"/>
                <w:szCs w:val="21"/>
              </w:rPr>
              <w:t>旅游</w:t>
            </w:r>
            <w:r>
              <w:rPr>
                <w:rFonts w:ascii="Times New Roman" w:hAnsi="Times New Roman" w:eastAsia="方正仿宋_GBK"/>
                <w:bCs/>
                <w:color w:val="000000" w:themeColor="text1"/>
                <w:spacing w:val="-2"/>
                <w:kern w:val="0"/>
                <w:szCs w:val="21"/>
              </w:rPr>
              <w:t>景区各1个。</w:t>
            </w:r>
          </w:p>
        </w:tc>
        <w:tc>
          <w:tcPr>
            <w:tcW w:w="850" w:type="dxa"/>
            <w:vAlign w:val="center"/>
          </w:tcPr>
          <w:p w14:paraId="43AF0C9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68F3F9A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3310F78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县鼎兴公司、大巴山旅投公司</w:t>
            </w:r>
          </w:p>
          <w:p w14:paraId="410EE2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5538A97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启动亢家寨国家5A级旅游景区及亢谷国家级旅游度假区建设任务，召开县四家班子主要领导现场调研会议；完成九重山国家5A级旅游景区总体规划汇报会，启动修建性详细规划及控制性规划编制；编制完成土城老街业态布局规划。</w:t>
            </w:r>
          </w:p>
        </w:tc>
        <w:tc>
          <w:tcPr>
            <w:tcW w:w="2576" w:type="dxa"/>
            <w:vAlign w:val="center"/>
          </w:tcPr>
          <w:p w14:paraId="7EECAA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工程建设受天气影响较大。</w:t>
            </w:r>
          </w:p>
        </w:tc>
        <w:tc>
          <w:tcPr>
            <w:tcW w:w="3827" w:type="dxa"/>
            <w:vAlign w:val="center"/>
          </w:tcPr>
          <w:p w14:paraId="1BD4109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倒排工期，抢抓工时，力争如期完成创建任务。</w:t>
            </w:r>
          </w:p>
        </w:tc>
      </w:tr>
      <w:tr w14:paraId="67C6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06AA68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44.</w:t>
            </w:r>
            <w:r>
              <w:rPr>
                <w:rFonts w:ascii="Times New Roman" w:hAnsi="Times New Roman" w:eastAsia="方正仿宋_GBK"/>
                <w:bCs/>
                <w:color w:val="000000" w:themeColor="text1"/>
                <w:spacing w:val="-2"/>
                <w:kern w:val="0"/>
                <w:szCs w:val="21"/>
              </w:rPr>
              <w:t>建成</w:t>
            </w:r>
            <w:r>
              <w:rPr>
                <w:rFonts w:hint="eastAsia" w:ascii="Times New Roman" w:hAnsi="Times New Roman" w:eastAsia="方正仿宋_GBK"/>
                <w:bCs/>
                <w:color w:val="000000" w:themeColor="text1"/>
                <w:spacing w:val="-2"/>
                <w:kern w:val="0"/>
                <w:szCs w:val="21"/>
              </w:rPr>
              <w:t>投运</w:t>
            </w:r>
            <w:r>
              <w:rPr>
                <w:rFonts w:ascii="Times New Roman" w:hAnsi="Times New Roman" w:eastAsia="方正仿宋_GBK"/>
                <w:bCs/>
                <w:color w:val="000000" w:themeColor="text1"/>
                <w:spacing w:val="-2"/>
                <w:kern w:val="0"/>
                <w:szCs w:val="21"/>
              </w:rPr>
              <w:t>河鱼两扇门、厚坪龙盘乡村旅游集群片区，推进周溪九龙坪、双河天星乡村旅游集群片区建设，培育高端康养、中医保健、食疗休养、医养结合等产</w:t>
            </w:r>
            <w:r>
              <w:rPr>
                <w:rFonts w:hint="eastAsia" w:ascii="Times New Roman" w:hAnsi="Times New Roman" w:eastAsia="方正仿宋_GBK"/>
                <w:bCs/>
                <w:color w:val="000000" w:themeColor="text1"/>
                <w:spacing w:val="-2"/>
                <w:kern w:val="0"/>
                <w:szCs w:val="21"/>
              </w:rPr>
              <w:t>业</w:t>
            </w:r>
            <w:r>
              <w:rPr>
                <w:rFonts w:ascii="Times New Roman" w:hAnsi="Times New Roman" w:eastAsia="方正仿宋_GBK"/>
                <w:bCs/>
                <w:color w:val="000000" w:themeColor="text1"/>
                <w:spacing w:val="-2"/>
                <w:kern w:val="0"/>
                <w:szCs w:val="21"/>
              </w:rPr>
              <w:t>，开发1条精品旅游路线、1个自驾游目的地。</w:t>
            </w:r>
          </w:p>
        </w:tc>
        <w:tc>
          <w:tcPr>
            <w:tcW w:w="850" w:type="dxa"/>
            <w:vAlign w:val="center"/>
          </w:tcPr>
          <w:p w14:paraId="2D08BEB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46129D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6A5BBC3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w:t>
            </w:r>
          </w:p>
          <w:p w14:paraId="59488ED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49ED04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全面启动河鱼两扇门集群片区建设，完成主体建筑11栋，启动管网、桥梁、道路、生态河堤等基础设施建设；启动厚坪龙盘基础设施建设前期工作，持续推进周溪九龙坪、双河天星集群片区招商引资工作。</w:t>
            </w:r>
          </w:p>
        </w:tc>
        <w:tc>
          <w:tcPr>
            <w:tcW w:w="2576" w:type="dxa"/>
            <w:vAlign w:val="center"/>
          </w:tcPr>
          <w:p w14:paraId="236AD44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周溪九龙坡拟纳入九重山景区集中开发打造。</w:t>
            </w:r>
          </w:p>
          <w:p w14:paraId="324B784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E7C4AF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序时推进集群片区建设，打造1-2条精品旅游线路，一个自驾游目的地。</w:t>
            </w:r>
          </w:p>
          <w:p w14:paraId="0D46319E">
            <w:pPr>
              <w:widowControl/>
              <w:spacing w:line="240" w:lineRule="exact"/>
              <w:jc w:val="left"/>
              <w:rPr>
                <w:rFonts w:ascii="Times New Roman" w:hAnsi="Times New Roman" w:eastAsia="方正仿宋_GBK"/>
                <w:color w:val="000000" w:themeColor="text1"/>
                <w:spacing w:val="-2"/>
                <w:kern w:val="0"/>
                <w:szCs w:val="21"/>
              </w:rPr>
            </w:pPr>
          </w:p>
        </w:tc>
      </w:tr>
      <w:tr w14:paraId="2E12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986" w:type="dxa"/>
            <w:vAlign w:val="center"/>
          </w:tcPr>
          <w:p w14:paraId="1D99DB02">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45.按照山水林田湖草一体化原则，引导老旧乡村旅游集群片区提档升级。</w:t>
            </w:r>
          </w:p>
        </w:tc>
        <w:tc>
          <w:tcPr>
            <w:tcW w:w="850" w:type="dxa"/>
            <w:vAlign w:val="center"/>
          </w:tcPr>
          <w:p w14:paraId="415AB4D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2A76D81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4C3132F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6F90A8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按照“一村一品”的思路、“原乡、原味、原生”的理念，引导全县 25 个乡镇街道集群化发展形式多样、特色鲜明、个性突出的乡村旅游产品，完善配套设施，构建完备的旅游目的地支撑体系。</w:t>
            </w:r>
          </w:p>
        </w:tc>
        <w:tc>
          <w:tcPr>
            <w:tcW w:w="2576" w:type="dxa"/>
            <w:vAlign w:val="center"/>
          </w:tcPr>
          <w:p w14:paraId="63424CE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部分经营业主不愿意转变思想。</w:t>
            </w:r>
          </w:p>
          <w:p w14:paraId="5F7AEB6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6968D6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进一步统一思想，按照集群的方式打造风格各异的各具特色的大巴山森林人家集群片区。</w:t>
            </w:r>
          </w:p>
        </w:tc>
      </w:tr>
      <w:tr w14:paraId="6F5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986" w:type="dxa"/>
            <w:vAlign w:val="center"/>
          </w:tcPr>
          <w:p w14:paraId="2C155ECA">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46.</w:t>
            </w:r>
            <w:r>
              <w:rPr>
                <w:rFonts w:ascii="Times New Roman" w:hAnsi="Times New Roman" w:eastAsia="方正仿宋_GBK"/>
                <w:bCs/>
                <w:color w:val="000000" w:themeColor="text1"/>
                <w:spacing w:val="-2"/>
                <w:kern w:val="0"/>
                <w:szCs w:val="21"/>
              </w:rPr>
              <w:t>全年接待游客达到430万人次，旅游综合收入突破8.5亿元。</w:t>
            </w:r>
          </w:p>
        </w:tc>
        <w:tc>
          <w:tcPr>
            <w:tcW w:w="850" w:type="dxa"/>
            <w:vAlign w:val="center"/>
          </w:tcPr>
          <w:p w14:paraId="7D0EB8F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84ACCC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6DF86D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大巴山旅投公司有关乡镇（街道）</w:t>
            </w:r>
          </w:p>
        </w:tc>
        <w:tc>
          <w:tcPr>
            <w:tcW w:w="4111" w:type="dxa"/>
            <w:vAlign w:val="center"/>
          </w:tcPr>
          <w:p w14:paraId="1276CE4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受疫情影响，一季度游客出行急遽减少。一季度接待游客达到32.05万人次，同比减少37.46%，旅游综合收入0.695亿元，同比减少37.39%。加强宣传推广，做好疫情结束后的市场重启工作。</w:t>
            </w:r>
          </w:p>
        </w:tc>
        <w:tc>
          <w:tcPr>
            <w:tcW w:w="2576" w:type="dxa"/>
            <w:vAlign w:val="center"/>
          </w:tcPr>
          <w:p w14:paraId="3229569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一季度受疫情防控工作影响，游客接待量、旅游综合收入骤降</w:t>
            </w:r>
          </w:p>
          <w:p w14:paraId="07D5C11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w:t>
            </w:r>
          </w:p>
        </w:tc>
        <w:tc>
          <w:tcPr>
            <w:tcW w:w="3827" w:type="dxa"/>
            <w:vAlign w:val="center"/>
          </w:tcPr>
          <w:p w14:paraId="39B242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通过加大宣传等措施，实现客源市场的有效组织，力争挽回疫情对我县旅游产业带来的负面影响。</w:t>
            </w:r>
          </w:p>
          <w:p w14:paraId="0458936C">
            <w:pPr>
              <w:widowControl/>
              <w:spacing w:line="240" w:lineRule="exact"/>
              <w:jc w:val="left"/>
              <w:rPr>
                <w:rFonts w:ascii="Times New Roman" w:hAnsi="Times New Roman" w:eastAsia="方正仿宋_GBK"/>
                <w:color w:val="000000" w:themeColor="text1"/>
                <w:spacing w:val="-2"/>
                <w:kern w:val="0"/>
                <w:szCs w:val="21"/>
              </w:rPr>
            </w:pPr>
          </w:p>
        </w:tc>
      </w:tr>
      <w:tr w14:paraId="22C0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43" w:type="dxa"/>
            <w:gridSpan w:val="7"/>
            <w:vAlign w:val="center"/>
          </w:tcPr>
          <w:p w14:paraId="72950843">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（四）推进城乡一体化建设，提高城乡协调发展质量。</w:t>
            </w:r>
          </w:p>
        </w:tc>
      </w:tr>
      <w:tr w14:paraId="79E1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1986" w:type="dxa"/>
            <w:vAlign w:val="center"/>
          </w:tcPr>
          <w:p w14:paraId="1073AB7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47</w:t>
            </w:r>
            <w:r>
              <w:rPr>
                <w:rFonts w:ascii="Times New Roman" w:hAnsi="Times New Roman" w:eastAsia="方正仿宋_GBK"/>
                <w:bCs/>
                <w:color w:val="000000" w:themeColor="text1"/>
                <w:spacing w:val="-2"/>
                <w:kern w:val="0"/>
                <w:szCs w:val="21"/>
              </w:rPr>
              <w:t>.按照</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多规合一</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要求，推进各类规划编制。</w:t>
            </w:r>
          </w:p>
        </w:tc>
        <w:tc>
          <w:tcPr>
            <w:tcW w:w="850" w:type="dxa"/>
            <w:vAlign w:val="center"/>
          </w:tcPr>
          <w:p w14:paraId="0B7B646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5456D06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27EECCD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3CE9B7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该项工作已经市规划自然资源局审核入库。</w:t>
            </w:r>
          </w:p>
          <w:p w14:paraId="393AA28D">
            <w:pPr>
              <w:widowControl/>
              <w:spacing w:line="240" w:lineRule="exact"/>
              <w:jc w:val="left"/>
              <w:rPr>
                <w:rFonts w:ascii="Times New Roman" w:hAnsi="Times New Roman" w:eastAsia="方正仿宋_GBK"/>
                <w:color w:val="000000" w:themeColor="text1"/>
                <w:spacing w:val="-2"/>
                <w:kern w:val="0"/>
                <w:szCs w:val="21"/>
              </w:rPr>
            </w:pPr>
          </w:p>
          <w:p w14:paraId="054AC661">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0C4B7462">
            <w:pPr>
              <w:spacing w:line="240" w:lineRule="exact"/>
              <w:jc w:val="left"/>
              <w:rPr>
                <w:rFonts w:ascii="Times New Roman" w:hAnsi="Times New Roman" w:eastAsia="方正仿宋_GBK"/>
                <w:color w:val="000000" w:themeColor="text1"/>
                <w:spacing w:val="-2"/>
                <w:kern w:val="0"/>
                <w:szCs w:val="21"/>
              </w:rPr>
            </w:pPr>
          </w:p>
          <w:p w14:paraId="7E6D29A1">
            <w:pPr>
              <w:spacing w:line="240" w:lineRule="exact"/>
              <w:jc w:val="left"/>
              <w:rPr>
                <w:rFonts w:ascii="Times New Roman" w:hAnsi="Times New Roman" w:eastAsia="方正仿宋_GBK"/>
                <w:color w:val="000000" w:themeColor="text1"/>
                <w:spacing w:val="-2"/>
                <w:kern w:val="0"/>
                <w:szCs w:val="21"/>
              </w:rPr>
            </w:pPr>
          </w:p>
          <w:p w14:paraId="13721BA4">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原先的多规合一规划成果不能满足新形势下国家、市级层面的新要求、新部署，需进一步深化。</w:t>
            </w:r>
          </w:p>
          <w:p w14:paraId="6554F61B">
            <w:pPr>
              <w:widowControl/>
              <w:spacing w:line="240" w:lineRule="exact"/>
              <w:jc w:val="left"/>
              <w:rPr>
                <w:rFonts w:ascii="Times New Roman" w:hAnsi="Times New Roman" w:eastAsia="方正仿宋_GBK"/>
                <w:color w:val="000000" w:themeColor="text1"/>
                <w:spacing w:val="-2"/>
                <w:kern w:val="0"/>
                <w:szCs w:val="21"/>
              </w:rPr>
            </w:pPr>
          </w:p>
          <w:p w14:paraId="14E37CE3">
            <w:pPr>
              <w:spacing w:line="240" w:lineRule="exact"/>
              <w:jc w:val="left"/>
              <w:rPr>
                <w:rFonts w:ascii="Times New Roman" w:hAnsi="Times New Roman" w:eastAsia="方正仿宋_GBK"/>
                <w:color w:val="000000" w:themeColor="text1"/>
                <w:spacing w:val="-2"/>
                <w:kern w:val="0"/>
                <w:szCs w:val="21"/>
              </w:rPr>
            </w:pPr>
          </w:p>
          <w:p w14:paraId="5B2B3512">
            <w:pPr>
              <w:spacing w:line="240" w:lineRule="exact"/>
              <w:jc w:val="left"/>
              <w:rPr>
                <w:rFonts w:ascii="Times New Roman" w:hAnsi="Times New Roman" w:eastAsia="方正仿宋_GBK"/>
                <w:color w:val="000000" w:themeColor="text1"/>
                <w:spacing w:val="-2"/>
                <w:kern w:val="0"/>
                <w:szCs w:val="21"/>
              </w:rPr>
            </w:pPr>
          </w:p>
          <w:p w14:paraId="287CBB16">
            <w:pPr>
              <w:spacing w:line="240" w:lineRule="exact"/>
              <w:jc w:val="left"/>
              <w:rPr>
                <w:rFonts w:ascii="Times New Roman" w:hAnsi="Times New Roman" w:eastAsia="方正仿宋_GBK"/>
                <w:color w:val="000000" w:themeColor="text1"/>
                <w:spacing w:val="-2"/>
                <w:kern w:val="0"/>
                <w:szCs w:val="21"/>
              </w:rPr>
            </w:pPr>
          </w:p>
          <w:p w14:paraId="0AA21070">
            <w:pPr>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3C3AB10">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盘活土地资源，解决因为不同规划协调不佳的问题，导致土地无法使用的情况，提高土地使用效率；二是增强规划刚性，通过协调各规划之间的矛盾，避免因规划不一致导致的相互频繁调整，形成统一的空间管控目标，提高规划的可实施性；三是提高管理效能，在协调统一的”一张图”空间管控下，开展规划建设管理，支持项目开发的合规性审查，保障土地资源高效供应，推进项目建设；四是节约成本，改变建设项目落地审批中，因规划原因造成的流程复杂化、论证周期长的现状，做到“一规调整、多规联动”，节约管理成本。</w:t>
            </w:r>
          </w:p>
          <w:p w14:paraId="6CE7379E">
            <w:pPr>
              <w:widowControl/>
              <w:spacing w:line="240" w:lineRule="exact"/>
              <w:jc w:val="left"/>
              <w:rPr>
                <w:rFonts w:ascii="Times New Roman" w:hAnsi="Times New Roman" w:eastAsia="方正仿宋_GBK"/>
                <w:color w:val="000000" w:themeColor="text1"/>
                <w:spacing w:val="-2"/>
                <w:kern w:val="0"/>
                <w:szCs w:val="21"/>
              </w:rPr>
            </w:pPr>
          </w:p>
        </w:tc>
      </w:tr>
      <w:tr w14:paraId="5429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986" w:type="dxa"/>
            <w:vAlign w:val="center"/>
          </w:tcPr>
          <w:p w14:paraId="5EA8D9B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48</w:t>
            </w:r>
            <w:r>
              <w:rPr>
                <w:rFonts w:ascii="Times New Roman" w:hAnsi="Times New Roman" w:eastAsia="方正仿宋_GBK"/>
                <w:bCs/>
                <w:color w:val="000000" w:themeColor="text1"/>
                <w:spacing w:val="-2"/>
                <w:kern w:val="0"/>
                <w:szCs w:val="21"/>
              </w:rPr>
              <w:t>.完成国土空间规划（2020~2035年）编制和乡镇规划修编。</w:t>
            </w:r>
          </w:p>
        </w:tc>
        <w:tc>
          <w:tcPr>
            <w:tcW w:w="850" w:type="dxa"/>
            <w:vAlign w:val="center"/>
          </w:tcPr>
          <w:p w14:paraId="20162D2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2A72C008">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6791372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5E1E475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目前相关工作按照我县国土空间规划编制实施方案要求的时间节点有序推进，预计6月底形成初步成果，力争2020年8月底前上报审批； 2018年已完成13个镇乡总规修编以及16个镇乡规划评估工作。今年原计划继续完成剩余镇乡的修编和评估工作。经过与市局沟通，由于新的镇乡国土空间规划将于2020年全面完成，届时会对全县镇乡的总规进行全面的评估及修整，所以建议各个区县不再单独对镇乡规划进行修编和评估，此项工作一并纳入新的镇乡国土空间规划编制统筹安排。</w:t>
            </w:r>
          </w:p>
          <w:p w14:paraId="32B96D6B">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6A9A86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乡村三级规划编制金费紧张。初步预算编制县乡村三级规划所需费用约1000万。三级规划国家和市级没有专项补助资金，要求县财政自筹解决；截至目前全市的国土空间规划还未出台，我县总规虽已启动，但相关编制工作缺乏指导和支撑，部分村规划编制工作借用的基础数据也在同步更新，非最终成果，在规定的时间节点内保质完成任务有部分压力；镇乡国土空间规划编制缺少实用的规范性文件，导致工作开展较被动。</w:t>
            </w:r>
          </w:p>
        </w:tc>
        <w:tc>
          <w:tcPr>
            <w:tcW w:w="3827" w:type="dxa"/>
          </w:tcPr>
          <w:p w14:paraId="08D6A68F">
            <w:pPr>
              <w:widowControl/>
              <w:spacing w:line="240" w:lineRule="exact"/>
              <w:jc w:val="left"/>
              <w:rPr>
                <w:rFonts w:ascii="Times New Roman" w:hAnsi="Times New Roman" w:eastAsia="方正仿宋_GBK"/>
                <w:color w:val="000000" w:themeColor="text1"/>
                <w:spacing w:val="-2"/>
                <w:kern w:val="0"/>
                <w:szCs w:val="21"/>
              </w:rPr>
            </w:pPr>
          </w:p>
          <w:p w14:paraId="347F5450">
            <w:pPr>
              <w:widowControl/>
              <w:spacing w:line="240" w:lineRule="exact"/>
              <w:jc w:val="left"/>
              <w:rPr>
                <w:rFonts w:ascii="Times New Roman" w:hAnsi="Times New Roman" w:eastAsia="方正仿宋_GBK"/>
                <w:color w:val="000000" w:themeColor="text1"/>
                <w:spacing w:val="-2"/>
                <w:kern w:val="0"/>
                <w:szCs w:val="21"/>
              </w:rPr>
            </w:pPr>
          </w:p>
          <w:p w14:paraId="5BB4BB51">
            <w:pPr>
              <w:widowControl/>
              <w:spacing w:line="240" w:lineRule="exact"/>
              <w:jc w:val="left"/>
              <w:rPr>
                <w:rFonts w:ascii="Times New Roman" w:hAnsi="Times New Roman" w:eastAsia="方正仿宋_GBK"/>
                <w:color w:val="000000" w:themeColor="text1"/>
                <w:spacing w:val="-2"/>
                <w:kern w:val="0"/>
                <w:szCs w:val="21"/>
              </w:rPr>
            </w:pPr>
          </w:p>
          <w:p w14:paraId="6E6CFFF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向市规划自然资源局争取规划编制金费；密切联系市规划自然资源局相关处室，在技术业务方面给予支持；加快生态红线评估调整工作，密切联系自保局、林业局相关单位深化自然保护地的整合优化工作，进一步推动永久基本农田调整补划工作，为统筹划定“三条控制线”奠定基础。于近期召开全县国土空间总体规划编制启动大会。</w:t>
            </w:r>
          </w:p>
          <w:p w14:paraId="2CFA649E">
            <w:pPr>
              <w:widowControl/>
              <w:spacing w:line="240" w:lineRule="exact"/>
              <w:jc w:val="left"/>
              <w:rPr>
                <w:rFonts w:ascii="Times New Roman" w:hAnsi="Times New Roman" w:eastAsia="方正仿宋_GBK"/>
                <w:color w:val="000000" w:themeColor="text1"/>
                <w:spacing w:val="-2"/>
                <w:kern w:val="0"/>
                <w:szCs w:val="21"/>
              </w:rPr>
            </w:pPr>
          </w:p>
        </w:tc>
      </w:tr>
      <w:tr w14:paraId="2BC9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53D9681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49</w:t>
            </w:r>
            <w:r>
              <w:rPr>
                <w:rFonts w:ascii="Times New Roman" w:hAnsi="Times New Roman" w:eastAsia="方正仿宋_GBK"/>
                <w:bCs/>
                <w:color w:val="000000" w:themeColor="text1"/>
                <w:spacing w:val="-2"/>
                <w:kern w:val="0"/>
                <w:szCs w:val="21"/>
              </w:rPr>
              <w:t>.强化规划刚性约束，加强城乡规划实施管理与监督，充分发挥规划对土地集约使用和城乡建设的指导和调控作用，维护规划严肃性、权威性</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促进城乡社会有序发展。</w:t>
            </w:r>
          </w:p>
        </w:tc>
        <w:tc>
          <w:tcPr>
            <w:tcW w:w="850" w:type="dxa"/>
            <w:vAlign w:val="center"/>
          </w:tcPr>
          <w:p w14:paraId="052877F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0539F2E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493F572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7DE0475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进行城乡规划调整；要求乡镇（街道）规划和自然资源工作人员在建设用地审批过程中配合所在地政府严把规划许可关。加强农房建设管理工作，规范农民建房行为；2020年一季度共计发现规划自然资源违法行为18宗，立案查处7宗（其中拆除4宗，拆除面积925.71平方米；没收2宗，没收面积5863.18平方米；还有1宗正按程序查处之中），共处行政罚款4.1754万元，11宗违法行为已停建整改；实地核查季度在线遥感监测图斑在线举证36个，有力保障城乡规划的实施。</w:t>
            </w:r>
          </w:p>
          <w:p w14:paraId="72465D01">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6C3DBF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规划前瞻性、科学性不够，监督及管理力度缺乏；乡镇人民政府对规划重要性的认识不高，乡村规划管理滞后；规划人才缺乏，相关工作人员规划管理业务知识不足；执法力量严重不足，执法车辆和服装需配备；需多部门、多专业联动参与。</w:t>
            </w:r>
          </w:p>
          <w:p w14:paraId="3604A496">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ED5E1D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城乡规划调整，严格管控规划指标；加强规划管理业务培训，提高相关工作人员业务能力；进一步提高对城乡规划管理工作的认识，切实增强规划法制观念；配合执法支队加大规划执法监察力度。按“消除存量、控制新增”消除历史违法案件，严控新增违法案件；加大对违法案件的打击力度，发现一起严查一起。</w:t>
            </w:r>
          </w:p>
          <w:p w14:paraId="2BB9C7DC">
            <w:pPr>
              <w:widowControl/>
              <w:spacing w:line="240" w:lineRule="exact"/>
              <w:jc w:val="left"/>
              <w:rPr>
                <w:rFonts w:ascii="Times New Roman" w:hAnsi="Times New Roman" w:eastAsia="方正仿宋_GBK"/>
                <w:color w:val="000000" w:themeColor="text1"/>
                <w:spacing w:val="-2"/>
                <w:kern w:val="0"/>
                <w:szCs w:val="21"/>
              </w:rPr>
            </w:pPr>
          </w:p>
        </w:tc>
      </w:tr>
      <w:tr w14:paraId="1B0D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6" w:type="dxa"/>
            <w:vAlign w:val="center"/>
          </w:tcPr>
          <w:p w14:paraId="37ED8DF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50</w:t>
            </w:r>
            <w:r>
              <w:rPr>
                <w:rFonts w:ascii="Times New Roman" w:hAnsi="Times New Roman" w:eastAsia="方正仿宋_GBK"/>
                <w:color w:val="000000" w:themeColor="text1"/>
                <w:spacing w:val="-2"/>
                <w:kern w:val="0"/>
                <w:szCs w:val="21"/>
              </w:rPr>
              <w:t>.深入推进城市建设攻坚战，完善城市配套功能，完成滨河公园路县城核心区段、北环路</w:t>
            </w:r>
            <w:r>
              <w:rPr>
                <w:rFonts w:hint="eastAsia" w:ascii="Times New Roman" w:hAnsi="Times New Roman" w:eastAsia="方正仿宋_GBK"/>
                <w:color w:val="000000" w:themeColor="text1"/>
                <w:spacing w:val="-2"/>
                <w:kern w:val="0"/>
                <w:szCs w:val="21"/>
              </w:rPr>
              <w:t>西段</w:t>
            </w:r>
            <w:r>
              <w:rPr>
                <w:rFonts w:ascii="Times New Roman" w:hAnsi="Times New Roman" w:eastAsia="方正仿宋_GBK"/>
                <w:color w:val="000000" w:themeColor="text1"/>
                <w:spacing w:val="-2"/>
                <w:kern w:val="0"/>
                <w:szCs w:val="21"/>
              </w:rPr>
              <w:t>、茅坪片区市政道路、四塘坝大桥主体建设和23个片区老旧小区改造。</w:t>
            </w:r>
          </w:p>
        </w:tc>
        <w:tc>
          <w:tcPr>
            <w:tcW w:w="850" w:type="dxa"/>
            <w:vAlign w:val="center"/>
          </w:tcPr>
          <w:p w14:paraId="4C8FB2F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滕兴中</w:t>
            </w:r>
          </w:p>
        </w:tc>
        <w:tc>
          <w:tcPr>
            <w:tcW w:w="1134" w:type="dxa"/>
            <w:vAlign w:val="center"/>
          </w:tcPr>
          <w:p w14:paraId="2D122EBF">
            <w:pPr>
              <w:spacing w:line="240" w:lineRule="exact"/>
              <w:jc w:val="center"/>
              <w:rPr>
                <w:rFonts w:ascii="Times New Roman" w:hAnsi="Times New Roman" w:eastAsia="方正仿宋_GBK"/>
                <w:color w:val="000000" w:themeColor="text1"/>
                <w:spacing w:val="-10"/>
                <w:szCs w:val="21"/>
              </w:rPr>
            </w:pPr>
          </w:p>
          <w:p w14:paraId="2DF84ED6">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10"/>
                <w:szCs w:val="21"/>
              </w:rPr>
              <w:t>县</w:t>
            </w:r>
            <w:r>
              <w:rPr>
                <w:rFonts w:hint="eastAsia" w:ascii="Times New Roman" w:hAnsi="Times New Roman" w:eastAsia="方正仿宋_GBK"/>
                <w:color w:val="000000" w:themeColor="text1"/>
                <w:spacing w:val="-10"/>
                <w:szCs w:val="21"/>
              </w:rPr>
              <w:t>住房城乡建委</w:t>
            </w:r>
          </w:p>
          <w:p w14:paraId="280BFAAF">
            <w:pPr>
              <w:spacing w:line="240" w:lineRule="exact"/>
              <w:jc w:val="center"/>
              <w:rPr>
                <w:rFonts w:ascii="Times New Roman" w:hAnsi="Times New Roman" w:eastAsia="方正仿宋_GBK"/>
                <w:color w:val="000000" w:themeColor="text1"/>
                <w:spacing w:val="-2"/>
                <w:szCs w:val="21"/>
              </w:rPr>
            </w:pPr>
          </w:p>
        </w:tc>
        <w:tc>
          <w:tcPr>
            <w:tcW w:w="1559" w:type="dxa"/>
            <w:vAlign w:val="center"/>
          </w:tcPr>
          <w:p w14:paraId="5EBDE1B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县鼎兴公司、鹏欣公司等有关乡镇（街道）</w:t>
            </w:r>
          </w:p>
        </w:tc>
        <w:tc>
          <w:tcPr>
            <w:tcW w:w="4111" w:type="dxa"/>
            <w:vAlign w:val="center"/>
          </w:tcPr>
          <w:p w14:paraId="082E2D6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目前低坝子项目已确定了业主单位，启动低坝子片区前期入场测绘和社区入户调查、征求意见工作，预计5月10以前规划设计完成、5月底进场施工，其余22个小区改造工作均待确定了业主单位后启动。已成立老旧小区改造领导小组文件，待县领导审签后发文。</w:t>
            </w:r>
          </w:p>
          <w:p w14:paraId="4D0AECA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二是滨河公园路南北两岸于3月上旬全面复工，目前正在序时推进；北环路西段于3月上旬复工，正在进行路基施工；茅坪片区市政道路于3月上旬复工， 2号路正在进行水稳层施工，预计4月初完成2号路建设，四塘坝大桥序时推进，即将开始基础施工。</w:t>
            </w:r>
          </w:p>
        </w:tc>
        <w:tc>
          <w:tcPr>
            <w:tcW w:w="2576" w:type="dxa"/>
          </w:tcPr>
          <w:p w14:paraId="3D900A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除低坝子片区以外，其他老旧小区改造项目业主单位还未确定，前期规划设计工作还不能开展。二是部分业主在改造内容上意见不统一，特别是在已经入户调查的小区里面，存在多起违章搭建问题（均是历史遗留问题），如果需要达到预期的改造效果和价值，必须要彻底清理这些违章问题。</w:t>
            </w:r>
          </w:p>
        </w:tc>
        <w:tc>
          <w:tcPr>
            <w:tcW w:w="3827" w:type="dxa"/>
          </w:tcPr>
          <w:p w14:paraId="00512B7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协同相关单位，加大协调配合力度，尽快启动老旧楼院改造项目（包括2019年还未启动的部分老旧小区项目）。二是请示县委县政府，争取加大执法力度，彻底解决历史遗留问题，让老旧小区改造达到应有的效果。三是同县发改委、财政局等部门协调，争取将部分符合条件的老旧小区改造项目同《重庆市住房和城乡建设委员会关于做好2020远郊区县人居环境改善示范项目申报的通知》内容相结合，加大上级政策扶持和资金争取力度。</w:t>
            </w:r>
          </w:p>
        </w:tc>
      </w:tr>
      <w:tr w14:paraId="4C3B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86" w:type="dxa"/>
            <w:vAlign w:val="center"/>
          </w:tcPr>
          <w:p w14:paraId="336FD565">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5</w:t>
            </w:r>
            <w:r>
              <w:rPr>
                <w:rFonts w:hint="eastAsia" w:ascii="Times New Roman" w:hAnsi="Times New Roman" w:eastAsia="方正仿宋_GBK"/>
                <w:color w:val="000000" w:themeColor="text1"/>
                <w:spacing w:val="-2"/>
                <w:kern w:val="0"/>
                <w:szCs w:val="21"/>
              </w:rPr>
              <w:t>1</w:t>
            </w:r>
            <w:r>
              <w:rPr>
                <w:rFonts w:ascii="Times New Roman" w:hAnsi="Times New Roman" w:eastAsia="方正仿宋_GBK"/>
                <w:color w:val="000000" w:themeColor="text1"/>
                <w:spacing w:val="-2"/>
                <w:kern w:val="0"/>
                <w:szCs w:val="21"/>
              </w:rPr>
              <w:t>.持续完善土城老街功能设施。</w:t>
            </w:r>
          </w:p>
        </w:tc>
        <w:tc>
          <w:tcPr>
            <w:tcW w:w="850" w:type="dxa"/>
            <w:vAlign w:val="center"/>
          </w:tcPr>
          <w:p w14:paraId="2BEF5F6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1BBDA77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334AFA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县文化旅游委、县鼎兴公司</w:t>
            </w:r>
          </w:p>
          <w:p w14:paraId="5E40C3F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葛城街道</w:t>
            </w:r>
          </w:p>
        </w:tc>
        <w:tc>
          <w:tcPr>
            <w:tcW w:w="4111" w:type="dxa"/>
            <w:vAlign w:val="center"/>
          </w:tcPr>
          <w:p w14:paraId="34FED8A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现目前已完成主街道所有改造内容，正在进行南城小道、北城巷、广播局后至商业街通道的建设。</w:t>
            </w:r>
          </w:p>
        </w:tc>
        <w:tc>
          <w:tcPr>
            <w:tcW w:w="2576" w:type="dxa"/>
          </w:tcPr>
          <w:p w14:paraId="6E0A3D03">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67CF541">
            <w:pPr>
              <w:widowControl/>
              <w:spacing w:line="240" w:lineRule="exact"/>
              <w:jc w:val="left"/>
              <w:rPr>
                <w:rFonts w:ascii="Times New Roman" w:hAnsi="Times New Roman" w:eastAsia="方正仿宋_GBK"/>
                <w:color w:val="000000" w:themeColor="text1"/>
                <w:spacing w:val="-2"/>
                <w:kern w:val="0"/>
                <w:szCs w:val="21"/>
              </w:rPr>
            </w:pPr>
          </w:p>
          <w:p w14:paraId="3036DA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进行东门片区通道和北门至北大街通道的设计。</w:t>
            </w:r>
          </w:p>
          <w:p w14:paraId="1544141F">
            <w:pPr>
              <w:widowControl/>
              <w:spacing w:line="240" w:lineRule="exact"/>
              <w:jc w:val="left"/>
              <w:rPr>
                <w:rFonts w:ascii="Times New Roman" w:hAnsi="Times New Roman" w:eastAsia="方正仿宋_GBK"/>
                <w:color w:val="000000" w:themeColor="text1"/>
                <w:spacing w:val="-2"/>
                <w:kern w:val="0"/>
                <w:szCs w:val="21"/>
              </w:rPr>
            </w:pPr>
          </w:p>
        </w:tc>
      </w:tr>
      <w:tr w14:paraId="6C06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986" w:type="dxa"/>
            <w:vAlign w:val="center"/>
          </w:tcPr>
          <w:p w14:paraId="78C01D2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52</w:t>
            </w:r>
            <w:r>
              <w:rPr>
                <w:rFonts w:ascii="Times New Roman" w:hAnsi="Times New Roman" w:eastAsia="方正仿宋_GBK"/>
                <w:color w:val="000000" w:themeColor="text1"/>
                <w:spacing w:val="-2"/>
                <w:kern w:val="0"/>
                <w:szCs w:val="21"/>
              </w:rPr>
              <w:t>.</w:t>
            </w:r>
            <w:r>
              <w:rPr>
                <w:rFonts w:hint="eastAsia" w:ascii="Times New Roman" w:hAnsi="Times New Roman" w:eastAsia="方正仿宋_GBK"/>
                <w:color w:val="000000" w:themeColor="text1"/>
                <w:spacing w:val="-2"/>
                <w:kern w:val="0"/>
                <w:szCs w:val="21"/>
              </w:rPr>
              <w:t>拆除</w:t>
            </w:r>
            <w:r>
              <w:rPr>
                <w:rFonts w:ascii="Times New Roman" w:hAnsi="Times New Roman" w:eastAsia="方正仿宋_GBK"/>
                <w:color w:val="000000" w:themeColor="text1"/>
                <w:spacing w:val="-2"/>
                <w:kern w:val="0"/>
                <w:szCs w:val="21"/>
              </w:rPr>
              <w:t>任河大桥</w:t>
            </w:r>
            <w:r>
              <w:rPr>
                <w:rFonts w:hint="eastAsia" w:ascii="Times New Roman" w:hAnsi="Times New Roman" w:eastAsia="方正仿宋_GBK"/>
                <w:color w:val="000000" w:themeColor="text1"/>
                <w:spacing w:val="-2"/>
                <w:kern w:val="0"/>
                <w:szCs w:val="21"/>
              </w:rPr>
              <w:t>并</w:t>
            </w:r>
            <w:r>
              <w:rPr>
                <w:rFonts w:ascii="Times New Roman" w:hAnsi="Times New Roman" w:eastAsia="方正仿宋_GBK"/>
                <w:color w:val="000000" w:themeColor="text1"/>
                <w:spacing w:val="-2"/>
                <w:kern w:val="0"/>
                <w:szCs w:val="21"/>
              </w:rPr>
              <w:t>启动重建。</w:t>
            </w:r>
          </w:p>
        </w:tc>
        <w:tc>
          <w:tcPr>
            <w:tcW w:w="850" w:type="dxa"/>
            <w:vAlign w:val="center"/>
          </w:tcPr>
          <w:p w14:paraId="77ACA49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p w14:paraId="34D2485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0B11909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县交通局</w:t>
            </w:r>
          </w:p>
          <w:p w14:paraId="2F59632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3FB808E5">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74FC79D2">
            <w:pPr>
              <w:widowControl/>
              <w:spacing w:line="240" w:lineRule="exact"/>
              <w:jc w:val="left"/>
              <w:rPr>
                <w:rFonts w:ascii="Times New Roman" w:hAnsi="Times New Roman" w:eastAsia="方正仿宋_GBK"/>
                <w:color w:val="000000" w:themeColor="text1"/>
                <w:spacing w:val="-2"/>
                <w:kern w:val="0"/>
                <w:szCs w:val="21"/>
              </w:rPr>
            </w:pPr>
          </w:p>
          <w:p w14:paraId="09D5EE8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正在进一步优化规划设计方案。</w:t>
            </w:r>
          </w:p>
          <w:p w14:paraId="6C53E248">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2F980C9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530F23A">
            <w:pPr>
              <w:widowControl/>
              <w:spacing w:line="240" w:lineRule="exact"/>
              <w:jc w:val="left"/>
              <w:rPr>
                <w:rFonts w:ascii="Times New Roman" w:hAnsi="Times New Roman" w:eastAsia="方正仿宋_GBK"/>
                <w:color w:val="000000" w:themeColor="text1"/>
                <w:spacing w:val="-2"/>
                <w:kern w:val="0"/>
                <w:szCs w:val="21"/>
              </w:rPr>
            </w:pPr>
          </w:p>
          <w:p w14:paraId="7C34159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全力做好新建任河大桥优化规划设计工作。</w:t>
            </w:r>
          </w:p>
          <w:p w14:paraId="1013C77C">
            <w:pPr>
              <w:widowControl/>
              <w:spacing w:line="240" w:lineRule="exact"/>
              <w:jc w:val="left"/>
              <w:rPr>
                <w:rFonts w:ascii="Times New Roman" w:hAnsi="Times New Roman" w:eastAsia="方正仿宋_GBK"/>
                <w:color w:val="000000" w:themeColor="text1"/>
                <w:spacing w:val="-2"/>
                <w:kern w:val="0"/>
                <w:szCs w:val="21"/>
              </w:rPr>
            </w:pPr>
          </w:p>
        </w:tc>
      </w:tr>
      <w:tr w14:paraId="4E11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6" w:type="dxa"/>
            <w:vAlign w:val="center"/>
          </w:tcPr>
          <w:p w14:paraId="4DF3EDD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53</w:t>
            </w:r>
            <w:r>
              <w:rPr>
                <w:rFonts w:ascii="Times New Roman" w:hAnsi="Times New Roman" w:eastAsia="方正仿宋_GBK"/>
                <w:color w:val="000000" w:themeColor="text1"/>
                <w:spacing w:val="-2"/>
                <w:kern w:val="0"/>
                <w:szCs w:val="21"/>
              </w:rPr>
              <w:t>.启动广场路改造及半月御池开发。</w:t>
            </w:r>
          </w:p>
        </w:tc>
        <w:tc>
          <w:tcPr>
            <w:tcW w:w="850" w:type="dxa"/>
            <w:vAlign w:val="center"/>
          </w:tcPr>
          <w:p w14:paraId="25678A3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7546809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p w14:paraId="4C79912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4E68F42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B20D87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百年广场二期一阶段已完成所有任务，开发企业已进场施工。百年广场二期二阶段（名豪至任河大桥）未纳入2020年任务。</w:t>
            </w:r>
            <w:r>
              <w:rPr>
                <w:rFonts w:hint="eastAsia" w:ascii="Times New Roman" w:hAnsi="Times New Roman" w:eastAsia="方正仿宋_GBK"/>
                <w:color w:val="000000" w:themeColor="text1"/>
                <w:spacing w:val="-2"/>
                <w:kern w:val="0"/>
                <w:szCs w:val="21"/>
              </w:rPr>
              <w:br w:type="textWrapping"/>
            </w:r>
            <w:r>
              <w:rPr>
                <w:rFonts w:hint="eastAsia" w:ascii="Times New Roman" w:hAnsi="Times New Roman" w:eastAsia="方正仿宋_GBK"/>
                <w:color w:val="000000" w:themeColor="text1"/>
                <w:spacing w:val="-2"/>
                <w:kern w:val="0"/>
                <w:szCs w:val="21"/>
              </w:rPr>
              <w:t>半月御池地块，2019年已完成所有征收任务。截至目前，明浪御府项目正常开发建设中；中科酒店项目，正在准备地块出让前期准备工作。</w:t>
            </w:r>
          </w:p>
        </w:tc>
        <w:tc>
          <w:tcPr>
            <w:tcW w:w="2576" w:type="dxa"/>
            <w:vAlign w:val="center"/>
          </w:tcPr>
          <w:p w14:paraId="2AB5E89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36246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抓紧推进前期工作。</w:t>
            </w:r>
          </w:p>
        </w:tc>
      </w:tr>
      <w:tr w14:paraId="3524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6" w:type="dxa"/>
            <w:vAlign w:val="center"/>
          </w:tcPr>
          <w:p w14:paraId="02D678F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54</w:t>
            </w:r>
            <w:r>
              <w:rPr>
                <w:rFonts w:ascii="Times New Roman" w:hAnsi="Times New Roman" w:eastAsia="方正仿宋_GBK"/>
                <w:color w:val="000000" w:themeColor="text1"/>
                <w:spacing w:val="-2"/>
                <w:kern w:val="0"/>
                <w:szCs w:val="21"/>
              </w:rPr>
              <w:t>.改造果</w:t>
            </w:r>
            <w:r>
              <w:rPr>
                <w:rFonts w:hint="eastAsia" w:ascii="Times New Roman" w:hAnsi="Times New Roman" w:eastAsia="方正仿宋_GBK"/>
                <w:color w:val="000000" w:themeColor="text1"/>
                <w:spacing w:val="-2"/>
                <w:kern w:val="0"/>
                <w:szCs w:val="21"/>
              </w:rPr>
              <w:t>蔬</w:t>
            </w:r>
            <w:r>
              <w:rPr>
                <w:rFonts w:ascii="Times New Roman" w:hAnsi="Times New Roman" w:eastAsia="方正仿宋_GBK"/>
                <w:color w:val="000000" w:themeColor="text1"/>
                <w:spacing w:val="-2"/>
                <w:kern w:val="0"/>
                <w:szCs w:val="21"/>
              </w:rPr>
              <w:t>批发市场和农贸市场。</w:t>
            </w:r>
          </w:p>
        </w:tc>
        <w:tc>
          <w:tcPr>
            <w:tcW w:w="850" w:type="dxa"/>
            <w:vAlign w:val="center"/>
          </w:tcPr>
          <w:p w14:paraId="79BA18B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6D820DF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42004C4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县交通局</w:t>
            </w:r>
          </w:p>
        </w:tc>
        <w:tc>
          <w:tcPr>
            <w:tcW w:w="4111" w:type="dxa"/>
            <w:vAlign w:val="center"/>
          </w:tcPr>
          <w:p w14:paraId="63FE381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农贸市场设置和改造工作正在进行前期调查和资料收集阶段。</w:t>
            </w:r>
          </w:p>
        </w:tc>
        <w:tc>
          <w:tcPr>
            <w:tcW w:w="2576" w:type="dxa"/>
          </w:tcPr>
          <w:p w14:paraId="0D22A6E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46E3204">
            <w:pPr>
              <w:widowControl/>
              <w:spacing w:line="240" w:lineRule="exact"/>
              <w:jc w:val="left"/>
              <w:rPr>
                <w:rFonts w:ascii="Times New Roman" w:hAnsi="Times New Roman" w:eastAsia="方正仿宋_GBK"/>
                <w:color w:val="000000" w:themeColor="text1"/>
                <w:spacing w:val="-2"/>
                <w:kern w:val="0"/>
                <w:szCs w:val="21"/>
              </w:rPr>
            </w:pPr>
          </w:p>
        </w:tc>
      </w:tr>
      <w:tr w14:paraId="1519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86" w:type="dxa"/>
            <w:vAlign w:val="center"/>
          </w:tcPr>
          <w:p w14:paraId="25F4B33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55.</w:t>
            </w:r>
            <w:r>
              <w:rPr>
                <w:rFonts w:ascii="Times New Roman" w:hAnsi="Times New Roman" w:eastAsia="方正仿宋_GBK"/>
                <w:color w:val="000000" w:themeColor="text1"/>
                <w:spacing w:val="-2"/>
                <w:kern w:val="0"/>
                <w:szCs w:val="21"/>
              </w:rPr>
              <w:t>建成碧桂园、佳合等</w:t>
            </w:r>
            <w:r>
              <w:rPr>
                <w:rFonts w:hint="eastAsia" w:ascii="Times New Roman" w:hAnsi="Times New Roman" w:eastAsia="方正仿宋_GBK"/>
                <w:color w:val="000000" w:themeColor="text1"/>
                <w:spacing w:val="-2"/>
                <w:kern w:val="0"/>
                <w:szCs w:val="21"/>
              </w:rPr>
              <w:t>房地产</w:t>
            </w:r>
            <w:r>
              <w:rPr>
                <w:rFonts w:ascii="Times New Roman" w:hAnsi="Times New Roman" w:eastAsia="方正仿宋_GBK"/>
                <w:color w:val="000000" w:themeColor="text1"/>
                <w:spacing w:val="-2"/>
                <w:kern w:val="0"/>
                <w:szCs w:val="21"/>
              </w:rPr>
              <w:t>项目。</w:t>
            </w:r>
          </w:p>
        </w:tc>
        <w:tc>
          <w:tcPr>
            <w:tcW w:w="850" w:type="dxa"/>
            <w:vAlign w:val="center"/>
          </w:tcPr>
          <w:p w14:paraId="6DE61B9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079F2E4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1263337E">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1B2883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碧桂园观澜府建设项目目前工程进度：1#地块洋房区2#楼修到1层、3#楼地梁浇筑完成、4#楼破桩头完成，5#楼修建至7层、6#楼修建至6层、1号车库主体完成20%，2#地块2#楼施工至8层，3#楼施地至8层、4#楼施工到9层，5#楼施工到3层，6#楼施工到1层，7#楼基础施工中，2号车库主体完成30%。</w:t>
            </w:r>
          </w:p>
          <w:p w14:paraId="3BE9FBD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名豪百年广场目前学校操场正在抢工，预计4月9日开始浇筑砼；学校大门预计5月30日完成；教学楼砌体完成，预计5月30日外装完成。18-1#（医院消防扑救面）正在进行基础施工，预计5月30日主体完成。4#商业二层目前在进行钢筋除锈，预计5月20日完成转换层砼浇筑。2#商业三层目前在进行钢筋除锈，预计5月30日完成转换层砼浇筑。3#、5#、6#、7#在4月5日开始基础开挖，8#、9#、10#及742平台，施工单位将于4月1日进场施工。</w:t>
            </w:r>
          </w:p>
        </w:tc>
        <w:tc>
          <w:tcPr>
            <w:tcW w:w="2576" w:type="dxa"/>
            <w:vAlign w:val="center"/>
          </w:tcPr>
          <w:p w14:paraId="3970B0C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桂园观澜府投资补充协议中约定：甲方确保将项目土地纳入重庆师范大学附属中学和城口县实验小学（分校）学区范围并使本开发项目均享有的学区指标。目前多数潜在客户非常关心小学问题，因此我项目业主子女能否就读城口县实验小学（分校）等具体细节需相关领导尽快明确名豪百年广场项目缺资金、商品混凝土（价格高、先款后供、产能不满足现在使用）</w:t>
            </w:r>
          </w:p>
          <w:p w14:paraId="183D7F28">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DAEE7DD">
            <w:pPr>
              <w:widowControl/>
              <w:spacing w:line="240" w:lineRule="exact"/>
              <w:jc w:val="left"/>
              <w:rPr>
                <w:rFonts w:ascii="Times New Roman" w:hAnsi="Times New Roman" w:eastAsia="方正仿宋_GBK"/>
                <w:color w:val="000000" w:themeColor="text1"/>
                <w:spacing w:val="-2"/>
                <w:kern w:val="0"/>
                <w:szCs w:val="21"/>
              </w:rPr>
            </w:pPr>
          </w:p>
        </w:tc>
      </w:tr>
      <w:tr w14:paraId="2037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986" w:type="dxa"/>
            <w:vAlign w:val="center"/>
          </w:tcPr>
          <w:p w14:paraId="29482C2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56.创新工作方法，</w:t>
            </w:r>
            <w:r>
              <w:rPr>
                <w:rFonts w:ascii="Times New Roman" w:hAnsi="Times New Roman" w:eastAsia="方正仿宋_GBK"/>
                <w:color w:val="000000" w:themeColor="text1"/>
                <w:spacing w:val="-2"/>
                <w:kern w:val="0"/>
                <w:szCs w:val="21"/>
              </w:rPr>
              <w:t>规范</w:t>
            </w:r>
            <w:r>
              <w:rPr>
                <w:rFonts w:hint="eastAsia" w:ascii="Times New Roman" w:hAnsi="Times New Roman" w:eastAsia="方正仿宋_GBK"/>
                <w:color w:val="000000" w:themeColor="text1"/>
                <w:spacing w:val="-2"/>
                <w:kern w:val="0"/>
                <w:szCs w:val="21"/>
              </w:rPr>
              <w:t>推进</w:t>
            </w:r>
            <w:r>
              <w:rPr>
                <w:rFonts w:ascii="Times New Roman" w:hAnsi="Times New Roman" w:eastAsia="方正仿宋_GBK"/>
                <w:color w:val="000000" w:themeColor="text1"/>
                <w:spacing w:val="-2"/>
                <w:kern w:val="0"/>
                <w:szCs w:val="21"/>
              </w:rPr>
              <w:t>征地拆迁，完成歇脚坡片区土地储备，保障城市建设用地。</w:t>
            </w:r>
          </w:p>
        </w:tc>
        <w:tc>
          <w:tcPr>
            <w:tcW w:w="850" w:type="dxa"/>
            <w:vAlign w:val="center"/>
          </w:tcPr>
          <w:p w14:paraId="1514DE1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2400424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0C42589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s="Times New Roman"/>
                <w:color w:val="000000" w:themeColor="text1"/>
                <w:spacing w:val="-2"/>
                <w:szCs w:val="21"/>
              </w:rPr>
              <w:t>县土地房屋征收中心</w:t>
            </w:r>
          </w:p>
        </w:tc>
        <w:tc>
          <w:tcPr>
            <w:tcW w:w="4111" w:type="dxa"/>
            <w:vAlign w:val="center"/>
          </w:tcPr>
          <w:p w14:paraId="6AF8F3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创新土地房屋征收方式方法，新项目实行收购的方式，采取附条件生效协议，签约率达到100%时，宣布协议生效，节约了时间和成效。实现大桥至美都房屋征收75户，共计13003.5㎡；征收集体土地共计62.7亩，保障滨河公园南岸等项目建设用地需求；佳合、东北环路安置房北校区、高坪坎等4个片区，应还住宅面积17670.65㎡，回迁安置方案拟定，已经入安置选房工作；启动了庙坝镇中心幼儿园建设、修齐龙河烟花爆竹厂等10个乡镇集体土地征收工作。</w:t>
            </w:r>
            <w:r>
              <w:rPr>
                <w:rFonts w:hint="eastAsia" w:ascii="Times New Roman" w:hAnsi="Times New Roman" w:eastAsia="方正仿宋_GBK"/>
                <w:color w:val="000000" w:themeColor="text1"/>
                <w:spacing w:val="-2"/>
                <w:kern w:val="0"/>
                <w:szCs w:val="21"/>
              </w:rPr>
              <w:br w:type="textWrapping"/>
            </w:r>
            <w:r>
              <w:rPr>
                <w:rFonts w:hint="eastAsia" w:ascii="Times New Roman" w:hAnsi="Times New Roman" w:eastAsia="方正仿宋_GBK"/>
                <w:color w:val="000000" w:themeColor="text1"/>
                <w:spacing w:val="-2"/>
                <w:kern w:val="0"/>
                <w:szCs w:val="21"/>
              </w:rPr>
              <w:t>二是歇脚坡片区土地储备方面，在完成土地利用总体规划调整的情况下，安排专人负责，完成了用地手续报批工作，抓紧开展土地整治，目前土地整治方案已完成初审，现正在对方案进行修改和完善，待方案审批通过后将立即开展片区土地整治，实施储备。</w:t>
            </w:r>
          </w:p>
          <w:p w14:paraId="0B71B7BA">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1A8954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一是用地范围内，部分土地不符合土地利用总体规划；二是土地整治需对原地下排水管道进行探测。</w:t>
            </w:r>
          </w:p>
          <w:p w14:paraId="2C51FD5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591BBF8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一是与市规划自然资源局进行多次对接，已启动该宗地块规划调整工作；二是正在联系中介单位拟启动地下管道的探测工作。</w:t>
            </w:r>
          </w:p>
          <w:p w14:paraId="36AE2EA8">
            <w:pPr>
              <w:widowControl/>
              <w:spacing w:line="240" w:lineRule="exact"/>
              <w:jc w:val="left"/>
              <w:rPr>
                <w:rFonts w:ascii="Times New Roman" w:hAnsi="Times New Roman" w:eastAsia="方正仿宋_GBK"/>
                <w:color w:val="000000" w:themeColor="text1"/>
                <w:spacing w:val="-2"/>
                <w:kern w:val="0"/>
                <w:szCs w:val="21"/>
              </w:rPr>
            </w:pPr>
          </w:p>
        </w:tc>
      </w:tr>
      <w:tr w14:paraId="1669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986" w:type="dxa"/>
            <w:vAlign w:val="center"/>
          </w:tcPr>
          <w:p w14:paraId="3FEEBF2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57.</w:t>
            </w:r>
            <w:r>
              <w:rPr>
                <w:rFonts w:ascii="Times New Roman" w:hAnsi="Times New Roman" w:eastAsia="方正仿宋_GBK"/>
                <w:color w:val="000000" w:themeColor="text1"/>
                <w:spacing w:val="-2"/>
                <w:kern w:val="0"/>
                <w:szCs w:val="21"/>
              </w:rPr>
              <w:t>结合城市执法体制改革，理顺城市管理体制，加强城市执法队伍建设和综合执法力度，集中力量整治违法建设和车辆乱停乱放行为。</w:t>
            </w:r>
          </w:p>
        </w:tc>
        <w:tc>
          <w:tcPr>
            <w:tcW w:w="850" w:type="dxa"/>
            <w:vAlign w:val="center"/>
          </w:tcPr>
          <w:p w14:paraId="2441A65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2BD15CB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D889C6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县公安局、县司法局、</w:t>
            </w:r>
            <w:r>
              <w:rPr>
                <w:rFonts w:hint="eastAsia" w:ascii="Times New Roman" w:hAnsi="Times New Roman" w:eastAsia="方正仿宋_GBK"/>
                <w:color w:val="000000" w:themeColor="text1"/>
                <w:spacing w:val="-2"/>
                <w:szCs w:val="21"/>
              </w:rPr>
              <w:t>县规划自然资源局、县市场监管局等</w:t>
            </w:r>
          </w:p>
        </w:tc>
        <w:tc>
          <w:tcPr>
            <w:tcW w:w="4111" w:type="dxa"/>
            <w:vAlign w:val="center"/>
          </w:tcPr>
          <w:p w14:paraId="45E0FF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扎实推进城市执法体制改革，已起草《城口县城市管理综合行政执法支队机构编制方案（送审稿）》报县编委会，已收《中共城口县委机构编制委员会关于城口县城市管理综合行政执法支队机构编制事项的通知》（城委编委发〔2020〕6 号），为城市管理执法工作理顺了体制机制。城市秩序管理正常有序开展。加强了执法队伍业务知识培训，开展了“强转树”专项行动，加大了队容风纪查处力度，加强了执法队伍作风建设。加大了对违法建设和车辆乱停乱放行为的集中整治。</w:t>
            </w:r>
          </w:p>
        </w:tc>
        <w:tc>
          <w:tcPr>
            <w:tcW w:w="2576" w:type="dxa"/>
            <w:vAlign w:val="center"/>
          </w:tcPr>
          <w:p w14:paraId="17C3519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城口县城市管理综合行政执法支队“三定”方案虽以下达，但并未启动人员招录工作，且执法装备缺乏。</w:t>
            </w:r>
          </w:p>
          <w:p w14:paraId="2B1778D2">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DDF95E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一是持续加强执法队伍作风建设。二是加强业务培训。三是加大综合执法力度。</w:t>
            </w:r>
          </w:p>
          <w:p w14:paraId="17241D95">
            <w:pPr>
              <w:widowControl/>
              <w:spacing w:line="240" w:lineRule="exact"/>
              <w:jc w:val="left"/>
              <w:rPr>
                <w:rFonts w:ascii="Times New Roman" w:hAnsi="Times New Roman" w:eastAsia="方正仿宋_GBK"/>
                <w:color w:val="000000" w:themeColor="text1"/>
                <w:spacing w:val="-2"/>
                <w:kern w:val="0"/>
                <w:szCs w:val="21"/>
              </w:rPr>
            </w:pPr>
          </w:p>
          <w:p w14:paraId="1F6174B4">
            <w:pPr>
              <w:widowControl/>
              <w:spacing w:line="240" w:lineRule="exact"/>
              <w:jc w:val="left"/>
              <w:rPr>
                <w:rFonts w:ascii="Times New Roman" w:hAnsi="Times New Roman" w:eastAsia="方正仿宋_GBK"/>
                <w:color w:val="000000" w:themeColor="text1"/>
                <w:spacing w:val="-2"/>
                <w:kern w:val="0"/>
                <w:szCs w:val="21"/>
              </w:rPr>
            </w:pPr>
          </w:p>
          <w:p w14:paraId="6549C43B">
            <w:pPr>
              <w:widowControl/>
              <w:spacing w:line="240" w:lineRule="exact"/>
              <w:jc w:val="left"/>
              <w:rPr>
                <w:rFonts w:ascii="Times New Roman" w:hAnsi="Times New Roman" w:eastAsia="方正仿宋_GBK"/>
                <w:color w:val="000000" w:themeColor="text1"/>
                <w:spacing w:val="-2"/>
                <w:kern w:val="0"/>
                <w:szCs w:val="21"/>
              </w:rPr>
            </w:pPr>
          </w:p>
        </w:tc>
      </w:tr>
      <w:tr w14:paraId="60B4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86" w:type="dxa"/>
            <w:vAlign w:val="center"/>
          </w:tcPr>
          <w:p w14:paraId="24FB679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58.</w:t>
            </w:r>
            <w:r>
              <w:rPr>
                <w:rFonts w:ascii="Times New Roman" w:hAnsi="Times New Roman" w:eastAsia="方正仿宋_GBK"/>
                <w:color w:val="000000" w:themeColor="text1"/>
                <w:spacing w:val="-2"/>
                <w:kern w:val="0"/>
                <w:szCs w:val="21"/>
              </w:rPr>
              <w:t>开展文明城市提升行动，提高窗口单位和服务行业服务质量，提升城市形象。</w:t>
            </w:r>
          </w:p>
        </w:tc>
        <w:tc>
          <w:tcPr>
            <w:tcW w:w="850" w:type="dxa"/>
            <w:vAlign w:val="center"/>
          </w:tcPr>
          <w:p w14:paraId="39C61C4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4F0EF85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4222C5F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4D5FD9D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一是完成了优化营商环境施工许可指标政策汇编及便民手册。二是城口县久益农业发展有限公司马铃薯和红薯精深加工厂按照小型低风险项目指标办理规划核实和产权登记。</w:t>
            </w:r>
          </w:p>
        </w:tc>
        <w:tc>
          <w:tcPr>
            <w:tcW w:w="2576" w:type="dxa"/>
            <w:vAlign w:val="center"/>
          </w:tcPr>
          <w:p w14:paraId="629EDB2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受疫情影响，营商环境的政策宣传、业务培训等工作暂缓。</w:t>
            </w:r>
          </w:p>
        </w:tc>
        <w:tc>
          <w:tcPr>
            <w:tcW w:w="3827" w:type="dxa"/>
            <w:vAlign w:val="center"/>
          </w:tcPr>
          <w:p w14:paraId="52E29E3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组织对相关部门工作人员、企业负责人的政策宣传与业务培训。</w:t>
            </w:r>
          </w:p>
        </w:tc>
      </w:tr>
      <w:tr w14:paraId="1E6C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986" w:type="dxa"/>
            <w:vAlign w:val="center"/>
          </w:tcPr>
          <w:p w14:paraId="2E4CDA6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59.</w:t>
            </w:r>
            <w:r>
              <w:rPr>
                <w:rFonts w:ascii="Times New Roman" w:hAnsi="Times New Roman" w:eastAsia="方正仿宋_GBK"/>
                <w:color w:val="000000" w:themeColor="text1"/>
                <w:spacing w:val="-2"/>
                <w:kern w:val="0"/>
                <w:szCs w:val="21"/>
              </w:rPr>
              <w:t>深入推进城镇细管、城镇智管、城镇众管，常态化开展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马路办公</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，进一步整顿和规范物业管理，改善城区居民生活环境。持续开展城乡环境</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八乱</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整治，</w:t>
            </w:r>
            <w:r>
              <w:rPr>
                <w:rFonts w:hint="eastAsia" w:ascii="Times New Roman" w:hAnsi="Times New Roman" w:eastAsia="方正仿宋_GBK"/>
                <w:color w:val="000000" w:themeColor="text1"/>
                <w:spacing w:val="-2"/>
                <w:kern w:val="0"/>
                <w:szCs w:val="21"/>
              </w:rPr>
              <w:t>严厉打击乱停放、乱搭建、乱倾排、乱开挖、乱摆占、乱捕伐、乱张贴、乱堆码</w:t>
            </w:r>
            <w:r>
              <w:rPr>
                <w:rFonts w:ascii="Times New Roman" w:hAnsi="Times New Roman" w:eastAsia="方正仿宋_GBK"/>
                <w:color w:val="000000" w:themeColor="text1"/>
                <w:spacing w:val="-2"/>
                <w:kern w:val="0"/>
                <w:szCs w:val="21"/>
              </w:rPr>
              <w:t>。</w:t>
            </w:r>
          </w:p>
        </w:tc>
        <w:tc>
          <w:tcPr>
            <w:tcW w:w="850" w:type="dxa"/>
            <w:vAlign w:val="center"/>
          </w:tcPr>
          <w:p w14:paraId="56F1E88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66ECCA4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68BA10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604F5A4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一是累计开展“马路办公”35次、发现问题109件，整改问题104件。通过</w:t>
            </w:r>
            <w:r>
              <w:rPr>
                <w:rFonts w:hint="eastAsia" w:ascii="Times New Roman" w:hAnsi="Times New Roman" w:eastAsia="方正仿宋_GBK"/>
                <w:color w:val="000000" w:themeColor="text1"/>
                <w:spacing w:val="-2"/>
                <w:kern w:val="0"/>
                <w:szCs w:val="21"/>
                <w:lang w:eastAsia="zh-CN"/>
              </w:rPr>
              <w:t>县委县政府</w:t>
            </w:r>
            <w:r>
              <w:rPr>
                <w:rFonts w:hint="eastAsia" w:ascii="Times New Roman" w:hAnsi="Times New Roman" w:eastAsia="方正仿宋_GBK"/>
                <w:color w:val="000000" w:themeColor="text1"/>
                <w:spacing w:val="-2"/>
                <w:kern w:val="0"/>
                <w:szCs w:val="21"/>
              </w:rPr>
              <w:t>领导“马路办公”，解决了疫情防控废旧口罩回收、滨河公园重点项目复工复产等群众关注的热点难点问题9个。</w:t>
            </w:r>
          </w:p>
          <w:p w14:paraId="1788273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加快老旧楼院改造提升工程，力争在2022年完成县城关镇所有符合改造小区项目；同时鼓励、指导成立社区物业服务管理、调解中心，强化老旧楼院改造过后管理工作，对有条件的老旧小区引进物业管理服务。</w:t>
            </w:r>
          </w:p>
          <w:p w14:paraId="2D585DE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三是加强物业行业协会的管理、督导工作，指导行业协会加大对物业企业的培训和行业规范，努力提升行业服务标准。</w:t>
            </w:r>
          </w:p>
          <w:p w14:paraId="17CBAED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四是县上组织相关职能单位及乡镇（街道）召开了“城口县城乡环境综合整治工作”动员会，成立了领导小组，明确整治范围及整治内容，制定《城口县城乡环境综合整治工作方案》。</w:t>
            </w:r>
          </w:p>
        </w:tc>
        <w:tc>
          <w:tcPr>
            <w:tcW w:w="2576" w:type="dxa"/>
            <w:vAlign w:val="center"/>
          </w:tcPr>
          <w:p w14:paraId="3A2C542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城口县城乡环境综合整治工作缺乏执法力量，各部门应加大人员调度，抽调专人参与整治工作。</w:t>
            </w:r>
          </w:p>
        </w:tc>
        <w:tc>
          <w:tcPr>
            <w:tcW w:w="3827" w:type="dxa"/>
            <w:vAlign w:val="center"/>
          </w:tcPr>
          <w:p w14:paraId="3F648C8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将“乱停放”、“乱搭建”、“乱倾排”作为重点整治内容，与各相关职能单位及乡镇（街道）形成合力，集中开展整治工作。</w:t>
            </w:r>
          </w:p>
        </w:tc>
      </w:tr>
      <w:tr w14:paraId="2CF8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986" w:type="dxa"/>
            <w:vAlign w:val="center"/>
          </w:tcPr>
          <w:p w14:paraId="109C6C6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60.</w:t>
            </w:r>
            <w:r>
              <w:rPr>
                <w:rFonts w:ascii="Times New Roman" w:hAnsi="Times New Roman" w:eastAsia="方正仿宋_GBK"/>
                <w:color w:val="000000" w:themeColor="text1"/>
                <w:spacing w:val="-2"/>
                <w:kern w:val="0"/>
                <w:szCs w:val="21"/>
              </w:rPr>
              <w:t>统筹推进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五个振兴</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，基本形成乡村振兴制度框架体系，推进乡村振兴试验示范。</w:t>
            </w:r>
          </w:p>
        </w:tc>
        <w:tc>
          <w:tcPr>
            <w:tcW w:w="850" w:type="dxa"/>
            <w:vAlign w:val="center"/>
          </w:tcPr>
          <w:p w14:paraId="797565B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7A7E089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tc>
        <w:tc>
          <w:tcPr>
            <w:tcW w:w="1559" w:type="dxa"/>
            <w:vAlign w:val="center"/>
          </w:tcPr>
          <w:p w14:paraId="29F7A6D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县委实施乡村振兴战略工作</w:t>
            </w:r>
          </w:p>
          <w:p w14:paraId="3D44946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领导小组成员单位</w:t>
            </w:r>
          </w:p>
        </w:tc>
        <w:tc>
          <w:tcPr>
            <w:tcW w:w="4111" w:type="dxa"/>
            <w:vAlign w:val="center"/>
          </w:tcPr>
          <w:p w14:paraId="48B9E68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研究制定《城口县关于抓好“三农”领域重点工作确保如期实现全面小康的实施意见》《城口县乡村振兴十大重点工程实施方案（2020-2022年）》，目前形成送审稿，正在征求各部门意见。二是筹备召开城口县2020年农村工作暨实施乡村振兴战略领导小组会议，安排部署工作任务。以推进推进两山两化先行示范区为抓手，探索脱贫攻坚与乡村振兴的有机衔接，收集完善乡村治理工作措施。</w:t>
            </w:r>
          </w:p>
        </w:tc>
        <w:tc>
          <w:tcPr>
            <w:tcW w:w="2576" w:type="dxa"/>
            <w:vAlign w:val="center"/>
          </w:tcPr>
          <w:p w14:paraId="591F28A6">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C8527F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尽快印发《城口县关于抓好“三农”领域重点工作确保如期实现全面小康的实施意见》《城口县乡村振兴十大重点工程实施方案（2020-2022年）》，积极争取将两山两化先行示范区纳入市农业农村改革领导小组重点改革事项。</w:t>
            </w:r>
          </w:p>
        </w:tc>
      </w:tr>
      <w:tr w14:paraId="3B4C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986" w:type="dxa"/>
            <w:vAlign w:val="center"/>
          </w:tcPr>
          <w:p w14:paraId="7FD3D062">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61.持续推进农村改革，</w:t>
            </w:r>
            <w:r>
              <w:rPr>
                <w:rFonts w:ascii="Times New Roman" w:hAnsi="Times New Roman" w:eastAsia="方正仿宋_GBK"/>
                <w:spacing w:val="-2"/>
                <w:kern w:val="0"/>
                <w:szCs w:val="21"/>
              </w:rPr>
              <w:t>完成农村产权制度改革，推进农村</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三变</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改革，深化财政补助资金股权化改革，消除集体经济</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空壳村</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，力争收入5万元以上</w:t>
            </w:r>
            <w:r>
              <w:rPr>
                <w:rFonts w:hint="eastAsia" w:ascii="Times New Roman" w:hAnsi="Times New Roman" w:eastAsia="方正仿宋_GBK"/>
                <w:spacing w:val="-2"/>
                <w:kern w:val="0"/>
                <w:szCs w:val="21"/>
              </w:rPr>
              <w:t>的</w:t>
            </w:r>
            <w:r>
              <w:rPr>
                <w:rFonts w:ascii="Times New Roman" w:hAnsi="Times New Roman" w:eastAsia="方正仿宋_GBK"/>
                <w:spacing w:val="-2"/>
                <w:kern w:val="0"/>
                <w:szCs w:val="21"/>
              </w:rPr>
              <w:t>达到</w:t>
            </w:r>
            <w:r>
              <w:rPr>
                <w:rFonts w:hint="eastAsia" w:ascii="Times New Roman" w:hAnsi="Times New Roman" w:eastAsia="方正仿宋_GBK"/>
                <w:spacing w:val="-2"/>
                <w:kern w:val="0"/>
                <w:szCs w:val="21"/>
              </w:rPr>
              <w:t>80</w:t>
            </w:r>
            <w:r>
              <w:rPr>
                <w:rFonts w:ascii="Times New Roman" w:hAnsi="Times New Roman" w:eastAsia="方正仿宋_GBK"/>
                <w:spacing w:val="-2"/>
                <w:kern w:val="0"/>
                <w:szCs w:val="21"/>
              </w:rPr>
              <w:t>个</w:t>
            </w:r>
            <w:r>
              <w:rPr>
                <w:rFonts w:hint="eastAsia" w:ascii="Times New Roman" w:hAnsi="Times New Roman" w:eastAsia="方正仿宋_GBK"/>
                <w:spacing w:val="-2"/>
                <w:kern w:val="0"/>
                <w:szCs w:val="21"/>
              </w:rPr>
              <w:t>。</w:t>
            </w:r>
          </w:p>
        </w:tc>
        <w:tc>
          <w:tcPr>
            <w:tcW w:w="850" w:type="dxa"/>
            <w:vAlign w:val="center"/>
          </w:tcPr>
          <w:p w14:paraId="58848508">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谭会山</w:t>
            </w:r>
          </w:p>
        </w:tc>
        <w:tc>
          <w:tcPr>
            <w:tcW w:w="1134" w:type="dxa"/>
            <w:vAlign w:val="center"/>
          </w:tcPr>
          <w:p w14:paraId="7886290A">
            <w:pPr>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县农业农村委</w:t>
            </w:r>
          </w:p>
        </w:tc>
        <w:tc>
          <w:tcPr>
            <w:tcW w:w="1559" w:type="dxa"/>
            <w:vAlign w:val="center"/>
          </w:tcPr>
          <w:p w14:paraId="367D6C84">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县财政局、县供销社</w:t>
            </w:r>
          </w:p>
        </w:tc>
        <w:tc>
          <w:tcPr>
            <w:tcW w:w="4111" w:type="dxa"/>
            <w:vAlign w:val="center"/>
          </w:tcPr>
          <w:p w14:paraId="04E76A2F">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印发了《</w:t>
            </w:r>
            <w:r>
              <w:rPr>
                <w:rFonts w:ascii="Times New Roman" w:hAnsi="Times New Roman" w:eastAsia="方正仿宋_GBK"/>
                <w:spacing w:val="-2"/>
                <w:kern w:val="0"/>
                <w:szCs w:val="21"/>
              </w:rPr>
              <w:t>扶持壮大村级集体经济15条措施》</w:t>
            </w:r>
            <w:r>
              <w:rPr>
                <w:rFonts w:hint="eastAsia" w:ascii="Times New Roman" w:hAnsi="Times New Roman" w:eastAsia="方正仿宋_GBK"/>
                <w:spacing w:val="-2"/>
                <w:kern w:val="0"/>
                <w:szCs w:val="21"/>
              </w:rPr>
              <w:t>《城口县支持激励村级集体经济组织负责人</w:t>
            </w:r>
            <w:r>
              <w:rPr>
                <w:rFonts w:ascii="Times New Roman" w:hAnsi="Times New Roman" w:eastAsia="方正仿宋_GBK"/>
                <w:spacing w:val="-2"/>
                <w:kern w:val="0"/>
                <w:szCs w:val="21"/>
              </w:rPr>
              <w:t>10</w:t>
            </w:r>
            <w:r>
              <w:rPr>
                <w:rFonts w:hint="eastAsia" w:ascii="Times New Roman" w:hAnsi="Times New Roman" w:eastAsia="方正仿宋_GBK"/>
                <w:spacing w:val="-2"/>
                <w:kern w:val="0"/>
                <w:szCs w:val="21"/>
              </w:rPr>
              <w:t>条措施》《城口县财政补助资金股权化改革实施方案》。扩面深化农村“三变”改革试点，将市级“三变”试点村增加到10个,目前已确定3个，全县190个村（涉农社区）已经全部完成产权制度改革，当前集体经济组织已消除空壳村178个。</w:t>
            </w:r>
          </w:p>
        </w:tc>
        <w:tc>
          <w:tcPr>
            <w:tcW w:w="2576" w:type="dxa"/>
            <w:vAlign w:val="center"/>
          </w:tcPr>
          <w:p w14:paraId="30DB40FC">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仍然还有12村未消除空壳村。</w:t>
            </w:r>
          </w:p>
        </w:tc>
        <w:tc>
          <w:tcPr>
            <w:tcW w:w="3827" w:type="dxa"/>
            <w:vAlign w:val="center"/>
          </w:tcPr>
          <w:p w14:paraId="3E1796AC">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细化扶持</w:t>
            </w:r>
            <w:r>
              <w:rPr>
                <w:rFonts w:hint="eastAsia" w:ascii="Times New Roman" w:hAnsi="Times New Roman" w:eastAsia="方正仿宋_GBK"/>
                <w:spacing w:val="-2"/>
                <w:kern w:val="0"/>
                <w:szCs w:val="21"/>
                <w:lang w:eastAsia="zh-CN"/>
              </w:rPr>
              <w:t>集体经济</w:t>
            </w:r>
            <w:r>
              <w:rPr>
                <w:rFonts w:hint="eastAsia" w:ascii="Times New Roman" w:hAnsi="Times New Roman" w:eastAsia="方正仿宋_GBK"/>
                <w:spacing w:val="-2"/>
                <w:kern w:val="0"/>
                <w:szCs w:val="21"/>
              </w:rPr>
              <w:t>组织；以出台的文件为抓手，抓好工作落实。</w:t>
            </w:r>
          </w:p>
        </w:tc>
      </w:tr>
      <w:tr w14:paraId="7DE4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86" w:type="dxa"/>
            <w:vAlign w:val="center"/>
          </w:tcPr>
          <w:p w14:paraId="1171CCE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62.</w:t>
            </w:r>
            <w:r>
              <w:rPr>
                <w:rFonts w:hint="eastAsia" w:ascii="Times New Roman" w:hAnsi="Times New Roman" w:eastAsia="方正仿宋_GBK"/>
                <w:color w:val="000000" w:themeColor="text1"/>
                <w:spacing w:val="-2"/>
                <w:kern w:val="0"/>
                <w:szCs w:val="21"/>
                <w:lang w:val="zh-CN"/>
              </w:rPr>
              <w:t>推进“三社”融合发展，建成基层供销社25个、示范农民专业合作社50家以上，</w:t>
            </w:r>
            <w:r>
              <w:rPr>
                <w:rFonts w:ascii="Times New Roman" w:hAnsi="Times New Roman" w:eastAsia="方正仿宋_GBK"/>
                <w:color w:val="000000" w:themeColor="text1"/>
                <w:spacing w:val="-2"/>
                <w:kern w:val="0"/>
                <w:szCs w:val="21"/>
              </w:rPr>
              <w:t>培育新型职业农民</w:t>
            </w:r>
            <w:r>
              <w:rPr>
                <w:rFonts w:hint="eastAsia" w:ascii="Times New Roman" w:hAnsi="Times New Roman" w:eastAsia="方正仿宋_GBK"/>
                <w:color w:val="000000" w:themeColor="text1"/>
                <w:spacing w:val="-2"/>
                <w:kern w:val="0"/>
                <w:szCs w:val="21"/>
              </w:rPr>
              <w:t>500</w:t>
            </w:r>
            <w:r>
              <w:rPr>
                <w:rFonts w:ascii="Times New Roman" w:hAnsi="Times New Roman" w:eastAsia="方正仿宋_GBK"/>
                <w:color w:val="000000" w:themeColor="text1"/>
                <w:spacing w:val="-2"/>
                <w:kern w:val="0"/>
                <w:szCs w:val="21"/>
              </w:rPr>
              <w:t>名</w:t>
            </w:r>
            <w:r>
              <w:rPr>
                <w:rFonts w:hint="eastAsia" w:ascii="Times New Roman" w:hAnsi="Times New Roman" w:eastAsia="方正仿宋_GBK"/>
                <w:color w:val="000000" w:themeColor="text1"/>
                <w:spacing w:val="-2"/>
                <w:kern w:val="0"/>
                <w:szCs w:val="21"/>
              </w:rPr>
              <w:t>。</w:t>
            </w:r>
          </w:p>
        </w:tc>
        <w:tc>
          <w:tcPr>
            <w:tcW w:w="850" w:type="dxa"/>
            <w:vAlign w:val="center"/>
          </w:tcPr>
          <w:p w14:paraId="1521874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1F4A242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县供销社</w:t>
            </w:r>
          </w:p>
          <w:p w14:paraId="772E817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tc>
        <w:tc>
          <w:tcPr>
            <w:tcW w:w="1559" w:type="dxa"/>
            <w:vAlign w:val="center"/>
          </w:tcPr>
          <w:p w14:paraId="2ED5D74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1066FF3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推进基层供销社建设：一是完成了全县25个基层社登记注册工作。二是完成了6个基层社示范社建设；三是指导高燕镇、坪坝镇、鸡鸣乡基层供销社开展农资配送、测土配方施肥等农业社会化服务。</w:t>
            </w:r>
          </w:p>
          <w:p w14:paraId="6B6A5E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推进“三社”融合示范点建设：召开了“三社”融合工作推进会，制定了9个示范点三社“融合”实施方案，绘好“时间表”，制定“路线图”</w:t>
            </w:r>
          </w:p>
          <w:p w14:paraId="7282C88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推进订单农产品基地建设：</w:t>
            </w:r>
            <w:r>
              <w:rPr>
                <w:rFonts w:ascii="Times New Roman" w:hAnsi="Times New Roman" w:eastAsia="方正仿宋_GBK"/>
                <w:color w:val="000000" w:themeColor="text1"/>
                <w:spacing w:val="-2"/>
                <w:kern w:val="0"/>
                <w:szCs w:val="21"/>
              </w:rPr>
              <w:t>按照定地点、定品种、定数量、定质量、定价格、定收购时间“六定”方式落实</w:t>
            </w:r>
            <w:r>
              <w:rPr>
                <w:rFonts w:hint="eastAsia" w:ascii="Times New Roman" w:hAnsi="Times New Roman" w:eastAsia="方正仿宋_GBK"/>
                <w:color w:val="000000" w:themeColor="text1"/>
                <w:spacing w:val="-2"/>
                <w:kern w:val="0"/>
                <w:szCs w:val="21"/>
              </w:rPr>
              <w:t>了8个</w:t>
            </w:r>
            <w:r>
              <w:rPr>
                <w:rFonts w:ascii="Times New Roman" w:hAnsi="Times New Roman" w:eastAsia="方正仿宋_GBK"/>
                <w:color w:val="000000" w:themeColor="text1"/>
                <w:spacing w:val="-2"/>
                <w:kern w:val="0"/>
                <w:szCs w:val="21"/>
              </w:rPr>
              <w:t>订单农产品生产基地</w:t>
            </w:r>
            <w:r>
              <w:rPr>
                <w:rFonts w:hint="eastAsia" w:ascii="Times New Roman" w:hAnsi="Times New Roman" w:eastAsia="方正仿宋_GBK"/>
                <w:color w:val="000000" w:themeColor="text1"/>
                <w:spacing w:val="-2"/>
                <w:kern w:val="0"/>
                <w:szCs w:val="21"/>
              </w:rPr>
              <w:t>，与合作社签订了26份购销协议，带动合作社发展产业352亩。</w:t>
            </w:r>
          </w:p>
          <w:p w14:paraId="31B5E6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推进农村合作金融服务：与中银富登银行达成了开展“三社兴农贷”业务的战略合作意向。</w:t>
            </w:r>
          </w:p>
        </w:tc>
        <w:tc>
          <w:tcPr>
            <w:tcW w:w="2576" w:type="dxa"/>
            <w:vAlign w:val="center"/>
          </w:tcPr>
          <w:p w14:paraId="2872075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合作社带动能力不强，服务功能不完善，产业发展基础较薄弱；基层社尚未形成服务“三农”的重要载体；基层供销社、专业合作社与农户的利益联结机制不够紧密。</w:t>
            </w:r>
          </w:p>
          <w:p w14:paraId="1F31BCD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0097B6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动合作社规范提升。一是组建符合乡镇产业发展需要的农民专业合作社，动员有劳动能力和意愿的农户加入专业合作社。二是推动订单农产品基地建设，按照种植规模化、生产标准化、产销一体化的思路，组织合作社发展生产。三是加强县农民合作社服务中心建设，提高农服中心工作人员业务水平，帮助带动更多合作社规范财务管理，为合作社提供更优质的金融服务。四是开展农民合作社带头人培训，提高合作社带头人经营管理水平，努力达到示范社创建标准。</w:t>
            </w:r>
          </w:p>
          <w:p w14:paraId="7B8B01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加快基层社升级改造。按照示范社标准，推进修齐镇、东安镇2个基层社建设；按照一般社建设标准，推进咸宜镇、双河乡、明中乡3个基层社建设。</w:t>
            </w:r>
          </w:p>
          <w:p w14:paraId="43D6055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紧密利益联结机制。一是强化乡镇基层供销社在组织上和经营上与专业合作社的利益联结，为专业合作社提供社会化服务，与专业合作社建立密切的产销对接关系。二是紧密合作社、基层供销社与农户的利益联结机制，建立健全“三会”制度、财务制度和返利分红制度。</w:t>
            </w:r>
          </w:p>
          <w:p w14:paraId="70EFFFF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参与农村“三变”改革。积极探索以农民专业合作社为基础，农民以土地入股、村级集体经济组织以资金入股的发展模式，鼓励村集体经济组织与基层供销社、专业合作社共同组建股份合作社。</w:t>
            </w:r>
          </w:p>
        </w:tc>
      </w:tr>
      <w:tr w14:paraId="2759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986" w:type="dxa"/>
            <w:vAlign w:val="center"/>
          </w:tcPr>
          <w:p w14:paraId="394355B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63.</w:t>
            </w:r>
            <w:r>
              <w:rPr>
                <w:rFonts w:ascii="Times New Roman" w:hAnsi="Times New Roman" w:eastAsia="方正仿宋_GBK"/>
                <w:color w:val="000000" w:themeColor="text1"/>
                <w:spacing w:val="-2"/>
                <w:kern w:val="0"/>
                <w:szCs w:val="21"/>
              </w:rPr>
              <w:t>继续实施村庄基础设施建设工程，大力改善农村生产生活条件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新建农村招呼站30个</w:t>
            </w:r>
            <w:r>
              <w:rPr>
                <w:rFonts w:hint="eastAsia" w:ascii="Times New Roman" w:hAnsi="Times New Roman" w:eastAsia="方正仿宋_GBK"/>
                <w:color w:val="000000" w:themeColor="text1"/>
                <w:spacing w:val="-2"/>
                <w:kern w:val="0"/>
                <w:szCs w:val="21"/>
              </w:rPr>
              <w:t>，全面提升</w:t>
            </w:r>
            <w:r>
              <w:rPr>
                <w:rFonts w:ascii="Times New Roman" w:hAnsi="Times New Roman" w:eastAsia="方正仿宋_GBK"/>
                <w:color w:val="000000" w:themeColor="text1"/>
                <w:spacing w:val="-2"/>
                <w:kern w:val="0"/>
                <w:szCs w:val="21"/>
              </w:rPr>
              <w:t>农户卫生厕所覆盖率。</w:t>
            </w:r>
          </w:p>
        </w:tc>
        <w:tc>
          <w:tcPr>
            <w:tcW w:w="850" w:type="dxa"/>
            <w:vAlign w:val="center"/>
          </w:tcPr>
          <w:p w14:paraId="1DC50F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p w14:paraId="57C0056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tc>
        <w:tc>
          <w:tcPr>
            <w:tcW w:w="1134" w:type="dxa"/>
            <w:vAlign w:val="center"/>
          </w:tcPr>
          <w:p w14:paraId="72BA853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7AB39E9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县交通局</w:t>
            </w:r>
          </w:p>
        </w:tc>
        <w:tc>
          <w:tcPr>
            <w:tcW w:w="1559" w:type="dxa"/>
            <w:vAlign w:val="center"/>
          </w:tcPr>
          <w:p w14:paraId="35F3D64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县住房城乡建委、县卫生健康委、各乡镇（街道）</w:t>
            </w:r>
          </w:p>
        </w:tc>
        <w:tc>
          <w:tcPr>
            <w:tcW w:w="4111" w:type="dxa"/>
            <w:vAlign w:val="center"/>
          </w:tcPr>
          <w:p w14:paraId="75EDCE1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配合县卫生健康委推进农村“厕所革命”：推进农村户厕改造；推进农村公厕建设；推进厕所粪污治理;</w:t>
            </w:r>
          </w:p>
        </w:tc>
        <w:tc>
          <w:tcPr>
            <w:tcW w:w="2576" w:type="dxa"/>
            <w:vAlign w:val="center"/>
          </w:tcPr>
          <w:p w14:paraId="4F3ACD63">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ABA277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结合农村危房改造、易地扶贫搬迁、旧房整治提升、农户环境综合整治统筹推进农村厕所改造，引导农村新建和改造标准卫生厕所，逐步提高卫生厕所普及率；完成三挡村整村无害化卫生厕所改造；结合健康知识和卫生习惯的宣传教育，引导群众养成正确用厕、规范护厕的良好习惯。</w:t>
            </w:r>
          </w:p>
        </w:tc>
      </w:tr>
      <w:tr w14:paraId="49CE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986" w:type="dxa"/>
            <w:vAlign w:val="center"/>
          </w:tcPr>
          <w:p w14:paraId="27CE76D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64.深入实施“清洁家园、美丽乡村”人居环境整治，做到“五干净”“六整齐”。</w:t>
            </w:r>
          </w:p>
        </w:tc>
        <w:tc>
          <w:tcPr>
            <w:tcW w:w="850" w:type="dxa"/>
            <w:vAlign w:val="center"/>
          </w:tcPr>
          <w:p w14:paraId="341CBFF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35AEBAF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tc>
        <w:tc>
          <w:tcPr>
            <w:tcW w:w="1559" w:type="dxa"/>
            <w:vAlign w:val="center"/>
          </w:tcPr>
          <w:p w14:paraId="1B817D0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县扶贫办</w:t>
            </w:r>
          </w:p>
          <w:p w14:paraId="148038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088C37B">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聚焦六项重点任务：持续推进农村“厕所革命”</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全面推进农村生活垃圾治理</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梯次推进农村生活污水治理</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逐步推进村容村貌提升</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加快推进农业生产废弃物资源化利用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加强村规划编制引领。</w:t>
            </w:r>
          </w:p>
          <w:p w14:paraId="5DC9B3E3">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强化三项保障措施：引导村民养成良好卫生习惯</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完善建设和管护机制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健全保障措施</w:t>
            </w:r>
            <w:r>
              <w:rPr>
                <w:rFonts w:hint="eastAsia" w:ascii="Times New Roman" w:hAnsi="Times New Roman" w:eastAsia="方正仿宋_GBK"/>
                <w:color w:val="000000" w:themeColor="text1"/>
                <w:spacing w:val="-2"/>
                <w:kern w:val="0"/>
                <w:szCs w:val="21"/>
              </w:rPr>
              <w:t>。当前召开了2020年农村人居环境整治工作推进会，细化了各部门的责任任务。制定《城口县2020年农村人居环境整治工作要点（征求意见稿）》，研究2020年农村人居环境整治项目专项资金，进一步推动岚溪村三挡村改厕任务。完成人居环境整治相关的项目储备工作。</w:t>
            </w:r>
          </w:p>
        </w:tc>
        <w:tc>
          <w:tcPr>
            <w:tcW w:w="2576" w:type="dxa"/>
            <w:vAlign w:val="center"/>
          </w:tcPr>
          <w:p w14:paraId="7C857E7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85A3D2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深入推进以“三清一改”为重点的村庄清洁行动</w:t>
            </w:r>
            <w:r>
              <w:rPr>
                <w:rFonts w:ascii="Times New Roman" w:hAnsi="Times New Roman" w:eastAsia="方正仿宋_GBK"/>
                <w:color w:val="000000" w:themeColor="text1"/>
                <w:spacing w:val="-2"/>
                <w:kern w:val="0"/>
                <w:szCs w:val="21"/>
              </w:rPr>
              <w:t>春季</w:t>
            </w:r>
            <w:r>
              <w:rPr>
                <w:rFonts w:hint="eastAsia" w:ascii="Times New Roman" w:hAnsi="Times New Roman" w:eastAsia="方正仿宋_GBK"/>
                <w:color w:val="000000" w:themeColor="text1"/>
                <w:spacing w:val="-2"/>
                <w:kern w:val="0"/>
                <w:szCs w:val="21"/>
              </w:rPr>
              <w:t>战役；各牵头部门继续完成人居环境整治重点工程，并研究制定我县2020年农村人居环境整治工作要点（预计4月完成）；加快推进2020年农村人居环境整治专项工程建设，由涉及到的6各乡镇完善建设方案，提交县上审定后，将资金切块拨付实施。</w:t>
            </w:r>
          </w:p>
        </w:tc>
      </w:tr>
      <w:tr w14:paraId="11D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986" w:type="dxa"/>
            <w:vAlign w:val="center"/>
          </w:tcPr>
          <w:p w14:paraId="625A3F9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65.</w:t>
            </w:r>
            <w:r>
              <w:rPr>
                <w:rFonts w:ascii="Times New Roman" w:hAnsi="Times New Roman" w:eastAsia="方正仿宋_GBK"/>
                <w:color w:val="000000" w:themeColor="text1"/>
                <w:spacing w:val="-2"/>
                <w:kern w:val="0"/>
                <w:szCs w:val="21"/>
              </w:rPr>
              <w:t>持续推进移风易俗，营造文明乡风。</w:t>
            </w:r>
          </w:p>
        </w:tc>
        <w:tc>
          <w:tcPr>
            <w:tcW w:w="850" w:type="dxa"/>
            <w:vAlign w:val="center"/>
          </w:tcPr>
          <w:p w14:paraId="5133485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周  波</w:t>
            </w:r>
          </w:p>
        </w:tc>
        <w:tc>
          <w:tcPr>
            <w:tcW w:w="1134" w:type="dxa"/>
            <w:vAlign w:val="center"/>
          </w:tcPr>
          <w:p w14:paraId="45C74F6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县委宣传部</w:t>
            </w:r>
          </w:p>
        </w:tc>
        <w:tc>
          <w:tcPr>
            <w:tcW w:w="1559" w:type="dxa"/>
            <w:vAlign w:val="center"/>
          </w:tcPr>
          <w:p w14:paraId="48C7ED6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5B441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在平台建设方面。制定印发《深化拓展新时代文明实践中心建设试点工作实施方案》，把“持续深化移风易俗”作为新时代文明实践中心（所、站）的重点工作。截至目前，建立新时代文明实践所</w:t>
            </w:r>
            <w:r>
              <w:rPr>
                <w:rFonts w:ascii="Times New Roman" w:hAnsi="Times New Roman" w:eastAsia="方正仿宋_GBK"/>
                <w:color w:val="000000" w:themeColor="text1"/>
                <w:spacing w:val="-2"/>
                <w:kern w:val="0"/>
                <w:szCs w:val="21"/>
              </w:rPr>
              <w:t>25</w:t>
            </w:r>
            <w:r>
              <w:rPr>
                <w:rFonts w:hint="eastAsia" w:ascii="Times New Roman" w:hAnsi="Times New Roman" w:eastAsia="方正仿宋_GBK"/>
                <w:color w:val="000000" w:themeColor="text1"/>
                <w:spacing w:val="-2"/>
                <w:kern w:val="0"/>
                <w:szCs w:val="21"/>
              </w:rPr>
              <w:t>个，新时代文明实践站</w:t>
            </w:r>
            <w:r>
              <w:rPr>
                <w:rFonts w:ascii="Times New Roman" w:hAnsi="Times New Roman" w:eastAsia="方正仿宋_GBK"/>
                <w:color w:val="000000" w:themeColor="text1"/>
                <w:spacing w:val="-2"/>
                <w:kern w:val="0"/>
                <w:szCs w:val="21"/>
              </w:rPr>
              <w:t>204</w:t>
            </w:r>
            <w:r>
              <w:rPr>
                <w:rFonts w:hint="eastAsia" w:ascii="Times New Roman" w:hAnsi="Times New Roman" w:eastAsia="方正仿宋_GBK"/>
                <w:color w:val="000000" w:themeColor="text1"/>
                <w:spacing w:val="-2"/>
                <w:kern w:val="0"/>
                <w:szCs w:val="21"/>
              </w:rPr>
              <w:t>个。印发张贴《养成好习惯》、《抵制脏乱差》等宣传海报</w:t>
            </w:r>
            <w:r>
              <w:rPr>
                <w:rFonts w:ascii="Times New Roman" w:hAnsi="Times New Roman" w:eastAsia="方正仿宋_GBK"/>
                <w:color w:val="000000" w:themeColor="text1"/>
                <w:spacing w:val="-2"/>
                <w:kern w:val="0"/>
                <w:szCs w:val="21"/>
              </w:rPr>
              <w:t>2000</w:t>
            </w:r>
            <w:r>
              <w:rPr>
                <w:rFonts w:hint="eastAsia" w:ascii="Times New Roman" w:hAnsi="Times New Roman" w:eastAsia="方正仿宋_GBK"/>
                <w:color w:val="000000" w:themeColor="text1"/>
                <w:spacing w:val="-2"/>
                <w:kern w:val="0"/>
                <w:szCs w:val="21"/>
              </w:rPr>
              <w:t>余份。</w:t>
            </w:r>
          </w:p>
          <w:p w14:paraId="4E9DD4A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在文明实践方面。重点围绕移风易俗“十抵制十提倡”和“文明生活进农村”行动，建立了“</w:t>
            </w:r>
            <w:r>
              <w:rPr>
                <w:rFonts w:ascii="Times New Roman" w:hAnsi="Times New Roman" w:eastAsia="方正仿宋_GBK"/>
                <w:color w:val="000000" w:themeColor="text1"/>
                <w:spacing w:val="-2"/>
                <w:kern w:val="0"/>
                <w:szCs w:val="21"/>
              </w:rPr>
              <w:t>10+N</w:t>
            </w:r>
            <w:r>
              <w:rPr>
                <w:rFonts w:hint="eastAsia" w:ascii="Times New Roman" w:hAnsi="Times New Roman" w:eastAsia="方正仿宋_GBK"/>
                <w:color w:val="000000" w:themeColor="text1"/>
                <w:spacing w:val="-2"/>
                <w:kern w:val="0"/>
                <w:szCs w:val="21"/>
              </w:rPr>
              <w:t>”县级志愿服务专业队伍，招募志愿者</w:t>
            </w:r>
            <w:r>
              <w:rPr>
                <w:rFonts w:ascii="Times New Roman" w:hAnsi="Times New Roman" w:eastAsia="方正仿宋_GBK"/>
                <w:color w:val="000000" w:themeColor="text1"/>
                <w:spacing w:val="-2"/>
                <w:kern w:val="0"/>
                <w:szCs w:val="21"/>
              </w:rPr>
              <w:t>3000</w:t>
            </w:r>
            <w:r>
              <w:rPr>
                <w:rFonts w:hint="eastAsia" w:ascii="Times New Roman" w:hAnsi="Times New Roman" w:eastAsia="方正仿宋_GBK"/>
                <w:color w:val="000000" w:themeColor="text1"/>
                <w:spacing w:val="-2"/>
                <w:kern w:val="0"/>
                <w:szCs w:val="21"/>
              </w:rPr>
              <w:t>余名。县委主要负责同志签发新时代文明实践志愿服务总队长令</w:t>
            </w:r>
            <w:r>
              <w:rPr>
                <w:rFonts w:ascii="Times New Roman" w:hAnsi="Times New Roman" w:eastAsia="方正仿宋_GBK"/>
                <w:color w:val="000000" w:themeColor="text1"/>
                <w:spacing w:val="-2"/>
                <w:kern w:val="0"/>
                <w:szCs w:val="21"/>
              </w:rPr>
              <w:t>2</w:t>
            </w:r>
            <w:r>
              <w:rPr>
                <w:rFonts w:hint="eastAsia" w:ascii="Times New Roman" w:hAnsi="Times New Roman" w:eastAsia="方正仿宋_GBK"/>
                <w:color w:val="000000" w:themeColor="text1"/>
                <w:spacing w:val="-2"/>
                <w:kern w:val="0"/>
                <w:szCs w:val="21"/>
              </w:rPr>
              <w:t>期，策划开展以“强三业、促增收、助脱贫”、“五干净六整齐，城乡环境卫生整治”为主题的志愿服务活动</w:t>
            </w:r>
            <w:r>
              <w:rPr>
                <w:rFonts w:ascii="Times New Roman" w:hAnsi="Times New Roman" w:eastAsia="方正仿宋_GBK"/>
                <w:color w:val="000000" w:themeColor="text1"/>
                <w:spacing w:val="-2"/>
                <w:kern w:val="0"/>
                <w:szCs w:val="21"/>
              </w:rPr>
              <w:t>200</w:t>
            </w:r>
            <w:r>
              <w:rPr>
                <w:rFonts w:hint="eastAsia" w:ascii="Times New Roman" w:hAnsi="Times New Roman" w:eastAsia="方正仿宋_GBK"/>
                <w:color w:val="000000" w:themeColor="text1"/>
                <w:spacing w:val="-2"/>
                <w:kern w:val="0"/>
                <w:szCs w:val="21"/>
              </w:rPr>
              <w:t>余场次。组织开展“我们的节日·清明”活动，大力倡导文明祭祀、节俭祭扫、环保祭扫和安全祭扫。</w:t>
            </w:r>
          </w:p>
          <w:p w14:paraId="589DC3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在挂牌督战方面。坚持把乡风文明建设作为“强平台扶志气”挂牌督战的重要内容，实行部领导包片督战，适时开展重点督查、交叉学习督查和成效检阅。</w:t>
            </w:r>
          </w:p>
        </w:tc>
        <w:tc>
          <w:tcPr>
            <w:tcW w:w="2576" w:type="dxa"/>
            <w:vAlign w:val="center"/>
          </w:tcPr>
          <w:p w14:paraId="2ADEE9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部分群众的陈规陋习根深蒂固，难以在短时间内得到根本性扭转。</w:t>
            </w:r>
          </w:p>
          <w:p w14:paraId="6A51B61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2BC42EB">
            <w:pPr>
              <w:widowControl/>
              <w:spacing w:line="240" w:lineRule="exact"/>
              <w:jc w:val="left"/>
              <w:rPr>
                <w:rFonts w:ascii="Times New Roman" w:hAnsi="Times New Roman" w:eastAsia="方正仿宋_GBK"/>
                <w:color w:val="000000" w:themeColor="text1"/>
                <w:spacing w:val="-2"/>
                <w:kern w:val="0"/>
                <w:szCs w:val="21"/>
              </w:rPr>
            </w:pPr>
          </w:p>
          <w:p w14:paraId="0433D40A">
            <w:pPr>
              <w:widowControl/>
              <w:spacing w:line="240" w:lineRule="exact"/>
              <w:jc w:val="left"/>
              <w:rPr>
                <w:rFonts w:ascii="Times New Roman" w:hAnsi="Times New Roman" w:eastAsia="方正仿宋_GBK"/>
                <w:color w:val="000000" w:themeColor="text1"/>
                <w:spacing w:val="-2"/>
                <w:kern w:val="0"/>
                <w:szCs w:val="21"/>
              </w:rPr>
            </w:pPr>
          </w:p>
          <w:p w14:paraId="78C18508">
            <w:pPr>
              <w:widowControl/>
              <w:spacing w:line="240" w:lineRule="exact"/>
              <w:jc w:val="left"/>
              <w:rPr>
                <w:rFonts w:ascii="Times New Roman" w:hAnsi="Times New Roman" w:eastAsia="方正仿宋_GBK"/>
                <w:color w:val="000000" w:themeColor="text1"/>
                <w:spacing w:val="-2"/>
                <w:kern w:val="0"/>
                <w:szCs w:val="21"/>
              </w:rPr>
            </w:pPr>
          </w:p>
          <w:p w14:paraId="2854B8C4">
            <w:pPr>
              <w:widowControl/>
              <w:spacing w:line="240" w:lineRule="exact"/>
              <w:jc w:val="left"/>
              <w:rPr>
                <w:rFonts w:ascii="Times New Roman" w:hAnsi="Times New Roman" w:eastAsia="方正仿宋_GBK"/>
                <w:color w:val="000000" w:themeColor="text1"/>
                <w:spacing w:val="-2"/>
                <w:kern w:val="0"/>
                <w:szCs w:val="21"/>
              </w:rPr>
            </w:pPr>
          </w:p>
          <w:p w14:paraId="651DB013">
            <w:pPr>
              <w:widowControl/>
              <w:spacing w:line="240" w:lineRule="exact"/>
              <w:jc w:val="left"/>
              <w:rPr>
                <w:rFonts w:ascii="Times New Roman" w:hAnsi="Times New Roman" w:eastAsia="方正仿宋_GBK"/>
                <w:color w:val="000000" w:themeColor="text1"/>
                <w:spacing w:val="-2"/>
                <w:kern w:val="0"/>
                <w:szCs w:val="21"/>
              </w:rPr>
            </w:pPr>
          </w:p>
          <w:p w14:paraId="1DACCC26">
            <w:pPr>
              <w:widowControl/>
              <w:spacing w:line="240" w:lineRule="exact"/>
              <w:jc w:val="left"/>
              <w:rPr>
                <w:rFonts w:ascii="Times New Roman" w:hAnsi="Times New Roman" w:eastAsia="方正仿宋_GBK"/>
                <w:color w:val="000000" w:themeColor="text1"/>
                <w:spacing w:val="-2"/>
                <w:kern w:val="0"/>
                <w:szCs w:val="21"/>
              </w:rPr>
            </w:pPr>
          </w:p>
          <w:p w14:paraId="52670949">
            <w:pPr>
              <w:widowControl/>
              <w:spacing w:line="240" w:lineRule="exact"/>
              <w:jc w:val="left"/>
              <w:rPr>
                <w:rFonts w:ascii="Times New Roman" w:hAnsi="Times New Roman" w:eastAsia="方正仿宋_GBK"/>
                <w:color w:val="000000" w:themeColor="text1"/>
                <w:spacing w:val="-2"/>
                <w:kern w:val="0"/>
                <w:szCs w:val="21"/>
              </w:rPr>
            </w:pPr>
          </w:p>
          <w:p w14:paraId="1FBC2189">
            <w:pPr>
              <w:widowControl/>
              <w:spacing w:line="240" w:lineRule="exact"/>
              <w:jc w:val="left"/>
              <w:rPr>
                <w:rFonts w:ascii="Times New Roman" w:hAnsi="Times New Roman" w:eastAsia="方正仿宋_GBK"/>
                <w:color w:val="000000" w:themeColor="text1"/>
                <w:spacing w:val="-2"/>
                <w:kern w:val="0"/>
                <w:szCs w:val="21"/>
              </w:rPr>
            </w:pPr>
          </w:p>
          <w:p w14:paraId="5580A1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坚持以新时代文明实践中心（所、站）为重要平台，扎实推进“强平台扶志气”工作，深化拓展精神扶贫“六进农家”行动，深入开展移风易俗和“五干净六整齐”美丽家园建设，营造积极健康向上的社会风气。</w:t>
            </w:r>
          </w:p>
        </w:tc>
      </w:tr>
      <w:tr w14:paraId="5BB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43" w:type="dxa"/>
            <w:gridSpan w:val="7"/>
            <w:vAlign w:val="center"/>
          </w:tcPr>
          <w:p w14:paraId="4DDBD591">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（五）持续加强生态文明建设，厚植绿色发展优势。</w:t>
            </w:r>
          </w:p>
        </w:tc>
      </w:tr>
      <w:tr w14:paraId="3716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86" w:type="dxa"/>
            <w:vAlign w:val="center"/>
          </w:tcPr>
          <w:p w14:paraId="5E114EB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66</w:t>
            </w:r>
            <w:r>
              <w:rPr>
                <w:rFonts w:ascii="Times New Roman" w:hAnsi="Times New Roman" w:eastAsia="方正仿宋_GBK"/>
                <w:color w:val="000000" w:themeColor="text1"/>
                <w:spacing w:val="-2"/>
                <w:kern w:val="0"/>
                <w:szCs w:val="21"/>
              </w:rPr>
              <w:t>.严格落实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三线一单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，加强生态保护红线管控，统筹山水林田湖草一体化保护和修复。</w:t>
            </w:r>
          </w:p>
        </w:tc>
        <w:tc>
          <w:tcPr>
            <w:tcW w:w="850" w:type="dxa"/>
            <w:vAlign w:val="center"/>
          </w:tcPr>
          <w:p w14:paraId="03644A5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7B19273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夏朝华</w:t>
            </w:r>
          </w:p>
        </w:tc>
        <w:tc>
          <w:tcPr>
            <w:tcW w:w="1134" w:type="dxa"/>
            <w:vAlign w:val="center"/>
          </w:tcPr>
          <w:p w14:paraId="702632D2">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p w14:paraId="32E96C1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县规划自然资源局</w:t>
            </w:r>
          </w:p>
        </w:tc>
        <w:tc>
          <w:tcPr>
            <w:tcW w:w="1559" w:type="dxa"/>
            <w:vAlign w:val="center"/>
          </w:tcPr>
          <w:p w14:paraId="61C368E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599A06C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“重庆市城口县三线一单”于2019年12月12日通过验收，并利用与实际工作中。</w:t>
            </w:r>
          </w:p>
        </w:tc>
        <w:tc>
          <w:tcPr>
            <w:tcW w:w="2576" w:type="dxa"/>
            <w:vAlign w:val="center"/>
          </w:tcPr>
          <w:p w14:paraId="125388D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9F8583D">
            <w:pPr>
              <w:widowControl/>
              <w:spacing w:line="240" w:lineRule="exact"/>
              <w:jc w:val="left"/>
              <w:rPr>
                <w:rFonts w:ascii="Times New Roman" w:hAnsi="Times New Roman" w:eastAsia="方正仿宋_GBK"/>
                <w:color w:val="000000" w:themeColor="text1"/>
                <w:spacing w:val="-2"/>
                <w:kern w:val="0"/>
                <w:szCs w:val="21"/>
              </w:rPr>
            </w:pPr>
          </w:p>
        </w:tc>
      </w:tr>
      <w:tr w14:paraId="644A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986" w:type="dxa"/>
            <w:vAlign w:val="center"/>
          </w:tcPr>
          <w:p w14:paraId="766D4295">
            <w:pPr>
              <w:widowControl/>
              <w:spacing w:line="240" w:lineRule="exact"/>
              <w:rPr>
                <w:rFonts w:ascii="Times New Roman" w:hAnsi="Times New Roman" w:eastAsia="方正仿宋_GBK"/>
                <w:color w:val="000000" w:themeColor="text1"/>
                <w:spacing w:val="-6"/>
                <w:szCs w:val="21"/>
              </w:rPr>
            </w:pPr>
            <w:r>
              <w:rPr>
                <w:rFonts w:hint="eastAsia" w:ascii="Times New Roman" w:hAnsi="Times New Roman" w:eastAsia="方正仿宋_GBK"/>
                <w:color w:val="000000" w:themeColor="text1"/>
                <w:spacing w:val="-6"/>
                <w:szCs w:val="21"/>
              </w:rPr>
              <w:t>67.</w:t>
            </w:r>
            <w:r>
              <w:rPr>
                <w:rFonts w:ascii="Times New Roman" w:hAnsi="Times New Roman" w:eastAsia="方正仿宋_GBK"/>
                <w:color w:val="000000" w:themeColor="text1"/>
                <w:spacing w:val="-6"/>
                <w:szCs w:val="21"/>
              </w:rPr>
              <w:t>落实资源有偿使用、排污权、碳排放权初始分配和交易、生态补偿等制度。</w:t>
            </w:r>
          </w:p>
        </w:tc>
        <w:tc>
          <w:tcPr>
            <w:tcW w:w="850" w:type="dxa"/>
            <w:vAlign w:val="center"/>
          </w:tcPr>
          <w:p w14:paraId="6640E39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p w14:paraId="3D6DD47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p w14:paraId="7F1A87B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6C5ABBC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7B3B2A06">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6F3E5CC5">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w:t>
            </w:r>
          </w:p>
          <w:p w14:paraId="12F7A881">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p w14:paraId="65455C3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县农业农村委</w:t>
            </w:r>
          </w:p>
          <w:p w14:paraId="007E341F">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5B79476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46F3273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正在起草建立市场化、多元化生态保护补偿机制实施方案。</w:t>
            </w:r>
          </w:p>
        </w:tc>
        <w:tc>
          <w:tcPr>
            <w:tcW w:w="2576" w:type="dxa"/>
            <w:vAlign w:val="center"/>
          </w:tcPr>
          <w:p w14:paraId="44FBEB2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37157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初步计划在生态保护补偿机制实施方案起草完成后，召集相关部门会商修改完善。</w:t>
            </w:r>
          </w:p>
        </w:tc>
      </w:tr>
      <w:tr w14:paraId="2BC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757D60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68</w:t>
            </w:r>
            <w:r>
              <w:rPr>
                <w:rFonts w:ascii="Times New Roman" w:hAnsi="Times New Roman" w:eastAsia="方正仿宋_GBK"/>
                <w:color w:val="000000" w:themeColor="text1"/>
                <w:spacing w:val="-2"/>
                <w:kern w:val="0"/>
                <w:szCs w:val="21"/>
              </w:rPr>
              <w:t>.探索</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林票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交易机制和市场</w:t>
            </w:r>
            <w:r>
              <w:rPr>
                <w:rFonts w:hint="eastAsia" w:ascii="Times New Roman" w:hAnsi="Times New Roman" w:eastAsia="方正仿宋_GBK"/>
                <w:color w:val="000000" w:themeColor="text1"/>
                <w:spacing w:val="-2"/>
                <w:kern w:val="0"/>
                <w:szCs w:val="21"/>
              </w:rPr>
              <w:t>化</w:t>
            </w:r>
            <w:r>
              <w:rPr>
                <w:rFonts w:ascii="Times New Roman" w:hAnsi="Times New Roman" w:eastAsia="方正仿宋_GBK"/>
                <w:color w:val="000000" w:themeColor="text1"/>
                <w:spacing w:val="-2"/>
                <w:kern w:val="0"/>
                <w:szCs w:val="21"/>
              </w:rPr>
              <w:t>多元化生态补偿机制，收储国家储备林50万亩。</w:t>
            </w:r>
          </w:p>
        </w:tc>
        <w:tc>
          <w:tcPr>
            <w:tcW w:w="850" w:type="dxa"/>
            <w:vAlign w:val="center"/>
          </w:tcPr>
          <w:p w14:paraId="38ED0CD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tc>
        <w:tc>
          <w:tcPr>
            <w:tcW w:w="1134" w:type="dxa"/>
            <w:vAlign w:val="center"/>
          </w:tcPr>
          <w:p w14:paraId="3AAC68AD">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7C423A0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57E0AB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待市局出台“林票交易”办法或方案后启动实施；</w:t>
            </w:r>
            <w:r>
              <w:rPr>
                <w:rFonts w:ascii="Times New Roman" w:hAnsi="Times New Roman" w:eastAsia="方正仿宋_GBK"/>
                <w:color w:val="000000" w:themeColor="text1"/>
                <w:spacing w:val="-2"/>
                <w:kern w:val="0"/>
                <w:szCs w:val="21"/>
              </w:rPr>
              <w:t>高燕镇7.7万亩、双河乡10.6万亩</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庙坝镇7.4万亩已完成林地内外业工作和分户工作</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明通、蓼子等乡镇已陆续启动收储工作</w:t>
            </w:r>
            <w:r>
              <w:rPr>
                <w:rFonts w:hint="eastAsia" w:ascii="Times New Roman" w:hAnsi="Times New Roman" w:eastAsia="方正仿宋_GBK"/>
                <w:color w:val="000000" w:themeColor="text1"/>
                <w:spacing w:val="-2"/>
                <w:kern w:val="0"/>
                <w:szCs w:val="21"/>
              </w:rPr>
              <w:t>。</w:t>
            </w:r>
          </w:p>
        </w:tc>
        <w:tc>
          <w:tcPr>
            <w:tcW w:w="2576" w:type="dxa"/>
            <w:vAlign w:val="center"/>
          </w:tcPr>
          <w:p w14:paraId="6453DD40">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337C71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加快收储进度，确保年底实现50万亩林地经营权流转；</w:t>
            </w:r>
            <w:r>
              <w:rPr>
                <w:rFonts w:ascii="Times New Roman" w:hAnsi="Times New Roman" w:eastAsia="方正仿宋_GBK"/>
                <w:color w:val="000000" w:themeColor="text1"/>
                <w:spacing w:val="-2"/>
                <w:kern w:val="0"/>
                <w:szCs w:val="21"/>
              </w:rPr>
              <w:t>大力开展“国储林+”横向合作</w:t>
            </w:r>
            <w:r>
              <w:rPr>
                <w:rFonts w:hint="eastAsia" w:ascii="Times New Roman" w:hAnsi="Times New Roman" w:eastAsia="方正仿宋_GBK"/>
                <w:color w:val="000000" w:themeColor="text1"/>
                <w:spacing w:val="-2"/>
                <w:kern w:val="0"/>
                <w:szCs w:val="21"/>
              </w:rPr>
              <w:t>，发展林下中药材和森林康养等。</w:t>
            </w:r>
          </w:p>
        </w:tc>
      </w:tr>
      <w:tr w14:paraId="4871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F85A3F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69</w:t>
            </w:r>
            <w:r>
              <w:rPr>
                <w:rFonts w:ascii="Times New Roman" w:hAnsi="Times New Roman" w:eastAsia="方正仿宋_GBK"/>
                <w:color w:val="000000" w:themeColor="text1"/>
                <w:spacing w:val="-2"/>
                <w:kern w:val="0"/>
                <w:szCs w:val="21"/>
              </w:rPr>
              <w:t>.推进国土绿化提升行动，完成营造林15万亩，</w:t>
            </w:r>
            <w:r>
              <w:rPr>
                <w:rFonts w:hint="eastAsia" w:ascii="Times New Roman" w:hAnsi="Times New Roman" w:eastAsia="方正仿宋_GBK"/>
                <w:color w:val="000000" w:themeColor="text1"/>
                <w:spacing w:val="-2"/>
                <w:kern w:val="0"/>
                <w:szCs w:val="21"/>
              </w:rPr>
              <w:t>创建国家级“森林乡村”6个、市级绿色示范村20个，</w:t>
            </w:r>
            <w:r>
              <w:rPr>
                <w:rFonts w:ascii="Times New Roman" w:hAnsi="Times New Roman" w:eastAsia="方正仿宋_GBK"/>
                <w:color w:val="000000" w:themeColor="text1"/>
                <w:spacing w:val="-2"/>
                <w:kern w:val="0"/>
                <w:szCs w:val="21"/>
              </w:rPr>
              <w:t>森林覆盖率提高到71%。</w:t>
            </w:r>
          </w:p>
        </w:tc>
        <w:tc>
          <w:tcPr>
            <w:tcW w:w="850" w:type="dxa"/>
            <w:vAlign w:val="center"/>
          </w:tcPr>
          <w:p w14:paraId="70C521E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tc>
        <w:tc>
          <w:tcPr>
            <w:tcW w:w="1134" w:type="dxa"/>
            <w:vAlign w:val="center"/>
          </w:tcPr>
          <w:p w14:paraId="6084EBB9">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4A4259B0">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362A630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w:t>
            </w:r>
            <w:r>
              <w:rPr>
                <w:rFonts w:ascii="Times New Roman" w:hAnsi="Times New Roman" w:eastAsia="方正仿宋_GBK"/>
                <w:color w:val="000000" w:themeColor="text1"/>
                <w:spacing w:val="-2"/>
                <w:kern w:val="0"/>
                <w:szCs w:val="21"/>
              </w:rPr>
              <w:t>国土绿化提升行动</w:t>
            </w:r>
            <w:r>
              <w:rPr>
                <w:rFonts w:hint="eastAsia" w:ascii="Times New Roman" w:hAnsi="Times New Roman" w:eastAsia="方正仿宋_GBK"/>
                <w:color w:val="000000" w:themeColor="text1"/>
                <w:spacing w:val="-2"/>
                <w:kern w:val="0"/>
                <w:szCs w:val="21"/>
              </w:rPr>
              <w:t>营造林任务5.95万亩（其中：疏林地及未成林地培育0.6万亩、农村四旁植树0.1万亩、农田林网和特色经济林新建0.5万亩、森林抚育2.25万亩、特定灌木林培育2万亩、幼林抚育0.5万亩）。同时，积极推进了国家“森林乡村”和市级绿色示范村创建。</w:t>
            </w:r>
          </w:p>
        </w:tc>
        <w:tc>
          <w:tcPr>
            <w:tcW w:w="2576" w:type="dxa"/>
            <w:vAlign w:val="center"/>
          </w:tcPr>
          <w:p w14:paraId="14BC8B8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资金压力大。</w:t>
            </w:r>
          </w:p>
        </w:tc>
        <w:tc>
          <w:tcPr>
            <w:tcW w:w="3827" w:type="dxa"/>
            <w:vAlign w:val="center"/>
          </w:tcPr>
          <w:p w14:paraId="508091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序时推进2020年</w:t>
            </w:r>
            <w:r>
              <w:rPr>
                <w:rFonts w:ascii="Times New Roman" w:hAnsi="Times New Roman" w:eastAsia="方正仿宋_GBK"/>
                <w:color w:val="000000" w:themeColor="text1"/>
                <w:spacing w:val="-2"/>
                <w:kern w:val="0"/>
                <w:szCs w:val="21"/>
              </w:rPr>
              <w:t>国土绿化提升行动</w:t>
            </w:r>
            <w:r>
              <w:rPr>
                <w:rFonts w:hint="eastAsia" w:ascii="Times New Roman" w:hAnsi="Times New Roman" w:eastAsia="方正仿宋_GBK"/>
                <w:color w:val="000000" w:themeColor="text1"/>
                <w:spacing w:val="-2"/>
                <w:kern w:val="0"/>
                <w:szCs w:val="21"/>
              </w:rPr>
              <w:t>、国家“森林乡村”和市级绿色示范村创建，确保年度目标任务的完成。</w:t>
            </w:r>
          </w:p>
        </w:tc>
      </w:tr>
      <w:tr w14:paraId="5BEB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986" w:type="dxa"/>
            <w:vAlign w:val="center"/>
          </w:tcPr>
          <w:p w14:paraId="6AF6488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70</w:t>
            </w:r>
            <w:r>
              <w:rPr>
                <w:rFonts w:ascii="Times New Roman" w:hAnsi="Times New Roman" w:eastAsia="方正仿宋_GBK"/>
                <w:color w:val="000000" w:themeColor="text1"/>
                <w:spacing w:val="-2"/>
                <w:kern w:val="0"/>
                <w:szCs w:val="21"/>
              </w:rPr>
              <w:t>.落实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河</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长制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，严厉打击</w:t>
            </w:r>
            <w:r>
              <w:rPr>
                <w:rFonts w:hint="eastAsia" w:ascii="Times New Roman" w:hAnsi="Times New Roman" w:eastAsia="方正仿宋_GBK"/>
                <w:color w:val="000000" w:themeColor="text1"/>
                <w:spacing w:val="-2"/>
                <w:kern w:val="0"/>
                <w:szCs w:val="21"/>
              </w:rPr>
              <w:t>非</w:t>
            </w:r>
            <w:r>
              <w:rPr>
                <w:rFonts w:ascii="Times New Roman" w:hAnsi="Times New Roman" w:eastAsia="方正仿宋_GBK"/>
                <w:color w:val="000000" w:themeColor="text1"/>
                <w:spacing w:val="-2"/>
                <w:kern w:val="0"/>
                <w:szCs w:val="21"/>
              </w:rPr>
              <w:t>法采砂等违法破坏行为。</w:t>
            </w:r>
          </w:p>
        </w:tc>
        <w:tc>
          <w:tcPr>
            <w:tcW w:w="850" w:type="dxa"/>
            <w:vAlign w:val="center"/>
          </w:tcPr>
          <w:p w14:paraId="0B147DE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tc>
        <w:tc>
          <w:tcPr>
            <w:tcW w:w="1134" w:type="dxa"/>
            <w:vAlign w:val="center"/>
          </w:tcPr>
          <w:p w14:paraId="6D1B289D">
            <w:pPr>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水利局</w:t>
            </w:r>
          </w:p>
        </w:tc>
        <w:tc>
          <w:tcPr>
            <w:tcW w:w="1559" w:type="dxa"/>
            <w:vAlign w:val="center"/>
          </w:tcPr>
          <w:p w14:paraId="686E4B3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公安局</w:t>
            </w:r>
          </w:p>
          <w:p w14:paraId="5D49C49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0C8730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在2020年河道巡查中，共计发现5起非法采砂为，目前法律文书正在送达各被处罚人办公或家庭地址。</w:t>
            </w:r>
          </w:p>
        </w:tc>
        <w:tc>
          <w:tcPr>
            <w:tcW w:w="2576" w:type="dxa"/>
            <w:vAlign w:val="center"/>
          </w:tcPr>
          <w:p w14:paraId="166A1D8F">
            <w:pPr>
              <w:widowControl/>
              <w:spacing w:line="240" w:lineRule="exact"/>
              <w:jc w:val="left"/>
              <w:rPr>
                <w:rFonts w:ascii="Times New Roman" w:hAnsi="Times New Roman" w:eastAsia="方正仿宋_GBK"/>
                <w:color w:val="000000" w:themeColor="text1"/>
                <w:spacing w:val="-2"/>
                <w:kern w:val="0"/>
                <w:szCs w:val="21"/>
              </w:rPr>
            </w:pPr>
          </w:p>
          <w:p w14:paraId="3B95C9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县水利局向县法院移交的强制执行案件资料数据准确，取证清晰，但县法院在执行过程中力度不够。</w:t>
            </w:r>
          </w:p>
          <w:p w14:paraId="3FCEE65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1365D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继续加大对全县河道的日常巡查，发现一起，查处一起，维护近年来全县开展的各类打击非法采砂专项行动成果。</w:t>
            </w:r>
          </w:p>
          <w:p w14:paraId="23352A97">
            <w:pPr>
              <w:widowControl/>
              <w:spacing w:line="240" w:lineRule="exact"/>
              <w:jc w:val="left"/>
              <w:rPr>
                <w:rFonts w:ascii="Times New Roman" w:hAnsi="Times New Roman" w:eastAsia="方正仿宋_GBK"/>
                <w:color w:val="000000" w:themeColor="text1"/>
                <w:spacing w:val="-2"/>
                <w:kern w:val="0"/>
                <w:szCs w:val="21"/>
              </w:rPr>
            </w:pPr>
          </w:p>
        </w:tc>
      </w:tr>
      <w:tr w14:paraId="58A0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86" w:type="dxa"/>
            <w:vAlign w:val="center"/>
          </w:tcPr>
          <w:p w14:paraId="5F58AE8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71</w:t>
            </w:r>
            <w:r>
              <w:rPr>
                <w:rFonts w:ascii="Times New Roman" w:hAnsi="Times New Roman" w:eastAsia="方正仿宋_GBK"/>
                <w:color w:val="000000" w:themeColor="text1"/>
                <w:spacing w:val="-2"/>
                <w:kern w:val="0"/>
                <w:szCs w:val="21"/>
              </w:rPr>
              <w:t>.加强地质灾害、水土流失治理，完成4个大型地灾点综合整治。</w:t>
            </w:r>
          </w:p>
        </w:tc>
        <w:tc>
          <w:tcPr>
            <w:tcW w:w="850" w:type="dxa"/>
            <w:vAlign w:val="center"/>
          </w:tcPr>
          <w:p w14:paraId="1CCCD75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p w14:paraId="0DC39AD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tc>
        <w:tc>
          <w:tcPr>
            <w:tcW w:w="1134" w:type="dxa"/>
            <w:vAlign w:val="center"/>
          </w:tcPr>
          <w:p w14:paraId="1870B5D2">
            <w:pPr>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bCs/>
                <w:color w:val="000000" w:themeColor="text1"/>
                <w:spacing w:val="-10"/>
                <w:kern w:val="0"/>
                <w:szCs w:val="21"/>
              </w:rPr>
              <w:t>县规划自然资源局</w:t>
            </w:r>
            <w:r>
              <w:rPr>
                <w:rFonts w:hint="eastAsia" w:ascii="Times New Roman" w:hAnsi="Times New Roman" w:eastAsia="方正仿宋_GBK" w:cs="Times New Roman"/>
                <w:bCs/>
                <w:color w:val="000000" w:themeColor="text1"/>
                <w:spacing w:val="-2"/>
                <w:kern w:val="0"/>
                <w:szCs w:val="21"/>
              </w:rPr>
              <w:t>县水利局</w:t>
            </w:r>
          </w:p>
        </w:tc>
        <w:tc>
          <w:tcPr>
            <w:tcW w:w="1559" w:type="dxa"/>
            <w:vAlign w:val="center"/>
          </w:tcPr>
          <w:p w14:paraId="499EFED6">
            <w:pPr>
              <w:widowControl/>
              <w:spacing w:line="240" w:lineRule="exact"/>
              <w:jc w:val="center"/>
              <w:rPr>
                <w:rFonts w:ascii="Times New Roman" w:hAnsi="Times New Roman" w:eastAsia="方正仿宋_GBK"/>
                <w:bCs/>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591BC57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对全县458个地灾隐患点开展汛前排查，起草了2020年度防治方案送政府审定，正在抓紧筹备召开全县地质灾害防治会。二是强化“四重网格”人员责任落实，筹集资金24.5万元，配齐群测群防人员装备500套，正探索购买地灾商业保险，夯实基层基础，拓宽救灾资金的筹集渠道。三全面启动全县1:5万地质灾害详细调查和1:1万地质灾害精细化调查工作，目前已完成葛城、复兴、高观、高燕、坪坝、龙田等6个乡镇野外调查工作。四是启动了龙田乡四湾村滑坡、葛城街道小河口危岩治理，完成了明通镇大塘村滑坡、明中乡场镇、东安镇场镇地质灾害治理前期设计工作。</w:t>
            </w:r>
          </w:p>
          <w:p w14:paraId="7A5DC74F">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C6246EC">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7751D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继续强化隐患日常排查巡查。采取乡镇街道片区负责人组织村社干部和群众自查，群测群防员动态巡查，技术支撑单位重点排查和精细化调查，县地环站定期督促检查等方式，多措并举抓好地质灾害调查评价工作。二是扎实推进宣传培训和演练。多轮次、多形式采取集中或点对点的方式开展宣传培训，逐点开展应急疏散演练，让地灾防治知识在群众中入脑入心，进一步增强群众的防治意识，提高防范应对能力。</w:t>
            </w:r>
            <w:r>
              <w:rPr>
                <w:rFonts w:hint="eastAsia" w:ascii="Times New Roman" w:hAnsi="Times New Roman" w:eastAsia="方正仿宋_GBK"/>
                <w:color w:val="000000" w:themeColor="text1"/>
                <w:spacing w:val="-2"/>
                <w:kern w:val="0"/>
                <w:szCs w:val="21"/>
              </w:rPr>
              <w:br w:type="textWrapping"/>
            </w:r>
            <w:r>
              <w:rPr>
                <w:rFonts w:hint="eastAsia" w:ascii="Times New Roman" w:hAnsi="Times New Roman" w:eastAsia="方正仿宋_GBK"/>
                <w:color w:val="000000" w:themeColor="text1"/>
                <w:spacing w:val="-2"/>
                <w:kern w:val="0"/>
                <w:szCs w:val="21"/>
              </w:rPr>
              <w:t>三是积极推进治理和搬迁避让工作。加强龙田乡四湾村滑坡、葛城街道小河口危岩等在建工程治理项目的监管，争取在主汛期前完成主体工程，全面消除安全隐患。督促指导乡镇扎实开展小微地灾应急排危处置和搬迁避让工作。加强避险撤离人员的管控。</w:t>
            </w:r>
          </w:p>
          <w:p w14:paraId="6DAA4805">
            <w:pPr>
              <w:widowControl/>
              <w:spacing w:line="240" w:lineRule="exact"/>
              <w:jc w:val="left"/>
              <w:rPr>
                <w:rFonts w:ascii="Times New Roman" w:hAnsi="Times New Roman" w:eastAsia="方正仿宋_GBK"/>
                <w:color w:val="000000" w:themeColor="text1"/>
                <w:spacing w:val="-2"/>
                <w:kern w:val="0"/>
                <w:szCs w:val="21"/>
              </w:rPr>
            </w:pPr>
          </w:p>
        </w:tc>
      </w:tr>
      <w:tr w14:paraId="2A9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9CB84D7">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7</w:t>
            </w:r>
            <w:r>
              <w:rPr>
                <w:rFonts w:hint="eastAsia" w:ascii="Times New Roman" w:hAnsi="Times New Roman" w:eastAsia="方正仿宋_GBK"/>
                <w:color w:val="000000" w:themeColor="text1"/>
                <w:spacing w:val="-2"/>
                <w:kern w:val="0"/>
                <w:szCs w:val="21"/>
              </w:rPr>
              <w:t>2</w:t>
            </w:r>
            <w:r>
              <w:rPr>
                <w:rFonts w:ascii="Times New Roman" w:hAnsi="Times New Roman" w:eastAsia="方正仿宋_GBK"/>
                <w:color w:val="000000" w:themeColor="text1"/>
                <w:spacing w:val="-2"/>
                <w:kern w:val="0"/>
                <w:szCs w:val="21"/>
              </w:rPr>
              <w:t>.加强大巴山国家级自然保护区、巴山湖国家湿地公园、九重山国家森林公园管理，保护生物多样性，筑牢生态安全屏障。</w:t>
            </w:r>
            <w:r>
              <w:rPr>
                <w:rFonts w:hint="eastAsia" w:ascii="Times New Roman" w:hAnsi="Times New Roman" w:eastAsia="方正仿宋_GBK"/>
                <w:color w:val="000000" w:themeColor="text1"/>
                <w:spacing w:val="-2"/>
                <w:kern w:val="0"/>
                <w:szCs w:val="21"/>
              </w:rPr>
              <w:t>培养</w:t>
            </w:r>
            <w:r>
              <w:rPr>
                <w:rFonts w:ascii="Times New Roman" w:hAnsi="Times New Roman" w:eastAsia="方正仿宋_GBK"/>
                <w:color w:val="000000" w:themeColor="text1"/>
                <w:spacing w:val="-2"/>
                <w:kern w:val="0"/>
                <w:szCs w:val="21"/>
              </w:rPr>
              <w:t>全民生态</w:t>
            </w:r>
            <w:r>
              <w:rPr>
                <w:rFonts w:hint="eastAsia" w:ascii="Times New Roman" w:hAnsi="Times New Roman" w:eastAsia="方正仿宋_GBK"/>
                <w:color w:val="000000" w:themeColor="text1"/>
                <w:spacing w:val="-2"/>
                <w:kern w:val="0"/>
                <w:szCs w:val="21"/>
              </w:rPr>
              <w:t>文明</w:t>
            </w:r>
            <w:r>
              <w:rPr>
                <w:rFonts w:ascii="Times New Roman" w:hAnsi="Times New Roman" w:eastAsia="方正仿宋_GBK"/>
                <w:color w:val="000000" w:themeColor="text1"/>
                <w:spacing w:val="-2"/>
                <w:kern w:val="0"/>
                <w:szCs w:val="21"/>
              </w:rPr>
              <w:t>意识</w:t>
            </w:r>
            <w:r>
              <w:rPr>
                <w:rFonts w:hint="eastAsia" w:ascii="Times New Roman" w:hAnsi="Times New Roman" w:eastAsia="方正仿宋_GBK"/>
                <w:color w:val="000000" w:themeColor="text1"/>
                <w:spacing w:val="-2"/>
                <w:kern w:val="0"/>
                <w:szCs w:val="21"/>
              </w:rPr>
              <w:t>。</w:t>
            </w:r>
          </w:p>
        </w:tc>
        <w:tc>
          <w:tcPr>
            <w:tcW w:w="850" w:type="dxa"/>
            <w:vAlign w:val="center"/>
          </w:tcPr>
          <w:p w14:paraId="4A29173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tc>
        <w:tc>
          <w:tcPr>
            <w:tcW w:w="1134" w:type="dxa"/>
            <w:vAlign w:val="center"/>
          </w:tcPr>
          <w:p w14:paraId="6C2531E3">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15F8205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县生态环境局、大巴山自保区管理服务</w:t>
            </w:r>
            <w:r>
              <w:rPr>
                <w:rFonts w:ascii="Times New Roman" w:hAnsi="Times New Roman" w:eastAsia="方正仿宋_GBK"/>
                <w:color w:val="000000" w:themeColor="text1"/>
                <w:spacing w:val="-2"/>
                <w:kern w:val="0"/>
                <w:szCs w:val="21"/>
              </w:rPr>
              <w:t>中心</w:t>
            </w:r>
            <w:r>
              <w:rPr>
                <w:rFonts w:hint="eastAsia" w:ascii="Times New Roman" w:hAnsi="Times New Roman" w:eastAsia="方正仿宋_GBK"/>
                <w:color w:val="000000" w:themeColor="text1"/>
                <w:spacing w:val="-2"/>
                <w:kern w:val="0"/>
                <w:szCs w:val="21"/>
              </w:rPr>
              <w:t>等有关乡镇（街道）</w:t>
            </w:r>
          </w:p>
        </w:tc>
        <w:tc>
          <w:tcPr>
            <w:tcW w:w="4111" w:type="dxa"/>
            <w:vAlign w:val="center"/>
          </w:tcPr>
          <w:p w14:paraId="6755503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持续推进自然保护地的保护管理工作，加强巡查巡护，建立常态化机制；加强普法宣传和自然教育；实施巴山湖湿地公园生态修复项目，栽植676亩药用连翘。</w:t>
            </w:r>
          </w:p>
        </w:tc>
        <w:tc>
          <w:tcPr>
            <w:tcW w:w="2576" w:type="dxa"/>
            <w:vAlign w:val="center"/>
          </w:tcPr>
          <w:p w14:paraId="33E64DB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保护管理人员不足，水平不够，缺乏专项工作经费；无执法机构及人员。</w:t>
            </w:r>
          </w:p>
        </w:tc>
        <w:tc>
          <w:tcPr>
            <w:tcW w:w="3827" w:type="dxa"/>
            <w:vAlign w:val="center"/>
          </w:tcPr>
          <w:p w14:paraId="693C5F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加强与市级主管部门沟通，强化管理人员培养；积极争取专项经费，保障管理工作有序开展；加快推进执法机构建立，确保依法处置违法违规行为；积极争取调整优化保护地功能区范围，缓解发展与保护的矛盾。</w:t>
            </w:r>
          </w:p>
        </w:tc>
      </w:tr>
      <w:tr w14:paraId="28FA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1471D3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73.</w:t>
            </w:r>
            <w:r>
              <w:rPr>
                <w:rFonts w:ascii="Times New Roman" w:hAnsi="Times New Roman" w:eastAsia="方正仿宋_GBK"/>
                <w:color w:val="000000" w:themeColor="text1"/>
                <w:spacing w:val="-2"/>
                <w:kern w:val="0"/>
                <w:szCs w:val="21"/>
              </w:rPr>
              <w:t>完成城市污水处理设施三期扩容及提标改造，完善乡镇污水处理设施建设，完成11个乡镇场镇生活污水二三级管网改造16公里，乡镇生活污水集中处理率达到85%以上。</w:t>
            </w:r>
          </w:p>
        </w:tc>
        <w:tc>
          <w:tcPr>
            <w:tcW w:w="850" w:type="dxa"/>
            <w:vAlign w:val="center"/>
          </w:tcPr>
          <w:p w14:paraId="02AA702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7ED7CCA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59144B1">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县住房城乡建委</w:t>
            </w:r>
          </w:p>
          <w:p w14:paraId="5F7D884B">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199961F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686F0016">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城市污水处理设施三期扩容及提标改造厂区工程：厂区主体结构已全部完工，正在实施装饰装修及工艺管道安装、设备安装。</w:t>
            </w:r>
          </w:p>
          <w:p w14:paraId="36B836ED">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工艺管道及设备安装：工艺管道完成累计约70%；设备安装累计完成约70%。厂外管网工程：总长度1190米，已完成管道沟槽开挖1190米，管道安装回填1182米，其中60米沟槽未回填，还有8米暂停施工。辅助用房：正在进行装饰装修工作，完成40%。</w:t>
            </w:r>
          </w:p>
          <w:p w14:paraId="1B7BBB17">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11个乡镇场镇生活污水二三级管网改造正在完善</w:t>
            </w:r>
            <w:r>
              <w:rPr>
                <w:rFonts w:hint="eastAsia" w:ascii="Times New Roman" w:hAnsi="Times New Roman" w:eastAsia="方正仿宋_GBK"/>
                <w:color w:val="000000" w:themeColor="text1"/>
                <w:spacing w:val="-2"/>
                <w:kern w:val="0"/>
                <w:szCs w:val="21"/>
              </w:rPr>
              <w:t>前期手续。</w:t>
            </w:r>
          </w:p>
        </w:tc>
        <w:tc>
          <w:tcPr>
            <w:tcW w:w="2576" w:type="dxa"/>
          </w:tcPr>
          <w:p w14:paraId="0042237D">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E2F618A">
            <w:pPr>
              <w:widowControl/>
              <w:spacing w:line="240" w:lineRule="exact"/>
              <w:jc w:val="left"/>
              <w:rPr>
                <w:rFonts w:ascii="Times New Roman" w:hAnsi="Times New Roman" w:eastAsia="方正仿宋_GBK"/>
                <w:color w:val="000000" w:themeColor="text1"/>
                <w:spacing w:val="-2"/>
                <w:kern w:val="0"/>
                <w:szCs w:val="21"/>
              </w:rPr>
            </w:pPr>
          </w:p>
        </w:tc>
      </w:tr>
      <w:tr w14:paraId="565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986" w:type="dxa"/>
            <w:vAlign w:val="center"/>
          </w:tcPr>
          <w:p w14:paraId="64E9736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74.</w:t>
            </w:r>
            <w:r>
              <w:rPr>
                <w:rFonts w:ascii="Times New Roman" w:hAnsi="Times New Roman" w:eastAsia="方正仿宋_GBK"/>
                <w:color w:val="000000" w:themeColor="text1"/>
                <w:spacing w:val="-2"/>
                <w:kern w:val="0"/>
                <w:szCs w:val="21"/>
              </w:rPr>
              <w:t>开展污水偷排直排乱排专项整治，各类水质达标率保持100%。</w:t>
            </w:r>
          </w:p>
        </w:tc>
        <w:tc>
          <w:tcPr>
            <w:tcW w:w="850" w:type="dxa"/>
            <w:vAlign w:val="center"/>
          </w:tcPr>
          <w:p w14:paraId="7F76EE6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3B47A656">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59F0698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县水利局</w:t>
            </w:r>
          </w:p>
          <w:p w14:paraId="6E7D2DB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578C0A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此项工作已于2019年完成。</w:t>
            </w:r>
          </w:p>
        </w:tc>
        <w:tc>
          <w:tcPr>
            <w:tcW w:w="2576" w:type="dxa"/>
            <w:vAlign w:val="center"/>
          </w:tcPr>
          <w:p w14:paraId="760C7210">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D2292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巩固现有成果。</w:t>
            </w:r>
          </w:p>
        </w:tc>
      </w:tr>
      <w:tr w14:paraId="35A1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986" w:type="dxa"/>
            <w:vAlign w:val="center"/>
          </w:tcPr>
          <w:p w14:paraId="6F77168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75.</w:t>
            </w:r>
            <w:r>
              <w:rPr>
                <w:rFonts w:ascii="Times New Roman" w:hAnsi="Times New Roman" w:eastAsia="方正仿宋_GBK"/>
                <w:color w:val="000000" w:themeColor="text1"/>
                <w:spacing w:val="-2"/>
                <w:kern w:val="0"/>
                <w:szCs w:val="21"/>
              </w:rPr>
              <w:t>完善大气污染联防联控机制，县城空气环境质量优良天数保持在340天以上。</w:t>
            </w:r>
          </w:p>
        </w:tc>
        <w:tc>
          <w:tcPr>
            <w:tcW w:w="850" w:type="dxa"/>
            <w:vAlign w:val="center"/>
          </w:tcPr>
          <w:p w14:paraId="24EBB13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3331422B">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4C11615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县公安局、县住房城乡建委</w:t>
            </w:r>
          </w:p>
        </w:tc>
        <w:tc>
          <w:tcPr>
            <w:tcW w:w="4111" w:type="dxa"/>
            <w:vAlign w:val="center"/>
          </w:tcPr>
          <w:p w14:paraId="6B29AC4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w:t>
            </w:r>
            <w:r>
              <w:rPr>
                <w:rFonts w:ascii="Times New Roman" w:hAnsi="Times New Roman" w:eastAsia="方正仿宋_GBK"/>
                <w:color w:val="000000" w:themeColor="text1"/>
                <w:spacing w:val="-2"/>
                <w:kern w:val="0"/>
                <w:szCs w:val="21"/>
              </w:rPr>
              <w:t>《2020年全市污染防治攻坚战目标任务（征求意见稿）》</w:t>
            </w:r>
            <w:r>
              <w:rPr>
                <w:rFonts w:hint="eastAsia" w:ascii="Times New Roman" w:hAnsi="Times New Roman" w:eastAsia="方正仿宋_GBK"/>
                <w:color w:val="000000" w:themeColor="text1"/>
                <w:spacing w:val="-2"/>
                <w:kern w:val="0"/>
                <w:szCs w:val="21"/>
              </w:rPr>
              <w:t>要求，草拟了我县2020年大气污染防治重点工作目标任务分解（征求意见稿）》，并征求相关部门意见或建议。最后，汇总反馈意见行文上报市局。截止3月30日我县污染天气4天，优良天数86天。</w:t>
            </w:r>
          </w:p>
        </w:tc>
        <w:tc>
          <w:tcPr>
            <w:tcW w:w="2576" w:type="dxa"/>
            <w:vAlign w:val="center"/>
          </w:tcPr>
          <w:p w14:paraId="781050B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F9D9A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待市局正式下达今年的目标任务后，县生态环境局将拟定任务分解方案报县政府办审核印发，序时推动各项任务落地落实。</w:t>
            </w:r>
          </w:p>
        </w:tc>
      </w:tr>
      <w:tr w14:paraId="1088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986" w:type="dxa"/>
            <w:vAlign w:val="center"/>
          </w:tcPr>
          <w:p w14:paraId="6BE3BA7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76.</w:t>
            </w:r>
            <w:r>
              <w:rPr>
                <w:rFonts w:ascii="Times New Roman" w:hAnsi="Times New Roman" w:eastAsia="方正仿宋_GBK"/>
                <w:color w:val="000000" w:themeColor="text1"/>
                <w:spacing w:val="-2"/>
                <w:kern w:val="0"/>
                <w:szCs w:val="21"/>
              </w:rPr>
              <w:t>加强农村面源污染防治，强化农村畜禽养殖污染</w:t>
            </w:r>
            <w:r>
              <w:rPr>
                <w:rFonts w:hint="eastAsia" w:ascii="Times New Roman" w:hAnsi="Times New Roman" w:eastAsia="方正仿宋_GBK"/>
                <w:color w:val="000000" w:themeColor="text1"/>
                <w:spacing w:val="-2"/>
                <w:kern w:val="0"/>
                <w:szCs w:val="21"/>
              </w:rPr>
              <w:t>治理</w:t>
            </w:r>
            <w:r>
              <w:rPr>
                <w:rFonts w:ascii="Times New Roman" w:hAnsi="Times New Roman" w:eastAsia="方正仿宋_GBK"/>
                <w:color w:val="000000" w:themeColor="text1"/>
                <w:spacing w:val="-2"/>
                <w:kern w:val="0"/>
                <w:szCs w:val="21"/>
              </w:rPr>
              <w:t>、土壤污染管控和修复。</w:t>
            </w:r>
          </w:p>
        </w:tc>
        <w:tc>
          <w:tcPr>
            <w:tcW w:w="850" w:type="dxa"/>
            <w:vAlign w:val="center"/>
          </w:tcPr>
          <w:p w14:paraId="24952EC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582227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6F3BC5D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县农业农村委</w:t>
            </w:r>
          </w:p>
        </w:tc>
        <w:tc>
          <w:tcPr>
            <w:tcW w:w="4111" w:type="dxa"/>
            <w:vAlign w:val="center"/>
          </w:tcPr>
          <w:p w14:paraId="54E9D2E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启动农村污水治理工作，已经开展农村污水治理规划编制工作；启动农村黑臭水体治理工作，目前已经会同农委、水利局对辖区河流、沟渠、山坪塘等水体信息进行了统计。严格按照市局的工作时间节点完成各项任务。</w:t>
            </w:r>
          </w:p>
        </w:tc>
        <w:tc>
          <w:tcPr>
            <w:tcW w:w="2576" w:type="dxa"/>
            <w:vAlign w:val="center"/>
          </w:tcPr>
          <w:p w14:paraId="042F289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1EC436B">
            <w:pPr>
              <w:widowControl/>
              <w:spacing w:line="240" w:lineRule="exact"/>
              <w:jc w:val="left"/>
              <w:rPr>
                <w:rFonts w:ascii="Times New Roman" w:hAnsi="Times New Roman" w:eastAsia="方正仿宋_GBK"/>
                <w:color w:val="000000" w:themeColor="text1"/>
                <w:spacing w:val="-2"/>
                <w:kern w:val="0"/>
                <w:szCs w:val="21"/>
              </w:rPr>
            </w:pPr>
          </w:p>
        </w:tc>
      </w:tr>
      <w:tr w14:paraId="5399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6" w:type="dxa"/>
            <w:vAlign w:val="center"/>
          </w:tcPr>
          <w:p w14:paraId="1CEFA06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77.</w:t>
            </w:r>
            <w:r>
              <w:rPr>
                <w:rFonts w:ascii="Times New Roman" w:hAnsi="Times New Roman" w:eastAsia="方正仿宋_GBK"/>
                <w:color w:val="000000" w:themeColor="text1"/>
                <w:spacing w:val="-2"/>
                <w:kern w:val="0"/>
                <w:szCs w:val="21"/>
              </w:rPr>
              <w:t>启动工业企业固体废物堆码场建设。</w:t>
            </w:r>
          </w:p>
        </w:tc>
        <w:tc>
          <w:tcPr>
            <w:tcW w:w="850" w:type="dxa"/>
            <w:vAlign w:val="center"/>
          </w:tcPr>
          <w:p w14:paraId="66F0F1F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1DBE877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65B6F95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工业园区管委会</w:t>
            </w:r>
          </w:p>
          <w:p w14:paraId="6E3FFF9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0DCFF4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启动城口县固体废物废渣填埋场建设，目前已完成前期选址工作，正在开展环保、安全论证，即将开展方案编制工作。</w:t>
            </w:r>
          </w:p>
        </w:tc>
        <w:tc>
          <w:tcPr>
            <w:tcW w:w="2576" w:type="dxa"/>
            <w:vAlign w:val="center"/>
          </w:tcPr>
          <w:p w14:paraId="63FC5273">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7790998">
            <w:pPr>
              <w:widowControl/>
              <w:spacing w:line="240" w:lineRule="exact"/>
              <w:jc w:val="left"/>
              <w:rPr>
                <w:rFonts w:ascii="Times New Roman" w:hAnsi="Times New Roman" w:eastAsia="方正仿宋_GBK"/>
                <w:color w:val="000000" w:themeColor="text1"/>
                <w:spacing w:val="-2"/>
                <w:kern w:val="0"/>
                <w:szCs w:val="21"/>
              </w:rPr>
            </w:pPr>
          </w:p>
        </w:tc>
      </w:tr>
      <w:tr w14:paraId="757B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986" w:type="dxa"/>
            <w:vAlign w:val="center"/>
          </w:tcPr>
          <w:p w14:paraId="529A333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78.</w:t>
            </w:r>
            <w:r>
              <w:rPr>
                <w:rFonts w:ascii="Times New Roman" w:hAnsi="Times New Roman" w:eastAsia="方正仿宋_GBK"/>
                <w:color w:val="000000" w:themeColor="text1"/>
                <w:spacing w:val="-2"/>
                <w:kern w:val="0"/>
                <w:szCs w:val="21"/>
              </w:rPr>
              <w:t>完成第二次污染源普查，完善生态环境监测体系。</w:t>
            </w:r>
          </w:p>
        </w:tc>
        <w:tc>
          <w:tcPr>
            <w:tcW w:w="850" w:type="dxa"/>
            <w:vAlign w:val="center"/>
          </w:tcPr>
          <w:p w14:paraId="19CB47E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70DDC839">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4C24A6F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684136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一是完成污染源普查报告编制；</w:t>
            </w:r>
          </w:p>
          <w:p w14:paraId="66A3CF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二是监测体系完善工作严格按照市生态环境监测相关工作安排有序推进，2019年完成《城口县生态环境局环境监测改革提高环境监测数据质量实施方案》的印发</w:t>
            </w:r>
          </w:p>
        </w:tc>
        <w:tc>
          <w:tcPr>
            <w:tcW w:w="2576" w:type="dxa"/>
            <w:vAlign w:val="center"/>
          </w:tcPr>
          <w:p w14:paraId="6197992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BB1B5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协调4月底前申请完成污染源普查验收。</w:t>
            </w:r>
          </w:p>
        </w:tc>
      </w:tr>
      <w:tr w14:paraId="5B1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86" w:type="dxa"/>
            <w:vAlign w:val="center"/>
          </w:tcPr>
          <w:p w14:paraId="3B203F0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79.</w:t>
            </w:r>
            <w:r>
              <w:rPr>
                <w:rFonts w:ascii="Times New Roman" w:hAnsi="Times New Roman" w:eastAsia="方正仿宋_GBK"/>
                <w:color w:val="000000" w:themeColor="text1"/>
                <w:spacing w:val="-2"/>
                <w:kern w:val="0"/>
                <w:szCs w:val="21"/>
              </w:rPr>
              <w:t>持续推进环保督察反馈问题整改。</w:t>
            </w:r>
          </w:p>
        </w:tc>
        <w:tc>
          <w:tcPr>
            <w:tcW w:w="850" w:type="dxa"/>
            <w:vAlign w:val="center"/>
          </w:tcPr>
          <w:p w14:paraId="4354214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7BE2979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2E13A983">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9DA4B8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按照《城口县贯彻落实重庆市环境保护集中督察反馈意见整改方案》要求，截至目前，我县已完成整改措施23项，具体问题43项。余下项目各整改责任单位按照整改方案要求正有序推进中。</w:t>
            </w:r>
          </w:p>
        </w:tc>
        <w:tc>
          <w:tcPr>
            <w:tcW w:w="2576" w:type="dxa"/>
            <w:vAlign w:val="center"/>
          </w:tcPr>
          <w:p w14:paraId="67E05D90">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B4B6BB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当前，于2019年开展的第二轮中央生态环境保护督察工作均暂未向被督察省市反馈问题。针对该项工作，已拟定工作措施，确保整改任务按期圆满完成。</w:t>
            </w:r>
          </w:p>
        </w:tc>
      </w:tr>
      <w:tr w14:paraId="41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986" w:type="dxa"/>
            <w:vAlign w:val="center"/>
          </w:tcPr>
          <w:p w14:paraId="08A3504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80.</w:t>
            </w:r>
            <w:r>
              <w:rPr>
                <w:rFonts w:ascii="Times New Roman" w:hAnsi="Times New Roman" w:eastAsia="方正仿宋_GBK"/>
                <w:color w:val="000000" w:themeColor="text1"/>
                <w:spacing w:val="-2"/>
                <w:kern w:val="0"/>
                <w:szCs w:val="21"/>
              </w:rPr>
              <w:t>建成绿色矿山4个，健全尾矿废渣综合利用产业链条。</w:t>
            </w:r>
          </w:p>
        </w:tc>
        <w:tc>
          <w:tcPr>
            <w:tcW w:w="850" w:type="dxa"/>
            <w:vAlign w:val="center"/>
          </w:tcPr>
          <w:p w14:paraId="62C6C75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099401F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60A1B7F2">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县规划自然资源局县经济信息委</w:t>
            </w:r>
          </w:p>
        </w:tc>
        <w:tc>
          <w:tcPr>
            <w:tcW w:w="1559" w:type="dxa"/>
            <w:vAlign w:val="center"/>
          </w:tcPr>
          <w:p w14:paraId="43D07462">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CDD437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市级行业主管部门要求，结合全县实际情况，下达川渝矿业公司巴山钡矿(2号矿体)、泰鑫矿业有限公司左岚钡矿龙口岩一井、昶京科技开发有限公司修齐锰矿一采场、通利铁合金有限责任公司修齐锰矿回龙观工区等4个矿山的绿色矿山建设任务，落实专人负责督促，目前已启动相关建设工作。</w:t>
            </w:r>
          </w:p>
          <w:p w14:paraId="6E51C37A">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2DF8D2B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受疫情影响，全国矿业市场行情持续走低，矿山企业流动资金严重缺乏，从很大程度上影响了绿色矿山建设的有序推进。</w:t>
            </w:r>
          </w:p>
          <w:p w14:paraId="0A971405">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D57E4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加强绿色矿山建设工作督察督导，加大企业复工复产支持力度，帮助企业渡过难关，共同推进绿色矿山建设，确保年度目标顺利完成。</w:t>
            </w:r>
          </w:p>
          <w:p w14:paraId="4EF3B8E8">
            <w:pPr>
              <w:widowControl/>
              <w:spacing w:line="240" w:lineRule="exact"/>
              <w:jc w:val="left"/>
              <w:rPr>
                <w:rFonts w:ascii="Times New Roman" w:hAnsi="Times New Roman" w:eastAsia="方正仿宋_GBK"/>
                <w:color w:val="000000" w:themeColor="text1"/>
                <w:spacing w:val="-2"/>
                <w:kern w:val="0"/>
                <w:szCs w:val="21"/>
              </w:rPr>
            </w:pPr>
          </w:p>
        </w:tc>
      </w:tr>
      <w:tr w14:paraId="75B3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986" w:type="dxa"/>
            <w:vAlign w:val="center"/>
          </w:tcPr>
          <w:p w14:paraId="7E28F5E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81.</w:t>
            </w:r>
            <w:r>
              <w:rPr>
                <w:rFonts w:ascii="Times New Roman" w:hAnsi="Times New Roman" w:eastAsia="方正仿宋_GBK"/>
                <w:color w:val="000000" w:themeColor="text1"/>
                <w:spacing w:val="-2"/>
                <w:kern w:val="0"/>
                <w:szCs w:val="21"/>
              </w:rPr>
              <w:t>全面推行生活垃圾分类和资源化利用制度。</w:t>
            </w:r>
          </w:p>
        </w:tc>
        <w:tc>
          <w:tcPr>
            <w:tcW w:w="850" w:type="dxa"/>
            <w:vAlign w:val="center"/>
          </w:tcPr>
          <w:p w14:paraId="464EE91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tc>
        <w:tc>
          <w:tcPr>
            <w:tcW w:w="1134" w:type="dxa"/>
            <w:vAlign w:val="center"/>
          </w:tcPr>
          <w:p w14:paraId="19D80A36">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县住房城乡建委</w:t>
            </w:r>
          </w:p>
        </w:tc>
        <w:tc>
          <w:tcPr>
            <w:tcW w:w="1559" w:type="dxa"/>
            <w:vAlign w:val="center"/>
          </w:tcPr>
          <w:p w14:paraId="14A01CF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93BB76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已牵头起草了今年垃圾分类的工作要点，目前正在审定中，同时也召开了生活垃圾分类推进会。</w:t>
            </w:r>
          </w:p>
          <w:p w14:paraId="075A3EAC">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17BF94F4">
            <w:pPr>
              <w:widowControl/>
              <w:spacing w:line="240" w:lineRule="exact"/>
              <w:jc w:val="left"/>
              <w:rPr>
                <w:rFonts w:ascii="Times New Roman" w:hAnsi="Times New Roman" w:eastAsia="方正仿宋_GBK"/>
                <w:color w:val="000000" w:themeColor="text1"/>
                <w:spacing w:val="-2"/>
                <w:kern w:val="0"/>
                <w:szCs w:val="21"/>
              </w:rPr>
            </w:pPr>
          </w:p>
          <w:p w14:paraId="04E85DC7">
            <w:pPr>
              <w:widowControl/>
              <w:spacing w:line="240" w:lineRule="exact"/>
              <w:jc w:val="left"/>
              <w:rPr>
                <w:rFonts w:ascii="Times New Roman" w:hAnsi="Times New Roman" w:eastAsia="方正仿宋_GBK"/>
                <w:color w:val="000000" w:themeColor="text1"/>
                <w:spacing w:val="-2"/>
                <w:kern w:val="0"/>
                <w:szCs w:val="21"/>
              </w:rPr>
            </w:pPr>
          </w:p>
          <w:p w14:paraId="74FE358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w:t>
            </w:r>
            <w:r>
              <w:rPr>
                <w:rFonts w:ascii="Times New Roman" w:hAnsi="Times New Roman" w:eastAsia="方正仿宋_GBK"/>
                <w:color w:val="000000" w:themeColor="text1"/>
                <w:spacing w:val="-2"/>
                <w:kern w:val="0"/>
                <w:szCs w:val="21"/>
              </w:rPr>
              <w:t>群众意识还不够</w:t>
            </w:r>
            <w:r>
              <w:rPr>
                <w:rFonts w:hint="eastAsia" w:ascii="Times New Roman" w:hAnsi="Times New Roman" w:eastAsia="方正仿宋_GBK"/>
                <w:color w:val="000000" w:themeColor="text1"/>
                <w:spacing w:val="-2"/>
                <w:kern w:val="0"/>
                <w:szCs w:val="21"/>
              </w:rPr>
              <w:t>；二是</w:t>
            </w:r>
            <w:r>
              <w:rPr>
                <w:rFonts w:ascii="Times New Roman" w:hAnsi="Times New Roman" w:eastAsia="方正仿宋_GBK"/>
                <w:color w:val="000000" w:themeColor="text1"/>
                <w:spacing w:val="-2"/>
                <w:kern w:val="0"/>
                <w:szCs w:val="21"/>
              </w:rPr>
              <w:t>源头减量效果还不明显</w:t>
            </w:r>
            <w:r>
              <w:rPr>
                <w:rFonts w:hint="eastAsia" w:ascii="Times New Roman" w:hAnsi="Times New Roman" w:eastAsia="方正仿宋_GBK"/>
                <w:color w:val="000000" w:themeColor="text1"/>
                <w:spacing w:val="-2"/>
                <w:kern w:val="0"/>
                <w:szCs w:val="21"/>
              </w:rPr>
              <w:t>；三是</w:t>
            </w:r>
            <w:r>
              <w:rPr>
                <w:rFonts w:ascii="Times New Roman" w:hAnsi="Times New Roman" w:eastAsia="方正仿宋_GBK"/>
                <w:color w:val="000000" w:themeColor="text1"/>
                <w:spacing w:val="-2"/>
                <w:kern w:val="0"/>
                <w:szCs w:val="21"/>
              </w:rPr>
              <w:t>垃圾分类体系建设滞后</w:t>
            </w:r>
            <w:r>
              <w:rPr>
                <w:rFonts w:hint="eastAsia" w:ascii="Times New Roman" w:hAnsi="Times New Roman" w:eastAsia="方正仿宋_GBK"/>
                <w:color w:val="000000" w:themeColor="text1"/>
                <w:spacing w:val="-2"/>
                <w:kern w:val="0"/>
                <w:szCs w:val="21"/>
              </w:rPr>
              <w:t>；四是</w:t>
            </w:r>
            <w:r>
              <w:rPr>
                <w:rFonts w:ascii="Times New Roman" w:hAnsi="Times New Roman" w:eastAsia="方正仿宋_GBK"/>
                <w:color w:val="000000" w:themeColor="text1"/>
                <w:spacing w:val="-2"/>
                <w:kern w:val="0"/>
                <w:szCs w:val="21"/>
              </w:rPr>
              <w:t>分类人员待遇相对较低。</w:t>
            </w:r>
          </w:p>
        </w:tc>
        <w:tc>
          <w:tcPr>
            <w:tcW w:w="3827" w:type="dxa"/>
          </w:tcPr>
          <w:p w14:paraId="08EE0514">
            <w:pPr>
              <w:widowControl/>
              <w:spacing w:line="240" w:lineRule="exact"/>
              <w:jc w:val="left"/>
              <w:rPr>
                <w:rFonts w:ascii="Times New Roman" w:hAnsi="Times New Roman" w:eastAsia="方正仿宋_GBK"/>
                <w:color w:val="000000" w:themeColor="text1"/>
                <w:spacing w:val="-2"/>
                <w:kern w:val="0"/>
                <w:szCs w:val="21"/>
              </w:rPr>
            </w:pPr>
          </w:p>
          <w:p w14:paraId="6C86EBE8">
            <w:pPr>
              <w:widowControl/>
              <w:spacing w:line="240" w:lineRule="exact"/>
              <w:jc w:val="left"/>
              <w:rPr>
                <w:rFonts w:ascii="Times New Roman" w:hAnsi="Times New Roman" w:eastAsia="方正仿宋_GBK"/>
                <w:color w:val="000000" w:themeColor="text1"/>
                <w:spacing w:val="-2"/>
                <w:kern w:val="0"/>
                <w:szCs w:val="21"/>
              </w:rPr>
            </w:pPr>
          </w:p>
          <w:p w14:paraId="51D398D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w:t>
            </w:r>
            <w:r>
              <w:rPr>
                <w:rFonts w:ascii="Times New Roman" w:hAnsi="Times New Roman" w:eastAsia="方正仿宋_GBK"/>
                <w:color w:val="000000" w:themeColor="text1"/>
                <w:spacing w:val="-2"/>
                <w:kern w:val="0"/>
                <w:szCs w:val="21"/>
              </w:rPr>
              <w:t>广泛宣传源头减量</w:t>
            </w:r>
            <w:r>
              <w:rPr>
                <w:rFonts w:hint="eastAsia" w:ascii="Times New Roman" w:hAnsi="Times New Roman" w:eastAsia="方正仿宋_GBK"/>
                <w:color w:val="000000" w:themeColor="text1"/>
                <w:spacing w:val="-2"/>
                <w:kern w:val="0"/>
                <w:szCs w:val="21"/>
              </w:rPr>
              <w:t>；二是</w:t>
            </w:r>
            <w:r>
              <w:rPr>
                <w:rFonts w:ascii="Times New Roman" w:hAnsi="Times New Roman" w:eastAsia="方正仿宋_GBK"/>
                <w:color w:val="000000" w:themeColor="text1"/>
                <w:spacing w:val="-2"/>
                <w:kern w:val="0"/>
                <w:szCs w:val="21"/>
              </w:rPr>
              <w:t>全力做好清扫保洁</w:t>
            </w:r>
            <w:r>
              <w:rPr>
                <w:rFonts w:hint="eastAsia" w:ascii="Times New Roman" w:hAnsi="Times New Roman" w:eastAsia="方正仿宋_GBK"/>
                <w:color w:val="000000" w:themeColor="text1"/>
                <w:spacing w:val="-2"/>
                <w:kern w:val="0"/>
                <w:szCs w:val="21"/>
              </w:rPr>
              <w:t>；三是</w:t>
            </w:r>
            <w:r>
              <w:rPr>
                <w:rFonts w:ascii="Times New Roman" w:hAnsi="Times New Roman" w:eastAsia="方正仿宋_GBK"/>
                <w:color w:val="000000" w:themeColor="text1"/>
                <w:spacing w:val="-2"/>
                <w:kern w:val="0"/>
                <w:szCs w:val="21"/>
              </w:rPr>
              <w:t>加大体系建设力度</w:t>
            </w:r>
            <w:r>
              <w:rPr>
                <w:rFonts w:hint="eastAsia" w:ascii="Times New Roman" w:hAnsi="Times New Roman" w:eastAsia="方正仿宋_GBK"/>
                <w:color w:val="000000" w:themeColor="text1"/>
                <w:spacing w:val="-2"/>
                <w:kern w:val="0"/>
                <w:szCs w:val="21"/>
              </w:rPr>
              <w:t>；四是</w:t>
            </w:r>
            <w:r>
              <w:rPr>
                <w:rFonts w:ascii="Times New Roman" w:hAnsi="Times New Roman" w:eastAsia="方正仿宋_GBK"/>
                <w:color w:val="000000" w:themeColor="text1"/>
                <w:spacing w:val="-2"/>
                <w:kern w:val="0"/>
                <w:szCs w:val="21"/>
              </w:rPr>
              <w:t>扩大试点实施范围</w:t>
            </w:r>
            <w:r>
              <w:rPr>
                <w:rFonts w:hint="eastAsia" w:ascii="Times New Roman" w:hAnsi="Times New Roman" w:eastAsia="方正仿宋_GBK"/>
                <w:color w:val="000000" w:themeColor="text1"/>
                <w:spacing w:val="-2"/>
                <w:kern w:val="0"/>
                <w:szCs w:val="21"/>
              </w:rPr>
              <w:t>；五是</w:t>
            </w:r>
            <w:r>
              <w:rPr>
                <w:rFonts w:ascii="Times New Roman" w:hAnsi="Times New Roman" w:eastAsia="方正仿宋_GBK"/>
                <w:color w:val="000000" w:themeColor="text1"/>
                <w:spacing w:val="-2"/>
                <w:kern w:val="0"/>
                <w:szCs w:val="21"/>
              </w:rPr>
              <w:t>加强分类队伍建设。</w:t>
            </w:r>
          </w:p>
        </w:tc>
      </w:tr>
      <w:tr w14:paraId="33A6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1986" w:type="dxa"/>
            <w:vAlign w:val="center"/>
          </w:tcPr>
          <w:p w14:paraId="4D1AE63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82.</w:t>
            </w:r>
            <w:r>
              <w:rPr>
                <w:rFonts w:ascii="Times New Roman" w:hAnsi="Times New Roman" w:eastAsia="方正仿宋_GBK"/>
                <w:color w:val="000000" w:themeColor="text1"/>
                <w:spacing w:val="-2"/>
                <w:kern w:val="0"/>
                <w:szCs w:val="21"/>
              </w:rPr>
              <w:t>落实生态文明建设目标评价考核制度，开展环保信用评价，强化生态环境保护、自然资源管控、节能减排等约束性指标管理，</w:t>
            </w:r>
            <w:r>
              <w:rPr>
                <w:rFonts w:hint="eastAsia" w:ascii="Times New Roman" w:hAnsi="Times New Roman" w:eastAsia="方正仿宋_GBK"/>
                <w:color w:val="000000" w:themeColor="text1"/>
                <w:spacing w:val="-2"/>
                <w:kern w:val="0"/>
                <w:szCs w:val="21"/>
              </w:rPr>
              <w:t>压实</w:t>
            </w:r>
            <w:r>
              <w:rPr>
                <w:rFonts w:ascii="Times New Roman" w:hAnsi="Times New Roman" w:eastAsia="方正仿宋_GBK"/>
                <w:color w:val="000000" w:themeColor="text1"/>
                <w:spacing w:val="-2"/>
                <w:kern w:val="0"/>
                <w:szCs w:val="21"/>
              </w:rPr>
              <w:t>企业主体责任和政府监管责任。</w:t>
            </w:r>
          </w:p>
        </w:tc>
        <w:tc>
          <w:tcPr>
            <w:tcW w:w="850" w:type="dxa"/>
            <w:vAlign w:val="center"/>
          </w:tcPr>
          <w:p w14:paraId="2424249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DA7EB0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21EFD940">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r>
              <w:rPr>
                <w:rFonts w:hint="eastAsia" w:ascii="Times New Roman" w:hAnsi="Times New Roman" w:eastAsia="方正仿宋_GBK" w:cs="Times New Roman"/>
                <w:color w:val="000000" w:themeColor="text1"/>
                <w:spacing w:val="-2"/>
                <w:kern w:val="0"/>
                <w:szCs w:val="21"/>
              </w:rPr>
              <w:t>县经济信息委、</w:t>
            </w:r>
          </w:p>
          <w:p w14:paraId="257C3198">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县规划自然资源局、县水利局、县农业农村委</w:t>
            </w:r>
          </w:p>
        </w:tc>
        <w:tc>
          <w:tcPr>
            <w:tcW w:w="4111" w:type="dxa"/>
            <w:vAlign w:val="center"/>
          </w:tcPr>
          <w:p w14:paraId="1DC1624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对企业进行日常巡查，确保环保设施正常运行。按上级文件要求执行生态文明建设目标评价考核制度。</w:t>
            </w:r>
          </w:p>
          <w:p w14:paraId="41B244E1">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26FCE88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0A5B4B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持续加强对企业的日常环境监管，督促企业落实环保主体责任。按上级文件要求执行生态文明建设目标评价考核制度。</w:t>
            </w:r>
          </w:p>
          <w:p w14:paraId="461C538E">
            <w:pPr>
              <w:widowControl/>
              <w:spacing w:line="240" w:lineRule="exact"/>
              <w:jc w:val="left"/>
              <w:rPr>
                <w:rFonts w:ascii="Times New Roman" w:hAnsi="Times New Roman" w:eastAsia="方正仿宋_GBK"/>
                <w:color w:val="000000" w:themeColor="text1"/>
                <w:spacing w:val="-2"/>
                <w:kern w:val="0"/>
                <w:szCs w:val="21"/>
              </w:rPr>
            </w:pPr>
          </w:p>
        </w:tc>
      </w:tr>
      <w:tr w14:paraId="1B4E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986" w:type="dxa"/>
            <w:vAlign w:val="center"/>
          </w:tcPr>
          <w:p w14:paraId="62DFED8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83.</w:t>
            </w:r>
            <w:r>
              <w:rPr>
                <w:rFonts w:ascii="Times New Roman" w:hAnsi="Times New Roman" w:eastAsia="方正仿宋_GBK"/>
                <w:color w:val="000000" w:themeColor="text1"/>
                <w:spacing w:val="-2"/>
                <w:kern w:val="0"/>
                <w:szCs w:val="21"/>
              </w:rPr>
              <w:t>开展领导干部自然资源资产离任和任中审计。</w:t>
            </w:r>
          </w:p>
        </w:tc>
        <w:tc>
          <w:tcPr>
            <w:tcW w:w="850" w:type="dxa"/>
            <w:vAlign w:val="center"/>
          </w:tcPr>
          <w:p w14:paraId="42C0C10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tc>
        <w:tc>
          <w:tcPr>
            <w:tcW w:w="1134" w:type="dxa"/>
            <w:vAlign w:val="center"/>
          </w:tcPr>
          <w:p w14:paraId="21195120">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县审计局</w:t>
            </w:r>
          </w:p>
        </w:tc>
        <w:tc>
          <w:tcPr>
            <w:tcW w:w="1559" w:type="dxa"/>
            <w:vAlign w:val="center"/>
          </w:tcPr>
          <w:p w14:paraId="0A7EC36F">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AF65C5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正在联系各业务主管部门，收集土地、森林、水资源等方面的数据，了解全县自然资源资产负债表编制情况，目前已下发北屏乡审计通知书。</w:t>
            </w:r>
          </w:p>
        </w:tc>
        <w:tc>
          <w:tcPr>
            <w:tcW w:w="2576" w:type="dxa"/>
            <w:vAlign w:val="center"/>
          </w:tcPr>
          <w:p w14:paraId="12D57199">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资料收集难度大。</w:t>
            </w:r>
          </w:p>
        </w:tc>
        <w:tc>
          <w:tcPr>
            <w:tcW w:w="3827" w:type="dxa"/>
            <w:vAlign w:val="center"/>
          </w:tcPr>
          <w:p w14:paraId="6EB1C5E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根据前期资料收集情况和审前调查，编写审计实施方案。</w:t>
            </w:r>
          </w:p>
        </w:tc>
      </w:tr>
      <w:tr w14:paraId="223C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986" w:type="dxa"/>
            <w:vAlign w:val="center"/>
          </w:tcPr>
          <w:p w14:paraId="2D2F688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84.</w:t>
            </w:r>
            <w:r>
              <w:rPr>
                <w:rFonts w:ascii="Times New Roman" w:hAnsi="Times New Roman" w:eastAsia="方正仿宋_GBK"/>
                <w:color w:val="000000" w:themeColor="text1"/>
                <w:spacing w:val="-2"/>
                <w:kern w:val="0"/>
                <w:szCs w:val="21"/>
              </w:rPr>
              <w:t>落实生态环境监测评价、生态环境损害赔偿</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生态环境损害责任终身追究制，支持生态环境公益诉讼，依法打击环保领域违法犯罪，深度曝光生态环保负面典型。</w:t>
            </w:r>
          </w:p>
        </w:tc>
        <w:tc>
          <w:tcPr>
            <w:tcW w:w="850" w:type="dxa"/>
            <w:vAlign w:val="center"/>
          </w:tcPr>
          <w:p w14:paraId="317EC43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B2E8F73">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0AFEDED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县公安局等</w:t>
            </w:r>
          </w:p>
        </w:tc>
        <w:tc>
          <w:tcPr>
            <w:tcW w:w="4111" w:type="dxa"/>
            <w:vAlign w:val="center"/>
          </w:tcPr>
          <w:p w14:paraId="3F51CCD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一是全面完成了2019年两起（林业、水务）生态环境损害赔偿案件办理，序时推进2020年生态环境损害赔偿案件筛选工作。</w:t>
            </w:r>
          </w:p>
          <w:p w14:paraId="62420A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依法打击环保领域打击违法犯罪典型案例：对“城口县华兴养殖专业合作社在疫情期间污染水源环境违法行为”在重庆城口生态环境官方微信、微博公众号及时发布；在环保宝APP、重庆晨报、重庆晚报发布相关新闻。</w:t>
            </w:r>
          </w:p>
          <w:p w14:paraId="25A9753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三是处罚三家企业，罚款</w:t>
            </w:r>
            <w:r>
              <w:rPr>
                <w:rFonts w:ascii="Times New Roman" w:hAnsi="Times New Roman" w:eastAsia="方正仿宋_GBK"/>
                <w:color w:val="000000" w:themeColor="text1"/>
                <w:spacing w:val="-2"/>
                <w:kern w:val="0"/>
                <w:szCs w:val="21"/>
              </w:rPr>
              <w:t>21</w:t>
            </w:r>
            <w:r>
              <w:rPr>
                <w:rFonts w:hint="eastAsia" w:ascii="Times New Roman" w:hAnsi="Times New Roman" w:eastAsia="方正仿宋_GBK"/>
                <w:color w:val="000000" w:themeColor="text1"/>
                <w:spacing w:val="-2"/>
                <w:kern w:val="0"/>
                <w:szCs w:val="21"/>
              </w:rPr>
              <w:t>万元。</w:t>
            </w:r>
          </w:p>
        </w:tc>
        <w:tc>
          <w:tcPr>
            <w:tcW w:w="2576" w:type="dxa"/>
            <w:vAlign w:val="center"/>
          </w:tcPr>
          <w:p w14:paraId="2EC861F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生态环境损害赔偿涉及成员单位6个部门，各部门在推进该项工作时还缺乏一定的积极性和主动性。</w:t>
            </w:r>
          </w:p>
        </w:tc>
        <w:tc>
          <w:tcPr>
            <w:tcW w:w="3827" w:type="dxa"/>
            <w:vAlign w:val="center"/>
          </w:tcPr>
          <w:p w14:paraId="2F21564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尽快梳理出2020年两起生态环境损害赔偿案例报市领导小组办公室并推进案件办理。加大对企业的执法力度，确保各项污染物达标排放。</w:t>
            </w:r>
          </w:p>
        </w:tc>
      </w:tr>
      <w:tr w14:paraId="4458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986" w:type="dxa"/>
            <w:vAlign w:val="center"/>
          </w:tcPr>
          <w:p w14:paraId="565BCEC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85.</w:t>
            </w:r>
            <w:r>
              <w:rPr>
                <w:rFonts w:ascii="Times New Roman" w:hAnsi="Times New Roman" w:eastAsia="方正仿宋_GBK"/>
                <w:color w:val="000000" w:themeColor="text1"/>
                <w:spacing w:val="-2"/>
                <w:kern w:val="0"/>
                <w:szCs w:val="21"/>
              </w:rPr>
              <w:t>完善生态保护、排污许可、环境信息公开等制度及举报体系。</w:t>
            </w:r>
          </w:p>
        </w:tc>
        <w:tc>
          <w:tcPr>
            <w:tcW w:w="850" w:type="dxa"/>
            <w:vAlign w:val="center"/>
          </w:tcPr>
          <w:p w14:paraId="7144ADB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6867638D">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043C3530">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12A5E3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按照固定污染源清理工作实施方案的要求，4月25日前应完成的33个行业的202个项目，现已全部登记、分类。目标考核任务提前完成。序时推进生态优先绿色发展行动计划。</w:t>
            </w:r>
          </w:p>
        </w:tc>
        <w:tc>
          <w:tcPr>
            <w:tcW w:w="2576" w:type="dxa"/>
            <w:vAlign w:val="center"/>
          </w:tcPr>
          <w:p w14:paraId="071FD8A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99027E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后续将继续推进2020年应发证、登记工作。</w:t>
            </w:r>
          </w:p>
        </w:tc>
      </w:tr>
      <w:tr w14:paraId="22B8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043" w:type="dxa"/>
            <w:gridSpan w:val="7"/>
            <w:vAlign w:val="center"/>
          </w:tcPr>
          <w:p w14:paraId="0F81F6CD">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（六）扎实推进改革开放创新，集聚经济发展动能。</w:t>
            </w:r>
          </w:p>
        </w:tc>
      </w:tr>
      <w:tr w14:paraId="74E1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986" w:type="dxa"/>
            <w:vAlign w:val="center"/>
          </w:tcPr>
          <w:p w14:paraId="34E25BF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86</w:t>
            </w:r>
            <w:r>
              <w:rPr>
                <w:rFonts w:ascii="Times New Roman" w:hAnsi="Times New Roman" w:eastAsia="方正仿宋_GBK"/>
                <w:color w:val="000000" w:themeColor="text1"/>
                <w:spacing w:val="-2"/>
                <w:kern w:val="0"/>
                <w:szCs w:val="21"/>
              </w:rPr>
              <w:t>.深化供给侧结构性改革，巩固</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三去一降一补</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成果</w:t>
            </w:r>
            <w:r>
              <w:rPr>
                <w:rFonts w:hint="eastAsia" w:ascii="Times New Roman" w:hAnsi="Times New Roman" w:eastAsia="方正仿宋_GBK"/>
                <w:color w:val="000000" w:themeColor="text1"/>
                <w:spacing w:val="-2"/>
                <w:kern w:val="0"/>
                <w:szCs w:val="21"/>
              </w:rPr>
              <w:t>，推动一二三产融合发展</w:t>
            </w:r>
            <w:r>
              <w:rPr>
                <w:rFonts w:ascii="Times New Roman" w:hAnsi="Times New Roman" w:eastAsia="方正仿宋_GBK"/>
                <w:color w:val="000000" w:themeColor="text1"/>
                <w:spacing w:val="-2"/>
                <w:kern w:val="0"/>
                <w:szCs w:val="21"/>
              </w:rPr>
              <w:t>。</w:t>
            </w:r>
          </w:p>
        </w:tc>
        <w:tc>
          <w:tcPr>
            <w:tcW w:w="850" w:type="dxa"/>
            <w:vAlign w:val="center"/>
          </w:tcPr>
          <w:p w14:paraId="666E4E2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774C180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tc>
        <w:tc>
          <w:tcPr>
            <w:tcW w:w="1559" w:type="dxa"/>
            <w:vAlign w:val="center"/>
          </w:tcPr>
          <w:p w14:paraId="5ED05EC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57CEB5E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结合成渝地区双城经济圈建设、渝东北城镇群建设、</w:t>
            </w:r>
            <w:r>
              <w:rPr>
                <w:rFonts w:hint="eastAsia" w:ascii="Times New Roman" w:hAnsi="Times New Roman" w:eastAsia="方正仿宋_GBK"/>
                <w:color w:val="000000" w:themeColor="text1"/>
                <w:spacing w:val="-2"/>
                <w:kern w:val="0"/>
                <w:szCs w:val="21"/>
                <w:lang w:eastAsia="zh-CN"/>
              </w:rPr>
              <w:t>“十四五”规划</w:t>
            </w:r>
            <w:r>
              <w:rPr>
                <w:rFonts w:hint="eastAsia" w:ascii="Times New Roman" w:hAnsi="Times New Roman" w:eastAsia="方正仿宋_GBK"/>
                <w:color w:val="000000" w:themeColor="text1"/>
                <w:spacing w:val="-2"/>
                <w:kern w:val="0"/>
                <w:szCs w:val="21"/>
              </w:rPr>
              <w:t>编制等机遇，积极开展调查研究，谋划重大项目、重大政策和重大事项。围绕推动一二三产融合发展，形成加快现代化产业体系建设、承接东部产业转移、川渝毗邻地区融合发展等多个调研报告。</w:t>
            </w:r>
          </w:p>
        </w:tc>
        <w:tc>
          <w:tcPr>
            <w:tcW w:w="2576" w:type="dxa"/>
          </w:tcPr>
          <w:p w14:paraId="591A24D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F5653F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严格按照市上、县上关于供给侧结构性改革的举措和任务，结合成渝地区双城经济圈建设、渝东北城镇群建设、</w:t>
            </w:r>
            <w:r>
              <w:rPr>
                <w:rFonts w:hint="eastAsia" w:ascii="Times New Roman" w:hAnsi="Times New Roman" w:eastAsia="方正仿宋_GBK"/>
                <w:color w:val="000000" w:themeColor="text1"/>
                <w:spacing w:val="-2"/>
                <w:kern w:val="0"/>
                <w:szCs w:val="21"/>
                <w:lang w:eastAsia="zh-CN"/>
              </w:rPr>
              <w:t>“十四五”规划</w:t>
            </w:r>
            <w:r>
              <w:rPr>
                <w:rFonts w:hint="eastAsia" w:ascii="Times New Roman" w:hAnsi="Times New Roman" w:eastAsia="方正仿宋_GBK"/>
                <w:color w:val="000000" w:themeColor="text1"/>
                <w:spacing w:val="-2"/>
                <w:kern w:val="0"/>
                <w:szCs w:val="21"/>
              </w:rPr>
              <w:t>编制等机遇，务实推进各项工作，去哪里推动三次产业融合发展。</w:t>
            </w:r>
          </w:p>
        </w:tc>
      </w:tr>
      <w:tr w14:paraId="41C7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jc w:val="center"/>
        </w:trPr>
        <w:tc>
          <w:tcPr>
            <w:tcW w:w="1986" w:type="dxa"/>
            <w:vAlign w:val="center"/>
          </w:tcPr>
          <w:p w14:paraId="5ECA6FA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87</w:t>
            </w:r>
            <w:r>
              <w:rPr>
                <w:rFonts w:ascii="Times New Roman" w:hAnsi="Times New Roman" w:eastAsia="方正仿宋_GBK"/>
                <w:color w:val="000000" w:themeColor="text1"/>
                <w:spacing w:val="-2"/>
                <w:kern w:val="0"/>
                <w:szCs w:val="21"/>
              </w:rPr>
              <w:t>.推进投资体制改革，实施市场准入负面清单制度，深化公共资源、公共服务等领域市场化改革。</w:t>
            </w:r>
          </w:p>
        </w:tc>
        <w:tc>
          <w:tcPr>
            <w:tcW w:w="850" w:type="dxa"/>
            <w:vAlign w:val="center"/>
          </w:tcPr>
          <w:p w14:paraId="2AAFD69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ACC13D4">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tc>
        <w:tc>
          <w:tcPr>
            <w:tcW w:w="1559" w:type="dxa"/>
            <w:vAlign w:val="center"/>
          </w:tcPr>
          <w:p w14:paraId="00A459EA">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378D1A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1.严格按照《产业结构调整指导目录 2019年本》和《重庆市国家重点生态功能区产业准入负面清单（试行）》（渝发改规〔2017〕1597号）文件执行，对符合产业结构的项目予以准入，对不符合产业结构目录一律不予备案。</w:t>
            </w:r>
          </w:p>
          <w:p w14:paraId="6350C3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2.严格按照市上“五统一、一加强”的总体要求，对标对表落实重点改革任务，已印发《城口县深化公共资源交易监督管理改革实施方案（试行）》。</w:t>
            </w:r>
          </w:p>
          <w:p w14:paraId="5DABC9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3.设立公共资源交易监督委员会，统筹协调全县公共资源交易监督管理工作，并于3月16日召开了一次联席会议，理顺监管体制，解决实际存在的问题。</w:t>
            </w:r>
          </w:p>
          <w:p w14:paraId="0F46303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4.全面实现统一监管职能，对工程建设项目招标投标、政府采购、土地使用权和矿业权出让、国有资产交易等公共资源交易实施集中统一监管。对工程建设项目招标投标直接监管。县财政局、县规划自然资源局按照法定职责分别负责对政府采购、土地使用权、矿业权出让实施行业监管，财政局（国资办）按照法定职责负责对企业国有资产交易实施出资人监管。各行业主管部门负责本行业工程建设项目的合同备案、履行及变更管理，依法查处违法发包、违法分包、转包及挂靠承包以及其他违法违规行为。负责对限额以下项目发包活动进行监督管理。</w:t>
            </w:r>
          </w:p>
        </w:tc>
        <w:tc>
          <w:tcPr>
            <w:tcW w:w="2576" w:type="dxa"/>
            <w:vAlign w:val="center"/>
          </w:tcPr>
          <w:p w14:paraId="72CBF6A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一是在推进过程中，企业对产业结构定位不准、理解不透彻，在实际操作中，企业投资项目备案变更较多。二是目前电子招投标还未实现。</w:t>
            </w:r>
          </w:p>
        </w:tc>
        <w:tc>
          <w:tcPr>
            <w:tcW w:w="3827" w:type="dxa"/>
            <w:vAlign w:val="center"/>
          </w:tcPr>
          <w:p w14:paraId="4159DA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落实专人对产业结构的引导，加大宣传力度，继续落实市场准入负面清单。二是严格执行《重庆市人民办公厅关于深化公共资源交易监督管理改革的意见（试行）》（渝府办发〔2019〕114号）》文件，加强宣传及学习教育。三是积极与市公管局对接，尽快实现远程评标。</w:t>
            </w:r>
          </w:p>
        </w:tc>
      </w:tr>
      <w:tr w14:paraId="06B9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986" w:type="dxa"/>
            <w:vAlign w:val="center"/>
          </w:tcPr>
          <w:p w14:paraId="6168FD2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88</w:t>
            </w:r>
            <w:r>
              <w:rPr>
                <w:rFonts w:ascii="Times New Roman" w:hAnsi="Times New Roman" w:eastAsia="方正仿宋_GBK"/>
                <w:color w:val="000000" w:themeColor="text1"/>
                <w:spacing w:val="-2"/>
                <w:kern w:val="0"/>
                <w:szCs w:val="21"/>
              </w:rPr>
              <w:t>.完善竞争有序的现代市场体系，促进生产与消费、实体与金融良性互动。</w:t>
            </w:r>
          </w:p>
        </w:tc>
        <w:tc>
          <w:tcPr>
            <w:tcW w:w="850" w:type="dxa"/>
            <w:vAlign w:val="center"/>
          </w:tcPr>
          <w:p w14:paraId="7B3D68E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039B56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tc>
        <w:tc>
          <w:tcPr>
            <w:tcW w:w="1559" w:type="dxa"/>
            <w:vAlign w:val="center"/>
          </w:tcPr>
          <w:p w14:paraId="52F0ED4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38C40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向有关部门收集资料，正在起草我县关于完善促进消费体制机制激发居民消费潜力的实施意见。</w:t>
            </w:r>
          </w:p>
          <w:p w14:paraId="4A3C444D">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41C5C8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收集资料比较慢。</w:t>
            </w:r>
          </w:p>
          <w:p w14:paraId="13A49EB2">
            <w:pPr>
              <w:widowControl/>
              <w:spacing w:line="240" w:lineRule="exact"/>
              <w:jc w:val="left"/>
              <w:rPr>
                <w:rFonts w:ascii="Times New Roman" w:hAnsi="Times New Roman" w:eastAsia="方正仿宋_GBK"/>
                <w:color w:val="000000" w:themeColor="text1"/>
                <w:spacing w:val="-2"/>
                <w:kern w:val="0"/>
                <w:szCs w:val="21"/>
              </w:rPr>
            </w:pPr>
          </w:p>
          <w:p w14:paraId="1D352873">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E79121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尽快把方案起草完毕，组织相关单位讨论后形成意见报政府审定。</w:t>
            </w:r>
          </w:p>
          <w:p w14:paraId="55FC9E47">
            <w:pPr>
              <w:widowControl/>
              <w:spacing w:line="240" w:lineRule="exact"/>
              <w:jc w:val="left"/>
              <w:rPr>
                <w:rFonts w:ascii="Times New Roman" w:hAnsi="Times New Roman" w:eastAsia="方正仿宋_GBK"/>
                <w:color w:val="000000" w:themeColor="text1"/>
                <w:spacing w:val="-2"/>
                <w:kern w:val="0"/>
                <w:szCs w:val="21"/>
              </w:rPr>
            </w:pPr>
          </w:p>
        </w:tc>
      </w:tr>
      <w:tr w14:paraId="2A2F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986" w:type="dxa"/>
            <w:vAlign w:val="center"/>
          </w:tcPr>
          <w:p w14:paraId="14FDC03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89.</w:t>
            </w:r>
            <w:r>
              <w:rPr>
                <w:rFonts w:ascii="Times New Roman" w:hAnsi="Times New Roman" w:eastAsia="方正仿宋_GBK"/>
                <w:color w:val="000000" w:themeColor="text1"/>
                <w:spacing w:val="-2"/>
                <w:kern w:val="0"/>
                <w:szCs w:val="21"/>
              </w:rPr>
              <w:t>深化财政金融改革，构建全方位、全过程、全覆盖的预算绩效管理体系，实现预算和绩效管理一体化。</w:t>
            </w:r>
          </w:p>
        </w:tc>
        <w:tc>
          <w:tcPr>
            <w:tcW w:w="850" w:type="dxa"/>
            <w:vAlign w:val="center"/>
          </w:tcPr>
          <w:p w14:paraId="536FDF5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353354C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BC5EAEB">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3039BD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严格落实《中共城口县委、城口县人民政府关于全面实施预算绩效管理的实施意见》（城委发〔2019〕15号），启动单位自评、财政重点评价等全面预算绩效管理工作。二是公开了133个单位整体绩效目标和重点绩效目标。</w:t>
            </w:r>
          </w:p>
        </w:tc>
        <w:tc>
          <w:tcPr>
            <w:tcW w:w="2576" w:type="dxa"/>
            <w:vAlign w:val="center"/>
          </w:tcPr>
          <w:p w14:paraId="29F23F0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未完善建立预算绩效一体化指标体系库。</w:t>
            </w:r>
          </w:p>
        </w:tc>
        <w:tc>
          <w:tcPr>
            <w:tcW w:w="3827" w:type="dxa"/>
            <w:vAlign w:val="center"/>
          </w:tcPr>
          <w:p w14:paraId="149DBF3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继续加强预算绩效管理体系建设，开展事前、事中、事后的预算绩效管理工作。</w:t>
            </w:r>
          </w:p>
        </w:tc>
      </w:tr>
      <w:tr w14:paraId="07DE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86" w:type="dxa"/>
            <w:vAlign w:val="center"/>
          </w:tcPr>
          <w:p w14:paraId="6F186999">
            <w:pPr>
              <w:widowControl/>
              <w:spacing w:line="240" w:lineRule="exact"/>
              <w:rPr>
                <w:rFonts w:ascii="Times New Roman" w:hAnsi="Times New Roman" w:eastAsia="方正仿宋_GBK"/>
                <w:color w:val="000000" w:themeColor="text1"/>
                <w:spacing w:val="-2"/>
                <w:kern w:val="0"/>
                <w:szCs w:val="21"/>
                <w:lang w:val="zh-CN"/>
              </w:rPr>
            </w:pPr>
            <w:r>
              <w:rPr>
                <w:rFonts w:hint="eastAsia" w:ascii="Times New Roman" w:hAnsi="Times New Roman" w:eastAsia="方正仿宋_GBK"/>
                <w:color w:val="000000" w:themeColor="text1"/>
                <w:spacing w:val="-2"/>
                <w:kern w:val="0"/>
                <w:szCs w:val="21"/>
              </w:rPr>
              <w:t>90</w:t>
            </w:r>
            <w:r>
              <w:rPr>
                <w:rFonts w:ascii="Times New Roman" w:hAnsi="Times New Roman" w:eastAsia="方正仿宋_GBK"/>
                <w:color w:val="000000" w:themeColor="text1"/>
                <w:spacing w:val="-2"/>
                <w:kern w:val="0"/>
                <w:szCs w:val="21"/>
              </w:rPr>
              <w:t>.</w:t>
            </w:r>
            <w:r>
              <w:rPr>
                <w:rFonts w:ascii="Times New Roman" w:hAnsi="Times New Roman" w:eastAsia="方正仿宋_GBK"/>
                <w:bCs/>
                <w:color w:val="000000" w:themeColor="text1"/>
                <w:spacing w:val="-2"/>
                <w:kern w:val="0"/>
                <w:szCs w:val="21"/>
              </w:rPr>
              <w:t>改革创新金融服务实体经济方式，加大普惠金融支持力度，更好缓解民营和中小微企业融资难融资贵问题。</w:t>
            </w:r>
          </w:p>
        </w:tc>
        <w:tc>
          <w:tcPr>
            <w:tcW w:w="850" w:type="dxa"/>
            <w:vAlign w:val="center"/>
          </w:tcPr>
          <w:p w14:paraId="77729AD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043B3D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1079F72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县财政局、</w:t>
            </w:r>
            <w:r>
              <w:rPr>
                <w:rFonts w:ascii="Times New Roman" w:hAnsi="Times New Roman" w:eastAsia="方正仿宋_GBK"/>
                <w:color w:val="000000" w:themeColor="text1"/>
                <w:spacing w:val="-2"/>
                <w:kern w:val="0"/>
                <w:szCs w:val="21"/>
              </w:rPr>
              <w:t>人行城口</w:t>
            </w:r>
            <w:r>
              <w:rPr>
                <w:rFonts w:hint="eastAsia" w:ascii="Times New Roman" w:hAnsi="Times New Roman" w:eastAsia="方正仿宋_GBK"/>
                <w:color w:val="000000" w:themeColor="text1"/>
                <w:spacing w:val="-2"/>
                <w:kern w:val="0"/>
                <w:szCs w:val="21"/>
              </w:rPr>
              <w:t>县</w:t>
            </w:r>
            <w:r>
              <w:rPr>
                <w:rFonts w:ascii="Times New Roman" w:hAnsi="Times New Roman" w:eastAsia="方正仿宋_GBK"/>
                <w:color w:val="000000" w:themeColor="text1"/>
                <w:spacing w:val="-2"/>
                <w:kern w:val="0"/>
                <w:szCs w:val="21"/>
              </w:rPr>
              <w:t>支行</w:t>
            </w:r>
          </w:p>
          <w:p w14:paraId="7A3B1EF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万州银保监分局城口监管组</w:t>
            </w:r>
          </w:p>
        </w:tc>
        <w:tc>
          <w:tcPr>
            <w:tcW w:w="4111" w:type="dxa"/>
            <w:vAlign w:val="center"/>
          </w:tcPr>
          <w:p w14:paraId="23A9C8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印发了《关于城口县应对新冠肺炎疫情支持中小企业共渡难关的二十五条政策措施》、《城口县优化融资环境促进经济发展30条措施》。二是疫情期间，县域各银行为受疫情影响的企业办理无本续贷9笔，金额1861万元；为企业和个体工商业主办理贷款展期25笔，金额679万元；累计发放防疫贷款4笔，金额6280万元；累计发放支小再贷款15笔，金额1672万元；累计发放支农再贷款1笔，金额120万元。目前为中小微企业发放贷款40.87亿元。三是普惠金融服务覆盖更广泛。截至目前，全县各银行类金融机构有营业网点47个，定时服务网点4个，便民服务网点6个，安装POS机具26台、“惠农e通‘四融’”终端22台，“惠农通”机具180台，自助服务终端、转账电话等电子机具84台。四是普惠金融宣传更全面。为丰富居民金融知识，提升边远山区人民群众的金融意识，各商业银行利用“3.15消费者权益保护日”在互联网上开展了金融宣传教育活动，进一步增强了人民群众的权益保护意识。</w:t>
            </w:r>
          </w:p>
        </w:tc>
        <w:tc>
          <w:tcPr>
            <w:tcW w:w="2576" w:type="dxa"/>
            <w:vAlign w:val="center"/>
          </w:tcPr>
          <w:p w14:paraId="52A94D1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ACBEFA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会同人行城口支行、万州银保监分局城口监管组指导县内金融机构畅通金融消费者维权渠道，将常年金融宣传与“3.15”、“金融知识普及月”等宣传结合起来，组织开展内容丰富、形式多样的金融宣传教育活动，促进公众增强风险防范意识，帮助公众提高金融素质。二是会同人行城口支行、万州银保监分局城口监管组引导县内银行、有关部门加强信用违约惩戒，依法打击逃废银行债务和其他违法违规金融活动，依法保护金融债权，为普惠金融发展创造良好金融生态环境，缓解民营和中小微企业融资难融资贵。</w:t>
            </w:r>
          </w:p>
        </w:tc>
      </w:tr>
      <w:tr w14:paraId="4A24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986" w:type="dxa"/>
            <w:vAlign w:val="center"/>
          </w:tcPr>
          <w:p w14:paraId="2A5545B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91</w:t>
            </w:r>
            <w:r>
              <w:rPr>
                <w:rFonts w:ascii="Times New Roman" w:hAnsi="Times New Roman" w:eastAsia="方正仿宋_GBK"/>
                <w:color w:val="000000" w:themeColor="text1"/>
                <w:spacing w:val="-2"/>
                <w:kern w:val="0"/>
                <w:szCs w:val="21"/>
              </w:rPr>
              <w:t>.深化国资国企改革，完善法人治理结构，加强国企运营监管，推动国有企业整合重组、优化资源配置。</w:t>
            </w:r>
          </w:p>
        </w:tc>
        <w:tc>
          <w:tcPr>
            <w:tcW w:w="850" w:type="dxa"/>
            <w:vAlign w:val="center"/>
          </w:tcPr>
          <w:p w14:paraId="333D3F3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02D10DF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E19D81E">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542E291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出台《县属国有企业财务总监、财会主管人员委派制度（试行）》（城府办发〔2020〕39号），进一步建立健全出资监管企业财务监督管理机制。制定鑫融担保公司、保安公司整合方案，目前已完成保安公司的整合工作，鑫融担保公司的注销正在推进中；汉嘉公司已清偿完毕，注销工作已启动。</w:t>
            </w:r>
          </w:p>
        </w:tc>
        <w:tc>
          <w:tcPr>
            <w:tcW w:w="2576" w:type="dxa"/>
            <w:vAlign w:val="center"/>
          </w:tcPr>
          <w:p w14:paraId="58EC2D3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部分拟企业属事业单位企业化管理，需要待事业单位分类改革工作启动，解决企业人员问题后，事例工作才能推进。部分企业还存在未偿还银行债务，暂时无法注销。</w:t>
            </w:r>
          </w:p>
        </w:tc>
        <w:tc>
          <w:tcPr>
            <w:tcW w:w="3827" w:type="dxa"/>
            <w:vAlign w:val="center"/>
          </w:tcPr>
          <w:p w14:paraId="7EFA47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责成主管部门牵头推进所属企业，完成公司注销；制定债务清偿方案，尽快完成公司注销工作；研究所属事业单位企业化管理机构改革方案，待事业单位改革启动后，及时推进企业改革。</w:t>
            </w:r>
          </w:p>
          <w:p w14:paraId="0F98CF69">
            <w:pPr>
              <w:widowControl/>
              <w:spacing w:line="240" w:lineRule="exact"/>
              <w:jc w:val="left"/>
              <w:rPr>
                <w:rFonts w:ascii="Times New Roman" w:hAnsi="Times New Roman" w:eastAsia="方正仿宋_GBK"/>
                <w:color w:val="000000" w:themeColor="text1"/>
                <w:spacing w:val="-2"/>
                <w:kern w:val="0"/>
                <w:szCs w:val="21"/>
              </w:rPr>
            </w:pPr>
          </w:p>
          <w:p w14:paraId="7D0E1D9B">
            <w:pPr>
              <w:widowControl/>
              <w:spacing w:line="240" w:lineRule="exact"/>
              <w:jc w:val="left"/>
              <w:rPr>
                <w:rFonts w:ascii="Times New Roman" w:hAnsi="Times New Roman" w:eastAsia="方正仿宋_GBK"/>
                <w:color w:val="000000" w:themeColor="text1"/>
                <w:spacing w:val="-2"/>
                <w:kern w:val="0"/>
                <w:szCs w:val="21"/>
              </w:rPr>
            </w:pPr>
          </w:p>
        </w:tc>
      </w:tr>
      <w:tr w14:paraId="2B7B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1986" w:type="dxa"/>
            <w:vAlign w:val="center"/>
          </w:tcPr>
          <w:p w14:paraId="09D52F7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92</w:t>
            </w:r>
            <w:r>
              <w:rPr>
                <w:rFonts w:ascii="Times New Roman" w:hAnsi="Times New Roman" w:eastAsia="方正仿宋_GBK"/>
                <w:color w:val="000000" w:themeColor="text1"/>
                <w:spacing w:val="-2"/>
                <w:kern w:val="0"/>
                <w:szCs w:val="21"/>
              </w:rPr>
              <w:t>.积极融入全市开放大局，推动渝东北三峡库区城镇群基础设施、产业布局、公共服务一体化发展，努力构建联通协同、高效便捷的基础设施网络体系，推进产业生态化、生态产业化，促进生态康养、文化旅游等产业合作，加快建设长江经济带三峡库区生态优先绿色发展示范区。</w:t>
            </w:r>
          </w:p>
        </w:tc>
        <w:tc>
          <w:tcPr>
            <w:tcW w:w="850" w:type="dxa"/>
            <w:vAlign w:val="center"/>
          </w:tcPr>
          <w:p w14:paraId="361B828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C5B81C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tc>
        <w:tc>
          <w:tcPr>
            <w:tcW w:w="1559" w:type="dxa"/>
            <w:vAlign w:val="center"/>
          </w:tcPr>
          <w:p w14:paraId="5347F22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县住房城乡建委</w:t>
            </w:r>
            <w:r>
              <w:rPr>
                <w:rFonts w:hint="eastAsia" w:ascii="Times New Roman" w:hAnsi="Times New Roman" w:eastAsia="方正仿宋_GBK"/>
                <w:color w:val="000000" w:themeColor="text1"/>
                <w:spacing w:val="-2"/>
                <w:szCs w:val="21"/>
              </w:rPr>
              <w:t>、县交通局、</w:t>
            </w:r>
          </w:p>
          <w:p w14:paraId="364C9B6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039CD39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县林业局</w:t>
            </w:r>
          </w:p>
        </w:tc>
        <w:tc>
          <w:tcPr>
            <w:tcW w:w="4111" w:type="dxa"/>
            <w:vAlign w:val="center"/>
          </w:tcPr>
          <w:p w14:paraId="30672E3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按照《重庆市发展改革委关于征求促进“一区两群”协调发展政策措施意见的函》要求，县发展改革委高度重视，迅速学习消化，并会同相关部门结合习近平总书记在中央财经委员会第五次、六次会议上的重要讲话精神和全市推动成渝地区双城经济圈动员部署会议精神，认真学习研究《促进“一区两群”协调发展政策措施（征求意见稿）》，结合城口诉求，提出了修改建议意见。二是不断加大城市基础设施补短板项目，加快推进城市市政设施、排水防涝、污水整治等领域项目建设，加大城市建设资金争取力度，储备老旧小区改造、城市排水防涝、 市政交通、配送投递设施、建筑垃圾处理设施等领域项目78个，总投资36.25亿元，不断充实项目储备库。</w:t>
            </w:r>
          </w:p>
        </w:tc>
        <w:tc>
          <w:tcPr>
            <w:tcW w:w="2576" w:type="dxa"/>
            <w:vAlign w:val="center"/>
          </w:tcPr>
          <w:p w14:paraId="79D2C12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一是城市基础设施短板较多，县级资金无法满足城市建设配套费用，需要加大向上争取力度。二是是否采纳相关意见建议，不托底。</w:t>
            </w:r>
          </w:p>
          <w:p w14:paraId="21E64486">
            <w:pPr>
              <w:widowControl/>
              <w:spacing w:line="240" w:lineRule="exact"/>
              <w:jc w:val="left"/>
              <w:rPr>
                <w:rFonts w:ascii="Times New Roman" w:hAnsi="Times New Roman" w:eastAsia="方正仿宋_GBK"/>
                <w:color w:val="000000" w:themeColor="text1"/>
                <w:spacing w:val="-2"/>
                <w:kern w:val="0"/>
                <w:szCs w:val="21"/>
              </w:rPr>
            </w:pPr>
          </w:p>
          <w:p w14:paraId="7FE4CAE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95508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快推进仁河流域综合整治一二期、任何南岸旅游景观改造、百年广场等城市基础设施项目，争取项目早日建成，提升城市形象。二是强化项目储备工作。不断夯实项目储备库，将更多的城市基础设施纳入国家、市级支持对象。三是纵向密切对接市发展改革委，横向紧密联系友邻区县及县内各部门，扎实推动城镇群相关工作。</w:t>
            </w:r>
          </w:p>
        </w:tc>
      </w:tr>
      <w:tr w14:paraId="1BA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86" w:type="dxa"/>
            <w:vAlign w:val="center"/>
          </w:tcPr>
          <w:p w14:paraId="6654485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93</w:t>
            </w:r>
            <w:r>
              <w:rPr>
                <w:rFonts w:ascii="Times New Roman" w:hAnsi="Times New Roman" w:eastAsia="方正仿宋_GBK"/>
                <w:color w:val="000000" w:themeColor="text1"/>
                <w:spacing w:val="-2"/>
                <w:kern w:val="0"/>
                <w:szCs w:val="21"/>
              </w:rPr>
              <w:t>.积极融入</w:t>
            </w:r>
            <w:r>
              <w:rPr>
                <w:rFonts w:hint="eastAsia" w:ascii="Times New Roman" w:hAnsi="Times New Roman" w:eastAsia="方正仿宋_GBK"/>
                <w:color w:val="000000" w:themeColor="text1"/>
                <w:spacing w:val="-2"/>
                <w:kern w:val="0"/>
                <w:szCs w:val="21"/>
              </w:rPr>
              <w:t>成渝地区双城经济圈</w:t>
            </w:r>
            <w:r>
              <w:rPr>
                <w:rFonts w:ascii="Times New Roman" w:hAnsi="Times New Roman" w:eastAsia="方正仿宋_GBK"/>
                <w:color w:val="000000" w:themeColor="text1"/>
                <w:spacing w:val="-2"/>
                <w:kern w:val="0"/>
                <w:szCs w:val="21"/>
              </w:rPr>
              <w:t>，主动承接川渝</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2+16</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合作协议事项，落实好川渝合作机制，强化基础设施互联互通、产业协作共兴、公共服务深度融合、生态环保联防联治，深化劳动就业与社会保障关系转移接续服务，探索跨区域公共事务和社会保障协同治理，携手打造区域协作发展新格局。</w:t>
            </w:r>
          </w:p>
        </w:tc>
        <w:tc>
          <w:tcPr>
            <w:tcW w:w="850" w:type="dxa"/>
            <w:vAlign w:val="center"/>
          </w:tcPr>
          <w:p w14:paraId="16B50C8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376E21C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tc>
        <w:tc>
          <w:tcPr>
            <w:tcW w:w="1559" w:type="dxa"/>
            <w:vAlign w:val="center"/>
          </w:tcPr>
          <w:p w14:paraId="0C40C70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县人力社保局、县生态环境局、</w:t>
            </w:r>
            <w:r>
              <w:rPr>
                <w:rFonts w:ascii="Times New Roman" w:hAnsi="Times New Roman" w:eastAsia="方正仿宋_GBK"/>
                <w:color w:val="000000" w:themeColor="text1"/>
                <w:spacing w:val="-2"/>
                <w:szCs w:val="21"/>
              </w:rPr>
              <w:t>县住房城乡建委</w:t>
            </w:r>
            <w:r>
              <w:rPr>
                <w:rFonts w:hint="eastAsia" w:ascii="Times New Roman" w:hAnsi="Times New Roman" w:eastAsia="方正仿宋_GBK"/>
                <w:color w:val="000000" w:themeColor="text1"/>
                <w:spacing w:val="-2"/>
                <w:szCs w:val="21"/>
              </w:rPr>
              <w:t>、县交通局、县农业农村委、县林业局等</w:t>
            </w:r>
          </w:p>
        </w:tc>
        <w:tc>
          <w:tcPr>
            <w:tcW w:w="4111" w:type="dxa"/>
            <w:vAlign w:val="center"/>
          </w:tcPr>
          <w:p w14:paraId="508E0BC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保持与市发展改革委的紧密对接，结合成渝地区双城经济圈建设、“十四五”规划，正积极开展调查研究，统筹推进。经多方协调，已将城口至宣汉至大竹至邻水高速公路挤入全市相关工作方案。同时，县发展改革委牵头撰写了《错位补位发展协同共进共建，推动万达开川渝统筹发展示范区高质量发展的报告》，已呈报书记审定。4月3日县发展改革委组织相关部门与达州市发展改革委（万源市、宣汉县）召开了推动“万达开”统筹发展示范区建设调研座谈会，并达成初步合作意向。目前正在拟定专题报告争取下周呈报县委县政府。</w:t>
            </w:r>
          </w:p>
        </w:tc>
        <w:tc>
          <w:tcPr>
            <w:tcW w:w="2576" w:type="dxa"/>
            <w:vAlign w:val="center"/>
          </w:tcPr>
          <w:p w14:paraId="3159CC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城口GDP仅52亿元，在重庆市倒数第一，交通等基础设施制约突出、产业基础薄弱、公共服务短板明显，仍是全市经济社会发展的“最短板”。</w:t>
            </w:r>
          </w:p>
        </w:tc>
        <w:tc>
          <w:tcPr>
            <w:tcW w:w="3827" w:type="dxa"/>
            <w:vAlign w:val="center"/>
          </w:tcPr>
          <w:p w14:paraId="07E8DD7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纵向密切对接市发展改革委，横向紧密联系达州（宣汉、万源）等毗邻地区及县内各部门，务实推动力争尽快达成合作共识。</w:t>
            </w:r>
          </w:p>
          <w:p w14:paraId="3B15CA78">
            <w:pPr>
              <w:widowControl/>
              <w:spacing w:line="240" w:lineRule="exact"/>
              <w:jc w:val="left"/>
              <w:rPr>
                <w:rFonts w:ascii="Times New Roman" w:hAnsi="Times New Roman" w:eastAsia="方正仿宋_GBK"/>
                <w:color w:val="000000" w:themeColor="text1"/>
                <w:spacing w:val="-2"/>
                <w:kern w:val="0"/>
                <w:szCs w:val="21"/>
              </w:rPr>
            </w:pPr>
          </w:p>
          <w:p w14:paraId="2C8FEDC9">
            <w:pPr>
              <w:widowControl/>
              <w:spacing w:line="240" w:lineRule="exact"/>
              <w:jc w:val="left"/>
              <w:rPr>
                <w:rFonts w:ascii="Times New Roman" w:hAnsi="Times New Roman" w:eastAsia="方正仿宋_GBK"/>
                <w:color w:val="000000" w:themeColor="text1"/>
                <w:spacing w:val="-2"/>
                <w:kern w:val="0"/>
                <w:szCs w:val="21"/>
              </w:rPr>
            </w:pPr>
          </w:p>
        </w:tc>
      </w:tr>
      <w:tr w14:paraId="2345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986" w:type="dxa"/>
            <w:vAlign w:val="center"/>
          </w:tcPr>
          <w:p w14:paraId="5AB378C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94</w:t>
            </w:r>
            <w:r>
              <w:rPr>
                <w:rFonts w:ascii="Times New Roman" w:hAnsi="Times New Roman" w:eastAsia="方正仿宋_GBK"/>
                <w:color w:val="000000" w:themeColor="text1"/>
                <w:spacing w:val="-2"/>
                <w:kern w:val="0"/>
                <w:szCs w:val="21"/>
              </w:rPr>
              <w:t>.加强与水利部、山东临沂、重庆九龙坡、市级帮扶集团、对口帮扶单位协作，深化与高校、科研院所、新型研发机构合作，加强与秦巴地区、川陕革命老区有关区县的协调联动，加强教育、医疗、文化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体育等合作。</w:t>
            </w:r>
          </w:p>
        </w:tc>
        <w:tc>
          <w:tcPr>
            <w:tcW w:w="850" w:type="dxa"/>
            <w:vAlign w:val="center"/>
          </w:tcPr>
          <w:p w14:paraId="789CDC4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李兴学</w:t>
            </w:r>
          </w:p>
          <w:p w14:paraId="6C25D9B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3CB8549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0C4B118A">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p w14:paraId="3BC96AD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县扶贫办</w:t>
            </w:r>
          </w:p>
          <w:p w14:paraId="0B9D7CA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县水利局</w:t>
            </w:r>
          </w:p>
        </w:tc>
        <w:tc>
          <w:tcPr>
            <w:tcW w:w="1559" w:type="dxa"/>
            <w:vAlign w:val="center"/>
          </w:tcPr>
          <w:p w14:paraId="6CE7F78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县委组织部、县教委、县农业农村委、县商务委、县文化旅游委、县卫生健康委、县就业和人才服务局、县林业局、县供销社等有关乡镇（街道）</w:t>
            </w:r>
          </w:p>
        </w:tc>
        <w:tc>
          <w:tcPr>
            <w:tcW w:w="4111" w:type="dxa"/>
            <w:vAlign w:val="center"/>
          </w:tcPr>
          <w:p w14:paraId="4CEAB4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对接联系九龙坡区对口支援办、临沂市发展改革委，确定今年九龙坡对口帮扶资金5000万元、东西扶贫协作资金4964万元项目投资计划并向市发展改革委报备。印发了《城口县2020年度九龙坡区对口帮扶工作方案》。</w:t>
            </w:r>
          </w:p>
        </w:tc>
        <w:tc>
          <w:tcPr>
            <w:tcW w:w="2576" w:type="dxa"/>
            <w:vAlign w:val="center"/>
          </w:tcPr>
          <w:p w14:paraId="3C8B6DD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受疫情影响，今年以来九龙坡对口帮扶只通过林之汇公司定点采购280余万元，其它对口帮扶活动暂未开展。</w:t>
            </w:r>
          </w:p>
        </w:tc>
        <w:tc>
          <w:tcPr>
            <w:tcW w:w="3827" w:type="dxa"/>
            <w:vAlign w:val="center"/>
          </w:tcPr>
          <w:p w14:paraId="3D0287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九龙坡对口帮扶方面，4月底前下达项目投资计划，收集各单位细化方案，对结对帮扶面上工作情况及项目实施情况进行调度。二是东西扶贫协作方面，下达市县级投资计划并督促业主单位启动项目建设。三是召集东西扶贫协作任务单位召开一次调度会，布置相关工作，做到早谋划、早布局。</w:t>
            </w:r>
          </w:p>
        </w:tc>
      </w:tr>
      <w:tr w14:paraId="27B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86" w:type="dxa"/>
            <w:vAlign w:val="center"/>
          </w:tcPr>
          <w:p w14:paraId="0D13C79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95.</w:t>
            </w:r>
            <w:r>
              <w:rPr>
                <w:rFonts w:ascii="Times New Roman" w:hAnsi="Times New Roman" w:eastAsia="方正仿宋_GBK"/>
                <w:color w:val="000000" w:themeColor="text1"/>
                <w:spacing w:val="-2"/>
                <w:kern w:val="0"/>
                <w:szCs w:val="21"/>
              </w:rPr>
              <w:t>建立以企业为主体、市场为导向、产学研深度融合的技术创新体系，支持市场主体融通创新、转化科技成果，深化科技成果使用权、处置权和收益权改革。</w:t>
            </w:r>
          </w:p>
        </w:tc>
        <w:tc>
          <w:tcPr>
            <w:tcW w:w="850" w:type="dxa"/>
            <w:vAlign w:val="center"/>
          </w:tcPr>
          <w:p w14:paraId="25B6121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303F9E9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2E817450">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61E1D6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筹备召开功能食品工作推进座谈会，明确2020年功能食品开发项目任务，在知识产权转化为经济价值上实现稳步增长。</w:t>
            </w:r>
          </w:p>
          <w:p w14:paraId="5B366F3D">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A89A64C">
            <w:pPr>
              <w:widowControl/>
              <w:spacing w:line="240" w:lineRule="exact"/>
              <w:jc w:val="left"/>
              <w:rPr>
                <w:rFonts w:ascii="Times New Roman" w:hAnsi="Times New Roman" w:eastAsia="方正仿宋_GBK"/>
                <w:color w:val="000000" w:themeColor="text1"/>
                <w:spacing w:val="-2"/>
                <w:kern w:val="0"/>
                <w:szCs w:val="21"/>
              </w:rPr>
            </w:pPr>
          </w:p>
          <w:p w14:paraId="6AF7ED92">
            <w:pPr>
              <w:widowControl/>
              <w:spacing w:line="240" w:lineRule="exact"/>
              <w:jc w:val="left"/>
              <w:rPr>
                <w:rFonts w:ascii="Times New Roman" w:hAnsi="Times New Roman" w:eastAsia="方正仿宋_GBK"/>
                <w:color w:val="000000" w:themeColor="text1"/>
                <w:spacing w:val="-2"/>
                <w:kern w:val="0"/>
                <w:szCs w:val="21"/>
              </w:rPr>
            </w:pPr>
          </w:p>
          <w:p w14:paraId="5A76880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受疫情影响部分企业复工后销路随市场波动较大。</w:t>
            </w:r>
          </w:p>
        </w:tc>
        <w:tc>
          <w:tcPr>
            <w:tcW w:w="3827" w:type="dxa"/>
          </w:tcPr>
          <w:p w14:paraId="55A2EDD4">
            <w:pPr>
              <w:widowControl/>
              <w:spacing w:line="240" w:lineRule="exact"/>
              <w:jc w:val="left"/>
              <w:rPr>
                <w:rFonts w:ascii="Times New Roman" w:hAnsi="Times New Roman" w:eastAsia="方正仿宋_GBK"/>
                <w:color w:val="000000" w:themeColor="text1"/>
                <w:spacing w:val="-2"/>
                <w:kern w:val="0"/>
                <w:szCs w:val="21"/>
              </w:rPr>
            </w:pPr>
          </w:p>
          <w:p w14:paraId="19CBF8FF">
            <w:pPr>
              <w:widowControl/>
              <w:spacing w:line="240" w:lineRule="exact"/>
              <w:jc w:val="left"/>
              <w:rPr>
                <w:rFonts w:ascii="Times New Roman" w:hAnsi="Times New Roman" w:eastAsia="方正仿宋_GBK"/>
                <w:color w:val="000000" w:themeColor="text1"/>
                <w:spacing w:val="-2"/>
                <w:kern w:val="0"/>
                <w:szCs w:val="21"/>
              </w:rPr>
            </w:pPr>
          </w:p>
          <w:p w14:paraId="1DA11CD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通过召开企业交流会、功能食品推进座谈会，明确各部门、企业、研发部门工作任务，以清单形式将工作任务明确到每月。</w:t>
            </w:r>
          </w:p>
        </w:tc>
      </w:tr>
      <w:tr w14:paraId="54AA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986" w:type="dxa"/>
            <w:vAlign w:val="center"/>
          </w:tcPr>
          <w:p w14:paraId="2B0B6C8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96.全面</w:t>
            </w:r>
            <w:r>
              <w:rPr>
                <w:rFonts w:ascii="Times New Roman" w:hAnsi="Times New Roman" w:eastAsia="方正仿宋_GBK"/>
                <w:color w:val="000000" w:themeColor="text1"/>
                <w:spacing w:val="-2"/>
                <w:kern w:val="0"/>
                <w:szCs w:val="21"/>
              </w:rPr>
              <w:t>推行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云长制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建设基于</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数字重庆</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云平台的</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城口云</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，完成</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数据共享平台</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建设，推动5G、云计算、大数据、人工智能应用，探索应用区块链技术推动产业创新、发展数字经济。</w:t>
            </w:r>
          </w:p>
        </w:tc>
        <w:tc>
          <w:tcPr>
            <w:tcW w:w="850" w:type="dxa"/>
            <w:vAlign w:val="center"/>
          </w:tcPr>
          <w:p w14:paraId="70B521F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5DD2E81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05290858">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1D0A3E7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开展了政务信息系统迁云、整合以及数字“城口云平台”的系统开发和对接市级云平台工作；二是草拟我县《2020年大数据发展管理工作要点》，《大数据工作考核实施细则》，《促进平台经济平台经济规范健康发展实施方案》《加快线上业态线上服务线上管理发展的实施意见》等文稿，待县</w:t>
            </w:r>
            <w:r>
              <w:rPr>
                <w:rFonts w:hint="eastAsia" w:ascii="Times New Roman" w:hAnsi="Times New Roman" w:eastAsia="方正仿宋_GBK"/>
                <w:color w:val="000000" w:themeColor="text1"/>
                <w:spacing w:val="-2"/>
                <w:kern w:val="0"/>
                <w:szCs w:val="21"/>
                <w:lang w:eastAsia="zh-CN"/>
              </w:rPr>
              <w:t>常务会议</w:t>
            </w:r>
            <w:r>
              <w:rPr>
                <w:rFonts w:hint="eastAsia" w:ascii="Times New Roman" w:hAnsi="Times New Roman" w:eastAsia="方正仿宋_GBK"/>
                <w:color w:val="000000" w:themeColor="text1"/>
                <w:spacing w:val="-2"/>
                <w:kern w:val="0"/>
                <w:szCs w:val="21"/>
              </w:rPr>
              <w:t>研究讨论；三是加大大数据、人工智能应用项目如智慧医疗、智慧教育等的申报及前期可研工作进度；四是组建专班，推动县域5G通信基础设施建设，夯实产业创新、数字经济基础。</w:t>
            </w:r>
          </w:p>
        </w:tc>
        <w:tc>
          <w:tcPr>
            <w:tcW w:w="2576" w:type="dxa"/>
            <w:vAlign w:val="center"/>
          </w:tcPr>
          <w:p w14:paraId="6FB1882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一是大数据智能化应用项目投资大无财政保障，项目建设经费缺口大；二是专业技术人员欠缺，相关工作推进较为缓慢。</w:t>
            </w:r>
          </w:p>
          <w:p w14:paraId="43921AA6">
            <w:pPr>
              <w:widowControl/>
              <w:spacing w:line="240" w:lineRule="exact"/>
              <w:jc w:val="left"/>
              <w:rPr>
                <w:rFonts w:ascii="Times New Roman" w:hAnsi="Times New Roman" w:eastAsia="方正仿宋_GBK"/>
                <w:color w:val="000000" w:themeColor="text1"/>
                <w:spacing w:val="-2"/>
                <w:kern w:val="0"/>
                <w:szCs w:val="21"/>
              </w:rPr>
            </w:pPr>
          </w:p>
          <w:p w14:paraId="3A78B5EA">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D973CF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结合我县“云长制”工作任务目标，加快完成数字“城口云平台”的系统开发建设，力争2020年6月底前，完成“数据共享平台”建设；6月份，在完成我县政务数据资源目录，制定政务数据资源管理暂行办法的基础上，启动政务数据资源录入填报工作，印发年度工作要点等实施方案和工作措施，引领县域大数据智能化工作发展。</w:t>
            </w:r>
          </w:p>
        </w:tc>
      </w:tr>
      <w:tr w14:paraId="1677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86" w:type="dxa"/>
            <w:vAlign w:val="center"/>
          </w:tcPr>
          <w:p w14:paraId="2B72A92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97.</w:t>
            </w:r>
            <w:r>
              <w:rPr>
                <w:rFonts w:ascii="Times New Roman" w:hAnsi="Times New Roman" w:eastAsia="方正仿宋_GBK"/>
                <w:color w:val="000000" w:themeColor="text1"/>
                <w:spacing w:val="-2"/>
                <w:kern w:val="0"/>
                <w:szCs w:val="21"/>
              </w:rPr>
              <w:t>建设科技人才库，用好专家服务团，完善科技特派员服务方式，提升3个</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双创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空间服务能力。</w:t>
            </w:r>
          </w:p>
        </w:tc>
        <w:tc>
          <w:tcPr>
            <w:tcW w:w="850" w:type="dxa"/>
            <w:vAlign w:val="center"/>
          </w:tcPr>
          <w:p w14:paraId="148A235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4E66EF3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759436B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69701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完成2020年市级和三区科技特派员选派，完成2019年科技特派员考核工作任务。</w:t>
            </w:r>
          </w:p>
          <w:p w14:paraId="3C75E3E6">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3FB75B06">
            <w:pPr>
              <w:widowControl/>
              <w:spacing w:line="240" w:lineRule="exact"/>
              <w:jc w:val="left"/>
              <w:rPr>
                <w:rFonts w:ascii="Times New Roman" w:hAnsi="Times New Roman" w:eastAsia="方正仿宋_GBK"/>
                <w:color w:val="000000" w:themeColor="text1"/>
                <w:spacing w:val="-2"/>
                <w:kern w:val="0"/>
                <w:szCs w:val="21"/>
              </w:rPr>
            </w:pPr>
          </w:p>
          <w:p w14:paraId="74294F9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特派员和“双创”结合度不高。</w:t>
            </w:r>
          </w:p>
        </w:tc>
        <w:tc>
          <w:tcPr>
            <w:tcW w:w="3827" w:type="dxa"/>
          </w:tcPr>
          <w:p w14:paraId="0EAB9A82">
            <w:pPr>
              <w:widowControl/>
              <w:spacing w:line="240" w:lineRule="exact"/>
              <w:jc w:val="left"/>
              <w:rPr>
                <w:rFonts w:ascii="Times New Roman" w:hAnsi="Times New Roman" w:eastAsia="方正仿宋_GBK"/>
                <w:color w:val="000000" w:themeColor="text1"/>
                <w:spacing w:val="-2"/>
                <w:kern w:val="0"/>
                <w:szCs w:val="21"/>
              </w:rPr>
            </w:pPr>
          </w:p>
          <w:p w14:paraId="16F062A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积极争取市级部门产业发展专项，以特派员团队形式开展我县产业专家服务</w:t>
            </w:r>
          </w:p>
        </w:tc>
      </w:tr>
      <w:tr w14:paraId="2122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1462DA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98.</w:t>
            </w:r>
            <w:r>
              <w:rPr>
                <w:rFonts w:ascii="Times New Roman" w:hAnsi="Times New Roman" w:eastAsia="方正仿宋_GBK"/>
                <w:color w:val="000000" w:themeColor="text1"/>
                <w:spacing w:val="-2"/>
                <w:kern w:val="0"/>
                <w:szCs w:val="21"/>
              </w:rPr>
              <w:t>鼓励企业加大研发投入，支持科技型企业知识价值信用贷款，新增科技型企业10家，培育高新技术企业1家。</w:t>
            </w:r>
          </w:p>
        </w:tc>
        <w:tc>
          <w:tcPr>
            <w:tcW w:w="850" w:type="dxa"/>
            <w:vAlign w:val="center"/>
          </w:tcPr>
          <w:p w14:paraId="72C7D5B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6044424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3F0F89DC">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E04230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一是召开科技型企业孵化专题会议，明确科技型企业10家工作增量任务；二是规划我县3家企业列入高企申报范围，积极动员筹备申报准备。</w:t>
            </w:r>
          </w:p>
        </w:tc>
        <w:tc>
          <w:tcPr>
            <w:tcW w:w="2576" w:type="dxa"/>
          </w:tcPr>
          <w:p w14:paraId="27F1F425">
            <w:pPr>
              <w:widowControl/>
              <w:spacing w:line="240" w:lineRule="exact"/>
              <w:jc w:val="left"/>
              <w:rPr>
                <w:rFonts w:ascii="Times New Roman" w:hAnsi="Times New Roman" w:eastAsia="方正仿宋_GBK"/>
                <w:color w:val="000000" w:themeColor="text1"/>
                <w:spacing w:val="-2"/>
                <w:kern w:val="0"/>
                <w:szCs w:val="21"/>
              </w:rPr>
            </w:pPr>
          </w:p>
          <w:p w14:paraId="0A09088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发展科技型企业自身动力不足；第三方中介机构不再由市级推荐，寻求可靠代理服务第三方是第一要务。</w:t>
            </w:r>
          </w:p>
        </w:tc>
        <w:tc>
          <w:tcPr>
            <w:tcW w:w="3827" w:type="dxa"/>
          </w:tcPr>
          <w:p w14:paraId="057D11AF">
            <w:pPr>
              <w:widowControl/>
              <w:spacing w:line="240" w:lineRule="exact"/>
              <w:jc w:val="left"/>
              <w:rPr>
                <w:rFonts w:ascii="Times New Roman" w:hAnsi="Times New Roman" w:eastAsia="方正仿宋_GBK"/>
                <w:color w:val="000000" w:themeColor="text1"/>
                <w:spacing w:val="-2"/>
                <w:kern w:val="0"/>
                <w:szCs w:val="21"/>
              </w:rPr>
            </w:pPr>
          </w:p>
          <w:p w14:paraId="4A92E0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加大宣传力度，积极动员发动企业申报科技型企业；通过以往合作机构选取一家代理机构。</w:t>
            </w:r>
          </w:p>
        </w:tc>
      </w:tr>
      <w:tr w14:paraId="130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043" w:type="dxa"/>
            <w:gridSpan w:val="7"/>
            <w:vAlign w:val="center"/>
          </w:tcPr>
          <w:p w14:paraId="70BB3642">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（七）持续优化营商环境，推动民营经济发展壮大。</w:t>
            </w:r>
          </w:p>
        </w:tc>
      </w:tr>
      <w:tr w14:paraId="060A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986" w:type="dxa"/>
            <w:vAlign w:val="center"/>
          </w:tcPr>
          <w:p w14:paraId="1B70D7D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lang w:val="zh-CN"/>
              </w:rPr>
              <w:t>99</w:t>
            </w:r>
            <w:r>
              <w:rPr>
                <w:rFonts w:ascii="Times New Roman" w:hAnsi="Times New Roman" w:eastAsia="方正仿宋_GBK"/>
                <w:bCs/>
                <w:color w:val="000000" w:themeColor="text1"/>
                <w:spacing w:val="-2"/>
                <w:kern w:val="0"/>
                <w:szCs w:val="21"/>
                <w:lang w:val="zh-CN"/>
              </w:rPr>
              <w:t>.</w:t>
            </w:r>
            <w:r>
              <w:rPr>
                <w:rFonts w:ascii="Times New Roman" w:hAnsi="Times New Roman" w:eastAsia="方正仿宋_GBK"/>
                <w:bCs/>
                <w:color w:val="000000" w:themeColor="text1"/>
                <w:spacing w:val="-2"/>
                <w:kern w:val="0"/>
                <w:szCs w:val="21"/>
              </w:rPr>
              <w:t>全面落实优化营商环境条例，对标世行营商环境评价标准，营造法治化国际化便利化的营商环境。</w:t>
            </w:r>
          </w:p>
        </w:tc>
        <w:tc>
          <w:tcPr>
            <w:tcW w:w="850" w:type="dxa"/>
            <w:vAlign w:val="center"/>
          </w:tcPr>
          <w:p w14:paraId="5B2E20D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50FDAEA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tc>
        <w:tc>
          <w:tcPr>
            <w:tcW w:w="1559" w:type="dxa"/>
            <w:vAlign w:val="center"/>
          </w:tcPr>
          <w:p w14:paraId="4020BC6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w:t>
            </w:r>
          </w:p>
        </w:tc>
        <w:tc>
          <w:tcPr>
            <w:tcW w:w="4111" w:type="dxa"/>
          </w:tcPr>
          <w:p w14:paraId="6CC9259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成立了优化营商环境工作领导小组，立足我县实际印发了《城口县营商环境优化提升工作方案》，为贯彻落实市级部署，又拟定了秘密件《城口县对标国际先进营商环境工作推进方案》、《城口县对标国际先进优化营商环境培训工作方案》派发给各指标部门，同时广泛印发了《城口县社会投资小型低风险建设项目审批服务改革工作方案》。目前正会同相关部门积极筹备营商环境考核工作。</w:t>
            </w:r>
          </w:p>
        </w:tc>
        <w:tc>
          <w:tcPr>
            <w:tcW w:w="2576" w:type="dxa"/>
            <w:vAlign w:val="center"/>
          </w:tcPr>
          <w:p w14:paraId="17356C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一是清单制度不建全。二是部分系统未对接。三是一窗受理未完全实现。四是宣传力度需加强。</w:t>
            </w:r>
          </w:p>
          <w:p w14:paraId="38B8B68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480A7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一是会同县级相关部门全力做好营商环境考核工作；二是全面深化“一窗受理、集成服务”；三是加快推进政务服务大厅迁建工作；四是持续加强营商环境宣传培训。</w:t>
            </w:r>
          </w:p>
        </w:tc>
      </w:tr>
      <w:tr w14:paraId="28C2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986" w:type="dxa"/>
            <w:vAlign w:val="center"/>
          </w:tcPr>
          <w:p w14:paraId="26B76DC4">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bCs/>
                <w:spacing w:val="-2"/>
                <w:kern w:val="0"/>
                <w:szCs w:val="21"/>
              </w:rPr>
              <w:t>100</w:t>
            </w:r>
            <w:r>
              <w:rPr>
                <w:rFonts w:ascii="Times New Roman" w:hAnsi="Times New Roman" w:eastAsia="方正仿宋_GBK"/>
                <w:bCs/>
                <w:spacing w:val="-2"/>
                <w:kern w:val="0"/>
                <w:szCs w:val="21"/>
              </w:rPr>
              <w:t>.深化</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放管服</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改革，持续提升政务效能，实现80%以上政务服务事项</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一窗受理</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、70%以上事项网上申办、100个高频事项即时办结，办事材料再减少30%以上，建筑施工许可材料、办理时限再压减50%以上，开通水电气时限再压缩50%以上。</w:t>
            </w:r>
          </w:p>
        </w:tc>
        <w:tc>
          <w:tcPr>
            <w:tcW w:w="850" w:type="dxa"/>
            <w:vAlign w:val="center"/>
          </w:tcPr>
          <w:p w14:paraId="6AEC0F83">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陈光辉</w:t>
            </w:r>
          </w:p>
        </w:tc>
        <w:tc>
          <w:tcPr>
            <w:tcW w:w="1134" w:type="dxa"/>
            <w:vAlign w:val="center"/>
          </w:tcPr>
          <w:p w14:paraId="5D195CFA">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w:t>
            </w:r>
            <w:r>
              <w:rPr>
                <w:rFonts w:hint="eastAsia" w:ascii="Times New Roman" w:hAnsi="Times New Roman" w:eastAsia="方正仿宋_GBK"/>
                <w:spacing w:val="-2"/>
                <w:szCs w:val="21"/>
              </w:rPr>
              <w:t>政务服务中心</w:t>
            </w:r>
          </w:p>
        </w:tc>
        <w:tc>
          <w:tcPr>
            <w:tcW w:w="1559" w:type="dxa"/>
            <w:vAlign w:val="center"/>
          </w:tcPr>
          <w:p w14:paraId="7256DE35">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县政府有关部门</w:t>
            </w:r>
          </w:p>
        </w:tc>
        <w:tc>
          <w:tcPr>
            <w:tcW w:w="4111" w:type="dxa"/>
          </w:tcPr>
          <w:p w14:paraId="364D3DB0">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一是全面规范事项清单。县级各部门和乡镇（街道）对照政务服务事项清单，严格落实市政府“四级四同”的事项清理规范要求，取消行政权力设立依据不足、与改革精神不符、与实际工作脱节的 106 项行政权力事项，对我县行政审批中介服务事项进行全面清理，形成了《城口保留为行政审批必要条件的中介服务事项清单（2020年版)》，保留了22项为行政审批必要条件的中介服务事项。依托重庆市一体化政务服务平台固化领取县级政务服务事项5280项，委托下放乡镇（街道）政务服务事项278项；针对依申请行使的6类行政权力和公共服务办理类事项，县级各部门配置流程表单1309项，乡镇（街道）配置流程表单135项。二是强化事项入驻。28个县级部门和单位对照政务服务事项清单明确1136项办理类政务服务事项入驻县政务服务中心，占县级办理类政务服务事项的86.8%； 25个乡镇（街道）已全部明确乡镇层级80%以上的办理类政务服务事项集中入驻到公共服务中心，完成了市政府要求80%以上的办理类政务服务事项集中入驻各级中心的要求。三是行政许可时限压缩率大幅提升。全县各级各部门本着进一步提升办事效率的原则，按照市级精简要求，已完成行政许可承诺时限较法定时限平均减少50%以上的目标，时限压缩率达到50.3%，较上年的35.4%增长了14.9个百分点。</w:t>
            </w:r>
          </w:p>
        </w:tc>
        <w:tc>
          <w:tcPr>
            <w:tcW w:w="2576" w:type="dxa"/>
            <w:vAlign w:val="center"/>
          </w:tcPr>
          <w:p w14:paraId="3AA64FC3">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70%政务服务事项网上申办暂时未达到。</w:t>
            </w:r>
          </w:p>
        </w:tc>
        <w:tc>
          <w:tcPr>
            <w:tcW w:w="3827" w:type="dxa"/>
            <w:vAlign w:val="center"/>
          </w:tcPr>
          <w:p w14:paraId="44B9391C">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开展政务服务“网上办”摸底清理工作，配合县纪委监督，大力查处网上可办率不高、单位内部收件等“体外循环”违规行为。</w:t>
            </w:r>
          </w:p>
        </w:tc>
      </w:tr>
      <w:tr w14:paraId="2280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1986" w:type="dxa"/>
            <w:vAlign w:val="center"/>
          </w:tcPr>
          <w:p w14:paraId="40E188C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101</w:t>
            </w:r>
            <w:r>
              <w:rPr>
                <w:rFonts w:ascii="Times New Roman" w:hAnsi="Times New Roman" w:eastAsia="方正仿宋_GBK"/>
                <w:color w:val="000000" w:themeColor="text1"/>
                <w:spacing w:val="-2"/>
                <w:kern w:val="0"/>
                <w:szCs w:val="21"/>
              </w:rPr>
              <w:t>.推</w:t>
            </w:r>
            <w:r>
              <w:rPr>
                <w:rFonts w:hint="eastAsia" w:ascii="Times New Roman" w:hAnsi="Times New Roman" w:eastAsia="方正仿宋_GBK"/>
                <w:color w:val="000000" w:themeColor="text1"/>
                <w:spacing w:val="-2"/>
                <w:kern w:val="0"/>
                <w:szCs w:val="21"/>
              </w:rPr>
              <w:t>行“</w:t>
            </w:r>
            <w:r>
              <w:rPr>
                <w:rFonts w:ascii="Times New Roman" w:hAnsi="Times New Roman" w:eastAsia="方正仿宋_GBK"/>
                <w:color w:val="000000" w:themeColor="text1"/>
                <w:spacing w:val="-2"/>
                <w:kern w:val="0"/>
                <w:szCs w:val="21"/>
              </w:rPr>
              <w:t>渝快办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服务，</w:t>
            </w:r>
            <w:r>
              <w:rPr>
                <w:rFonts w:hint="eastAsia" w:ascii="Times New Roman" w:hAnsi="Times New Roman" w:eastAsia="方正仿宋_GBK"/>
                <w:color w:val="000000" w:themeColor="text1"/>
                <w:spacing w:val="-2"/>
                <w:kern w:val="0"/>
                <w:szCs w:val="21"/>
              </w:rPr>
              <w:t>落实马上办工作机制，</w:t>
            </w:r>
            <w:r>
              <w:rPr>
                <w:rFonts w:ascii="Times New Roman" w:hAnsi="Times New Roman" w:eastAsia="方正仿宋_GBK"/>
                <w:color w:val="000000" w:themeColor="text1"/>
                <w:spacing w:val="-2"/>
                <w:kern w:val="0"/>
                <w:szCs w:val="21"/>
              </w:rPr>
              <w:t>健全政务服务好差评制度</w:t>
            </w:r>
            <w:r>
              <w:rPr>
                <w:rFonts w:hint="eastAsia" w:ascii="Times New Roman" w:hAnsi="Times New Roman" w:eastAsia="方正仿宋_GBK"/>
                <w:color w:val="000000" w:themeColor="text1"/>
                <w:spacing w:val="-2"/>
                <w:kern w:val="0"/>
                <w:szCs w:val="21"/>
              </w:rPr>
              <w:t>。</w:t>
            </w:r>
          </w:p>
        </w:tc>
        <w:tc>
          <w:tcPr>
            <w:tcW w:w="850" w:type="dxa"/>
            <w:vAlign w:val="center"/>
          </w:tcPr>
          <w:p w14:paraId="6C3E9CB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1D136D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政务服务中心</w:t>
            </w:r>
          </w:p>
        </w:tc>
        <w:tc>
          <w:tcPr>
            <w:tcW w:w="1559" w:type="dxa"/>
            <w:vAlign w:val="center"/>
          </w:tcPr>
          <w:p w14:paraId="10A4D14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w:t>
            </w:r>
          </w:p>
        </w:tc>
        <w:tc>
          <w:tcPr>
            <w:tcW w:w="4111" w:type="dxa"/>
          </w:tcPr>
          <w:p w14:paraId="1551AE0C">
            <w:pPr>
              <w:widowControl/>
              <w:spacing w:line="240" w:lineRule="exact"/>
              <w:jc w:val="left"/>
              <w:rPr>
                <w:rFonts w:ascii="Times New Roman" w:hAnsi="Times New Roman" w:eastAsia="方正仿宋_GBK"/>
                <w:color w:val="000000" w:themeColor="text1"/>
                <w:spacing w:val="-2"/>
                <w:kern w:val="0"/>
                <w:szCs w:val="21"/>
              </w:rPr>
            </w:pPr>
          </w:p>
          <w:p w14:paraId="3658F5F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印发了《关于持续做好“渝快办”宣传推广工作的通知》，对线上线下的宣传推广工作进行了安排部署，编制“渝快办”宣传资料(动漫演示、操作规范)和化营商环境宣传标语3000份分发到相关单位和各乡镇（街道），并在县级媒体和公共场所进行宣传。二是以评价、反馈、改进、监督、考核等为主要内容，制定政务服务“好差评”评价制度，并通过重庆市一体化政务服务平台完成了“好差评”的基础配置，目前已开展政务服务“好差评”1434次，其中非常满意159次，满意5次，基本满意1270次。</w:t>
            </w:r>
          </w:p>
        </w:tc>
        <w:tc>
          <w:tcPr>
            <w:tcW w:w="2576" w:type="dxa"/>
          </w:tcPr>
          <w:p w14:paraId="7346E193">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3E389B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积极配合市级优化完善“渝快办”各板块服务功能。以“办事不出村”网格代办为契机，加强“渝快办”政务APP宣传推广使用。二是在现有“好差评”制度和基础配置的基础上，进一步提升现场评价、大厅智能化、便利化水平，不断完善政务服务“好差评”体系，有效运用督查手段推动政务服务工作落到实处。</w:t>
            </w:r>
          </w:p>
          <w:p w14:paraId="1C55D69F">
            <w:pPr>
              <w:widowControl/>
              <w:spacing w:line="240" w:lineRule="exact"/>
              <w:jc w:val="left"/>
              <w:rPr>
                <w:rFonts w:ascii="Times New Roman" w:hAnsi="Times New Roman" w:eastAsia="方正仿宋_GBK"/>
                <w:color w:val="000000" w:themeColor="text1"/>
                <w:spacing w:val="-2"/>
                <w:kern w:val="0"/>
                <w:szCs w:val="21"/>
              </w:rPr>
            </w:pPr>
          </w:p>
        </w:tc>
      </w:tr>
      <w:tr w14:paraId="3FF0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986" w:type="dxa"/>
            <w:vAlign w:val="center"/>
          </w:tcPr>
          <w:p w14:paraId="01CCB21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102</w:t>
            </w:r>
            <w:r>
              <w:rPr>
                <w:rFonts w:ascii="Times New Roman" w:hAnsi="Times New Roman" w:eastAsia="方正仿宋_GBK"/>
                <w:color w:val="000000" w:themeColor="text1"/>
                <w:spacing w:val="-2"/>
                <w:kern w:val="0"/>
                <w:szCs w:val="21"/>
              </w:rPr>
              <w:t>.加快政务服务大厅建设。</w:t>
            </w:r>
          </w:p>
        </w:tc>
        <w:tc>
          <w:tcPr>
            <w:tcW w:w="850" w:type="dxa"/>
            <w:vAlign w:val="center"/>
          </w:tcPr>
          <w:p w14:paraId="5C9D12B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73610532">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政务服务中心</w:t>
            </w:r>
          </w:p>
        </w:tc>
        <w:tc>
          <w:tcPr>
            <w:tcW w:w="1559" w:type="dxa"/>
            <w:vAlign w:val="center"/>
          </w:tcPr>
          <w:p w14:paraId="09B7BB4C">
            <w:pPr>
              <w:spacing w:line="240" w:lineRule="exact"/>
              <w:jc w:val="center"/>
              <w:rPr>
                <w:rFonts w:ascii="Times New Roman" w:hAnsi="Times New Roman"/>
                <w:color w:val="000000" w:themeColor="text1"/>
                <w:szCs w:val="21"/>
              </w:rPr>
            </w:pPr>
            <w:r>
              <w:rPr>
                <w:rFonts w:hint="eastAsia" w:ascii="Times New Roman" w:hAnsi="Times New Roman" w:eastAsia="方正仿宋_GBK"/>
                <w:color w:val="000000" w:themeColor="text1"/>
                <w:spacing w:val="-2"/>
                <w:kern w:val="0"/>
                <w:szCs w:val="21"/>
              </w:rPr>
              <w:t>县政务有关部门</w:t>
            </w:r>
          </w:p>
        </w:tc>
        <w:tc>
          <w:tcPr>
            <w:tcW w:w="4111" w:type="dxa"/>
          </w:tcPr>
          <w:p w14:paraId="48DFAC5D">
            <w:pPr>
              <w:widowControl/>
              <w:spacing w:line="240" w:lineRule="exact"/>
              <w:jc w:val="left"/>
              <w:rPr>
                <w:rFonts w:ascii="Times New Roman" w:hAnsi="Times New Roman" w:eastAsia="方正仿宋_GBK"/>
                <w:color w:val="000000" w:themeColor="text1"/>
                <w:spacing w:val="-2"/>
                <w:kern w:val="0"/>
                <w:szCs w:val="21"/>
              </w:rPr>
            </w:pPr>
          </w:p>
          <w:p w14:paraId="0094F6C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委托第三方机构编制了《城口县政务服务大厅迁建可行性研究报告》，已召集相关单位研究了2次。3月28日，大厅迁建项目已通过重庆市投资项目在线监管服务平台取得了项目代码。</w:t>
            </w:r>
          </w:p>
        </w:tc>
        <w:tc>
          <w:tcPr>
            <w:tcW w:w="2576" w:type="dxa"/>
            <w:vAlign w:val="center"/>
          </w:tcPr>
          <w:p w14:paraId="7CFA512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建设地点一直未能确定。</w:t>
            </w:r>
          </w:p>
          <w:p w14:paraId="5C62D7F2">
            <w:pPr>
              <w:widowControl/>
              <w:spacing w:line="240" w:lineRule="exact"/>
              <w:jc w:val="left"/>
              <w:rPr>
                <w:rFonts w:ascii="Times New Roman" w:hAnsi="Times New Roman" w:eastAsia="方正仿宋_GBK"/>
                <w:color w:val="000000" w:themeColor="text1"/>
                <w:spacing w:val="-2"/>
                <w:kern w:val="0"/>
                <w:szCs w:val="21"/>
              </w:rPr>
            </w:pPr>
          </w:p>
          <w:p w14:paraId="22EE36E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239664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调研论证，多方选址、优化方案，争取资金。</w:t>
            </w:r>
          </w:p>
          <w:p w14:paraId="5A118514">
            <w:pPr>
              <w:widowControl/>
              <w:spacing w:line="240" w:lineRule="exact"/>
              <w:jc w:val="left"/>
              <w:rPr>
                <w:rFonts w:ascii="Times New Roman" w:hAnsi="Times New Roman" w:eastAsia="方正仿宋_GBK"/>
                <w:color w:val="000000" w:themeColor="text1"/>
                <w:spacing w:val="-2"/>
                <w:kern w:val="0"/>
                <w:szCs w:val="21"/>
              </w:rPr>
            </w:pPr>
          </w:p>
        </w:tc>
      </w:tr>
      <w:tr w14:paraId="33DB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986" w:type="dxa"/>
            <w:vAlign w:val="center"/>
          </w:tcPr>
          <w:p w14:paraId="4AF9CF0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103</w:t>
            </w:r>
            <w:r>
              <w:rPr>
                <w:rFonts w:ascii="Times New Roman" w:hAnsi="Times New Roman" w:eastAsia="方正仿宋_GBK"/>
                <w:color w:val="000000" w:themeColor="text1"/>
                <w:spacing w:val="-2"/>
                <w:kern w:val="0"/>
                <w:szCs w:val="21"/>
              </w:rPr>
              <w:t>.深化商事制度改革，加强公平竞争审查和市场监管执法，加快推进社会信用体系建设，完善</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信用承诺制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红黑名单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制度，构建以信用为基础的新型监管机制，营造平等使用资源要素、公开公平公正参与竞争、同等受法律保护的市场环境。</w:t>
            </w:r>
          </w:p>
        </w:tc>
        <w:tc>
          <w:tcPr>
            <w:tcW w:w="850" w:type="dxa"/>
            <w:vAlign w:val="center"/>
          </w:tcPr>
          <w:p w14:paraId="4289540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72F407A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32D6391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7193150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县市场监管局</w:t>
            </w:r>
          </w:p>
        </w:tc>
        <w:tc>
          <w:tcPr>
            <w:tcW w:w="1559" w:type="dxa"/>
            <w:vAlign w:val="center"/>
          </w:tcPr>
          <w:p w14:paraId="6D69403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6B2E54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按照职能职责，牵头推进社会信用体系建设，拟定《关于加快推进社会信用体系建设构建以信用为基础的新型监管机制的实施意见》（待履行印发程序后印发）。二是充分利用好信用·城口平台，督促有关部门推进失信企业联合惩戒；加强市场主体经营异常名录管理。完善信用约束机制，强化信用信息征信，为各类市场主体信用评价提供依据。三是持续深化商事制度改革，强化市场监管执法，按照相关文件要求持续推进公平竞争审查工作。</w:t>
            </w:r>
          </w:p>
        </w:tc>
        <w:tc>
          <w:tcPr>
            <w:tcW w:w="2576" w:type="dxa"/>
            <w:vAlign w:val="center"/>
          </w:tcPr>
          <w:p w14:paraId="4F6D920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一是信用承诺工作全市将推行统一模板，但相关文件还未下发，此项工作未完全铺开。二是商事制度改革、公平竞争审查、市场监管执法、社会信用体系建设等都是系统性的工作，需要进一步加强协作。</w:t>
            </w:r>
          </w:p>
          <w:p w14:paraId="50B1DCBB">
            <w:pPr>
              <w:widowControl/>
              <w:spacing w:line="240" w:lineRule="exact"/>
              <w:jc w:val="left"/>
              <w:rPr>
                <w:rFonts w:ascii="Times New Roman" w:hAnsi="Times New Roman" w:eastAsia="方正仿宋_GBK"/>
                <w:color w:val="000000" w:themeColor="text1"/>
                <w:spacing w:val="-2"/>
                <w:kern w:val="0"/>
                <w:szCs w:val="21"/>
              </w:rPr>
            </w:pPr>
          </w:p>
          <w:p w14:paraId="3283251D">
            <w:pPr>
              <w:widowControl/>
              <w:spacing w:line="240" w:lineRule="exact"/>
              <w:jc w:val="left"/>
              <w:rPr>
                <w:rFonts w:ascii="Times New Roman" w:hAnsi="Times New Roman" w:eastAsia="方正仿宋_GBK"/>
                <w:color w:val="000000" w:themeColor="text1"/>
                <w:spacing w:val="-2"/>
                <w:kern w:val="0"/>
                <w:szCs w:val="21"/>
              </w:rPr>
            </w:pPr>
          </w:p>
          <w:p w14:paraId="27FB0A4C">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8FBC07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按照全市2020年社会信用体系建设工作要点及市级相关工作落实具体工作。二是按照上级要求落实商事制度改革。以优化营商环境建立公平有序的市场竞争秩序为导向，加强对各类规范性文件的公平竞争审查。</w:t>
            </w:r>
          </w:p>
          <w:p w14:paraId="7D481800">
            <w:pPr>
              <w:widowControl/>
              <w:spacing w:line="240" w:lineRule="exact"/>
              <w:jc w:val="left"/>
              <w:rPr>
                <w:rFonts w:ascii="Times New Roman" w:hAnsi="Times New Roman" w:eastAsia="方正仿宋_GBK"/>
                <w:color w:val="000000" w:themeColor="text1"/>
                <w:spacing w:val="-2"/>
                <w:kern w:val="0"/>
                <w:szCs w:val="21"/>
              </w:rPr>
            </w:pPr>
          </w:p>
          <w:p w14:paraId="7F8A0049">
            <w:pPr>
              <w:widowControl/>
              <w:spacing w:line="240" w:lineRule="exact"/>
              <w:jc w:val="left"/>
              <w:rPr>
                <w:rFonts w:ascii="Times New Roman" w:hAnsi="Times New Roman" w:eastAsia="方正仿宋_GBK"/>
                <w:color w:val="000000" w:themeColor="text1"/>
                <w:spacing w:val="-2"/>
                <w:kern w:val="0"/>
                <w:szCs w:val="21"/>
              </w:rPr>
            </w:pPr>
          </w:p>
          <w:p w14:paraId="1A19D051">
            <w:pPr>
              <w:widowControl/>
              <w:spacing w:line="240" w:lineRule="exact"/>
              <w:jc w:val="left"/>
              <w:rPr>
                <w:rFonts w:ascii="Times New Roman" w:hAnsi="Times New Roman" w:eastAsia="方正仿宋_GBK"/>
                <w:color w:val="000000" w:themeColor="text1"/>
                <w:spacing w:val="-2"/>
                <w:kern w:val="0"/>
                <w:szCs w:val="21"/>
              </w:rPr>
            </w:pPr>
          </w:p>
          <w:p w14:paraId="3EE9C725">
            <w:pPr>
              <w:widowControl/>
              <w:spacing w:line="240" w:lineRule="exact"/>
              <w:jc w:val="left"/>
              <w:rPr>
                <w:rFonts w:ascii="Times New Roman" w:hAnsi="Times New Roman" w:eastAsia="方正仿宋_GBK"/>
                <w:color w:val="000000" w:themeColor="text1"/>
                <w:spacing w:val="-2"/>
                <w:kern w:val="0"/>
                <w:szCs w:val="21"/>
              </w:rPr>
            </w:pPr>
          </w:p>
          <w:p w14:paraId="3A9AB5E2">
            <w:pPr>
              <w:widowControl/>
              <w:spacing w:line="240" w:lineRule="exact"/>
              <w:jc w:val="left"/>
              <w:rPr>
                <w:rFonts w:ascii="Times New Roman" w:hAnsi="Times New Roman" w:eastAsia="方正仿宋_GBK"/>
                <w:color w:val="000000" w:themeColor="text1"/>
                <w:spacing w:val="-2"/>
                <w:kern w:val="0"/>
                <w:szCs w:val="21"/>
              </w:rPr>
            </w:pPr>
          </w:p>
        </w:tc>
      </w:tr>
      <w:tr w14:paraId="480E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1986" w:type="dxa"/>
            <w:vAlign w:val="center"/>
          </w:tcPr>
          <w:p w14:paraId="2AB383FC">
            <w:pPr>
              <w:widowControl/>
              <w:spacing w:line="240" w:lineRule="exact"/>
              <w:rPr>
                <w:rFonts w:ascii="Times New Roman" w:hAnsi="Times New Roman" w:eastAsia="方正仿宋_GBK"/>
                <w:b/>
                <w:color w:val="000000" w:themeColor="text1"/>
                <w:spacing w:val="-2"/>
                <w:kern w:val="0"/>
                <w:szCs w:val="21"/>
              </w:rPr>
            </w:pPr>
            <w:r>
              <w:rPr>
                <w:rFonts w:hint="eastAsia" w:ascii="Times New Roman" w:hAnsi="Times New Roman" w:eastAsia="方正仿宋_GBK"/>
                <w:color w:val="000000" w:themeColor="text1"/>
                <w:spacing w:val="-2"/>
                <w:kern w:val="0"/>
                <w:szCs w:val="21"/>
              </w:rPr>
              <w:t>104</w:t>
            </w:r>
            <w:r>
              <w:rPr>
                <w:rFonts w:ascii="Times New Roman" w:hAnsi="Times New Roman" w:eastAsia="方正仿宋_GBK"/>
                <w:color w:val="000000" w:themeColor="text1"/>
                <w:spacing w:val="-2"/>
                <w:kern w:val="0"/>
                <w:szCs w:val="21"/>
              </w:rPr>
              <w:t>.深化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亲</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清</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新型政商关系，清理规范中介服务，打击非法侵害企业和企业家合法权益、扰乱企业正常经营秩序等行为，构建重商、安商、护商的社会环境。</w:t>
            </w:r>
          </w:p>
        </w:tc>
        <w:tc>
          <w:tcPr>
            <w:tcW w:w="850" w:type="dxa"/>
            <w:vAlign w:val="center"/>
          </w:tcPr>
          <w:p w14:paraId="03FCD7A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1F14F92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5BB8424F">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p w14:paraId="6E08481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县公安局</w:t>
            </w:r>
          </w:p>
        </w:tc>
        <w:tc>
          <w:tcPr>
            <w:tcW w:w="1559" w:type="dxa"/>
            <w:vAlign w:val="center"/>
          </w:tcPr>
          <w:p w14:paraId="09BE75F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562AC7A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一是严格执行《重庆市招标代理机构及从业人员管理暂行办法》，坚决打击弄虚作假，设置评标陷阱等行为。二是强化联合奖惩工作落实，督促各行业主管部门对信用信息应进必进，做到逢办必查。</w:t>
            </w:r>
          </w:p>
          <w:p w14:paraId="48FC72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共排查企业方面的矛盾纠纷12起，目前已经化解10起，继续化解2起，查处扰乱企事业单位秩序案件4起，刑事拘留2人，治安拘留4人，罚款1人，在户口政策方面，帮助企业留住人才，迁移户口0人（疫情期间暂无该方面的数据）；暂无涉企刑事案件。疫情防控期间，县公安局一方面抓实抓细疫情防控，另一方面结合“百万警进千万家”、新春走访联系民营企业专项工作，主动对有复工需求的企业开展上门走访，督促企业加强自身进出车辆、人员的排查工作。</w:t>
            </w:r>
          </w:p>
        </w:tc>
        <w:tc>
          <w:tcPr>
            <w:tcW w:w="2576" w:type="dxa"/>
            <w:vAlign w:val="center"/>
          </w:tcPr>
          <w:p w14:paraId="564A7A1B">
            <w:pPr>
              <w:widowControl/>
              <w:adjustRightInd w:val="0"/>
              <w:snapToGrid w:val="0"/>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社会信用体系建设是一项系统的工作，需要进一步加强协作配合。</w:t>
            </w:r>
          </w:p>
        </w:tc>
        <w:tc>
          <w:tcPr>
            <w:tcW w:w="3827" w:type="dxa"/>
            <w:vAlign w:val="center"/>
          </w:tcPr>
          <w:p w14:paraId="67C1BF2B">
            <w:pPr>
              <w:widowControl/>
              <w:adjustRightInd w:val="0"/>
              <w:snapToGrid w:val="0"/>
              <w:spacing w:line="240" w:lineRule="exact"/>
              <w:jc w:val="left"/>
              <w:rPr>
                <w:rFonts w:ascii="Times New Roman" w:hAnsi="Times New Roman" w:eastAsia="方正仿宋_GBK"/>
                <w:color w:val="000000" w:themeColor="text1"/>
                <w:spacing w:val="-2"/>
                <w:kern w:val="0"/>
                <w:szCs w:val="21"/>
              </w:rPr>
            </w:pPr>
          </w:p>
          <w:p w14:paraId="210DEC62">
            <w:pPr>
              <w:widowControl/>
              <w:adjustRightInd w:val="0"/>
              <w:snapToGrid w:val="0"/>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督促各行业制定分级监管制度，依法依规整合各类信用信息，对市场主体开展全覆盖、标准化、公益性的公共信用综合评价和行业评价为主要依据，充分采用第三方信用服务机构和行业协会商会的评价结果，建立行业信用评价模型，根据信用等级高低采取差异化的监管措施，增强诚信自律意识，规范从业行为。</w:t>
            </w:r>
          </w:p>
          <w:p w14:paraId="51EB0857">
            <w:pPr>
              <w:widowControl/>
              <w:adjustRightInd w:val="0"/>
              <w:snapToGrid w:val="0"/>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1、严厉惩治侵犯民营企业合法权益的违法犯罪行为；2、加大民营企业知识产权保护力度3、加强民营企业及周边治安管理和安全防范；4、继续加大企业方面的矛盾纠纷排查力度，重点化解难度较大的企业矛盾纠纷，建立涉民营企业矛盾纠纷联调工作机制。</w:t>
            </w:r>
          </w:p>
          <w:p w14:paraId="3B591115">
            <w:pPr>
              <w:widowControl/>
              <w:adjustRightInd w:val="0"/>
              <w:snapToGrid w:val="0"/>
              <w:spacing w:line="240" w:lineRule="exact"/>
              <w:jc w:val="left"/>
              <w:rPr>
                <w:rFonts w:ascii="Times New Roman" w:hAnsi="Times New Roman" w:eastAsia="方正仿宋_GBK"/>
                <w:color w:val="000000" w:themeColor="text1"/>
                <w:spacing w:val="-2"/>
                <w:kern w:val="0"/>
                <w:szCs w:val="21"/>
              </w:rPr>
            </w:pPr>
          </w:p>
          <w:p w14:paraId="356CA7C3">
            <w:pPr>
              <w:widowControl/>
              <w:adjustRightInd w:val="0"/>
              <w:snapToGrid w:val="0"/>
              <w:spacing w:line="240" w:lineRule="exact"/>
              <w:jc w:val="left"/>
              <w:rPr>
                <w:rFonts w:ascii="Times New Roman" w:hAnsi="Times New Roman" w:eastAsia="方正仿宋_GBK"/>
                <w:color w:val="000000" w:themeColor="text1"/>
                <w:spacing w:val="-2"/>
                <w:kern w:val="0"/>
                <w:szCs w:val="21"/>
              </w:rPr>
            </w:pPr>
          </w:p>
        </w:tc>
      </w:tr>
      <w:tr w14:paraId="740F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6" w:type="dxa"/>
            <w:vAlign w:val="center"/>
          </w:tcPr>
          <w:p w14:paraId="061C030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105</w:t>
            </w:r>
            <w:r>
              <w:rPr>
                <w:rFonts w:ascii="Times New Roman" w:hAnsi="Times New Roman" w:eastAsia="方正仿宋_GBK"/>
                <w:bCs/>
                <w:color w:val="000000" w:themeColor="text1"/>
                <w:spacing w:val="-2"/>
                <w:kern w:val="0"/>
                <w:szCs w:val="21"/>
              </w:rPr>
              <w:t>.</w:t>
            </w:r>
            <w:r>
              <w:rPr>
                <w:rFonts w:ascii="Times New Roman" w:hAnsi="Times New Roman" w:eastAsia="方正仿宋_GBK"/>
                <w:color w:val="000000" w:themeColor="text1"/>
                <w:spacing w:val="-2"/>
                <w:kern w:val="0"/>
                <w:szCs w:val="21"/>
              </w:rPr>
              <w:t>规范涉企执法检查</w:t>
            </w:r>
            <w:r>
              <w:rPr>
                <w:rFonts w:hint="eastAsia" w:ascii="Times New Roman" w:hAnsi="Times New Roman" w:eastAsia="方正仿宋_GBK"/>
                <w:color w:val="000000" w:themeColor="text1"/>
                <w:spacing w:val="-2"/>
                <w:kern w:val="0"/>
                <w:szCs w:val="21"/>
              </w:rPr>
              <w:t>。</w:t>
            </w:r>
          </w:p>
        </w:tc>
        <w:tc>
          <w:tcPr>
            <w:tcW w:w="850" w:type="dxa"/>
            <w:vAlign w:val="center"/>
          </w:tcPr>
          <w:p w14:paraId="00EB7C8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18736FB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县市场监管局</w:t>
            </w:r>
          </w:p>
        </w:tc>
        <w:tc>
          <w:tcPr>
            <w:tcW w:w="1559" w:type="dxa"/>
            <w:vAlign w:val="center"/>
          </w:tcPr>
          <w:p w14:paraId="076596E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县司法局</w:t>
            </w:r>
          </w:p>
        </w:tc>
        <w:tc>
          <w:tcPr>
            <w:tcW w:w="4111" w:type="dxa"/>
            <w:vAlign w:val="center"/>
          </w:tcPr>
          <w:p w14:paraId="75AC2B6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w:t>
            </w:r>
          </w:p>
        </w:tc>
        <w:tc>
          <w:tcPr>
            <w:tcW w:w="2576" w:type="dxa"/>
            <w:vAlign w:val="center"/>
          </w:tcPr>
          <w:p w14:paraId="1A9BE2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一是执法机构改革尚未完成；二是执法装备缺乏。</w:t>
            </w:r>
          </w:p>
        </w:tc>
        <w:tc>
          <w:tcPr>
            <w:tcW w:w="3827" w:type="dxa"/>
          </w:tcPr>
          <w:p w14:paraId="1A0385D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一是开展行政执法规范化培训；</w:t>
            </w:r>
          </w:p>
          <w:p w14:paraId="035C52F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二是落贯“三项制度”；</w:t>
            </w:r>
          </w:p>
          <w:p w14:paraId="7AA9AB3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三是开展执法规范督查工作</w:t>
            </w:r>
          </w:p>
        </w:tc>
      </w:tr>
      <w:tr w14:paraId="2FD4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86" w:type="dxa"/>
            <w:vAlign w:val="center"/>
          </w:tcPr>
          <w:p w14:paraId="2E39F47A">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color w:val="000000" w:themeColor="text1"/>
                <w:spacing w:val="-2"/>
                <w:kern w:val="0"/>
                <w:szCs w:val="21"/>
              </w:rPr>
              <w:t>106.</w:t>
            </w:r>
            <w:r>
              <w:rPr>
                <w:rFonts w:ascii="Times New Roman" w:hAnsi="Times New Roman" w:eastAsia="方正仿宋_GBK"/>
                <w:color w:val="000000" w:themeColor="text1"/>
                <w:spacing w:val="-2"/>
                <w:kern w:val="0"/>
                <w:szCs w:val="21"/>
              </w:rPr>
              <w:t>公布涉企收费清单</w:t>
            </w:r>
            <w:r>
              <w:rPr>
                <w:rFonts w:hint="eastAsia" w:ascii="Times New Roman" w:hAnsi="Times New Roman" w:eastAsia="方正仿宋_GBK"/>
                <w:color w:val="000000" w:themeColor="text1"/>
                <w:spacing w:val="-2"/>
                <w:kern w:val="0"/>
                <w:szCs w:val="21"/>
              </w:rPr>
              <w:t>。</w:t>
            </w:r>
          </w:p>
        </w:tc>
        <w:tc>
          <w:tcPr>
            <w:tcW w:w="850" w:type="dxa"/>
            <w:vAlign w:val="center"/>
          </w:tcPr>
          <w:p w14:paraId="718F6D4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2E0417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tc>
        <w:tc>
          <w:tcPr>
            <w:tcW w:w="1559" w:type="dxa"/>
            <w:vAlign w:val="center"/>
          </w:tcPr>
          <w:p w14:paraId="36582C9F">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1811680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已在城口公众信息网公布。</w:t>
            </w:r>
          </w:p>
          <w:p w14:paraId="6054D8D6">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044742A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AB0B4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对于新增或调整的行政事业性收费项目，按照中央及市财政局、市发展改革委的相关文件规定执行并及时在公众信息网公布</w:t>
            </w:r>
          </w:p>
          <w:p w14:paraId="34FEA453">
            <w:pPr>
              <w:widowControl/>
              <w:spacing w:line="240" w:lineRule="exact"/>
              <w:jc w:val="left"/>
              <w:rPr>
                <w:rFonts w:ascii="Times New Roman" w:hAnsi="Times New Roman" w:eastAsia="方正仿宋_GBK"/>
                <w:color w:val="000000" w:themeColor="text1"/>
                <w:spacing w:val="-2"/>
                <w:kern w:val="0"/>
                <w:szCs w:val="21"/>
              </w:rPr>
            </w:pPr>
          </w:p>
        </w:tc>
      </w:tr>
      <w:tr w14:paraId="4C12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6" w:type="dxa"/>
            <w:vAlign w:val="center"/>
          </w:tcPr>
          <w:p w14:paraId="5042019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107.</w:t>
            </w:r>
            <w:r>
              <w:rPr>
                <w:rFonts w:ascii="Times New Roman" w:hAnsi="Times New Roman" w:eastAsia="方正仿宋_GBK"/>
                <w:color w:val="000000" w:themeColor="text1"/>
                <w:spacing w:val="-2"/>
                <w:kern w:val="0"/>
                <w:szCs w:val="21"/>
              </w:rPr>
              <w:t>营造依法执法、依法行政、依法经营的法治环境。</w:t>
            </w:r>
          </w:p>
        </w:tc>
        <w:tc>
          <w:tcPr>
            <w:tcW w:w="850" w:type="dxa"/>
            <w:vAlign w:val="center"/>
          </w:tcPr>
          <w:p w14:paraId="2B2C6E0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5AE1733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县司法局</w:t>
            </w:r>
          </w:p>
        </w:tc>
        <w:tc>
          <w:tcPr>
            <w:tcW w:w="1559" w:type="dxa"/>
            <w:vAlign w:val="center"/>
          </w:tcPr>
          <w:p w14:paraId="5C7E48EA">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FE3E9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县委依法治县办拟本月出台《县委全面依法治县委员会2020年工作要点》，其中，明确了2020年行政执法、依法行政、着力营造法治化营商环境等方面的重点工作任务。</w:t>
            </w:r>
          </w:p>
        </w:tc>
        <w:tc>
          <w:tcPr>
            <w:tcW w:w="2576" w:type="dxa"/>
            <w:vAlign w:val="center"/>
          </w:tcPr>
          <w:p w14:paraId="0BE2A74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因市级层面暂未出台2020年法治政府建设工作要点，县级层面不能对标对表出台全县2020年法治政府建设工作要点。</w:t>
            </w:r>
          </w:p>
        </w:tc>
        <w:tc>
          <w:tcPr>
            <w:tcW w:w="3827" w:type="dxa"/>
            <w:vAlign w:val="center"/>
          </w:tcPr>
          <w:p w14:paraId="7901D6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召开县委依法治县委员会第二次会议。印发《县委全面依法治县委员会2020年工作要点》，明确主要任务及分工，统筹推进全县2020年法治政府建设。</w:t>
            </w:r>
          </w:p>
        </w:tc>
      </w:tr>
      <w:tr w14:paraId="659C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F07B83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108</w:t>
            </w:r>
            <w:r>
              <w:rPr>
                <w:rFonts w:ascii="Times New Roman" w:hAnsi="Times New Roman" w:eastAsia="方正仿宋_GBK"/>
                <w:color w:val="000000" w:themeColor="text1"/>
                <w:spacing w:val="-2"/>
                <w:kern w:val="0"/>
                <w:szCs w:val="21"/>
              </w:rPr>
              <w:t>.全面落实支持民营企业改革发展意见、</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涉企减负30条</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制造业降本36条</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民营经济发展20条</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及减税降费政策，争取锰产业专项直供电政策增量延期，减轻企业发展负担、降低企业运营成本。</w:t>
            </w:r>
          </w:p>
        </w:tc>
        <w:tc>
          <w:tcPr>
            <w:tcW w:w="850" w:type="dxa"/>
            <w:vAlign w:val="center"/>
          </w:tcPr>
          <w:p w14:paraId="0719C28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40F72EE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95E6DC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p w14:paraId="16B6FD7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5A19F06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p w14:paraId="51A0078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县税务局</w:t>
            </w:r>
          </w:p>
        </w:tc>
        <w:tc>
          <w:tcPr>
            <w:tcW w:w="1559" w:type="dxa"/>
            <w:vAlign w:val="center"/>
          </w:tcPr>
          <w:p w14:paraId="7CE8209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w:t>
            </w:r>
          </w:p>
          <w:p w14:paraId="309DF1DE">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A95A0F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新冠肺炎对全县经济造成的影响进行全面分析，形成了《关于新冠肺炎疫情对全县经济社会发展影响及下一步工作建议的汇报》，张贴公布了《让利救市共克时艰—致全县广大业主（房东）朋友们的让租倡议书》，印发了《城口县支持企业复工复产和生产经营若干政策措施》。</w:t>
            </w:r>
          </w:p>
        </w:tc>
        <w:tc>
          <w:tcPr>
            <w:tcW w:w="2576" w:type="dxa"/>
          </w:tcPr>
          <w:p w14:paraId="6119B09C">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87AAFD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配合县督查考核办对市上40条政策进行督查。</w:t>
            </w:r>
          </w:p>
        </w:tc>
      </w:tr>
      <w:tr w14:paraId="0C22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86" w:type="dxa"/>
            <w:vAlign w:val="center"/>
          </w:tcPr>
          <w:p w14:paraId="0D9FC5F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109</w:t>
            </w:r>
            <w:r>
              <w:rPr>
                <w:rFonts w:ascii="Times New Roman" w:hAnsi="Times New Roman" w:eastAsia="方正仿宋_GBK"/>
                <w:color w:val="000000" w:themeColor="text1"/>
                <w:spacing w:val="-2"/>
                <w:kern w:val="0"/>
                <w:szCs w:val="21"/>
              </w:rPr>
              <w:t>.开展专项清欠行动，纠正拖欠民营企业款项行为。</w:t>
            </w:r>
          </w:p>
        </w:tc>
        <w:tc>
          <w:tcPr>
            <w:tcW w:w="850" w:type="dxa"/>
            <w:vAlign w:val="center"/>
          </w:tcPr>
          <w:p w14:paraId="3DFF612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7F5D670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5B46E49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w:t>
            </w:r>
          </w:p>
          <w:p w14:paraId="4791D6A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有关部门</w:t>
            </w:r>
          </w:p>
        </w:tc>
        <w:tc>
          <w:tcPr>
            <w:tcW w:w="4111" w:type="dxa"/>
            <w:vAlign w:val="center"/>
          </w:tcPr>
          <w:p w14:paraId="6D84D66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明确目标任务。印发《2020年做好清理拖欠民营企业中小企业账款的通知》，明确目标任务。二是全力推动清欠。2020年全县清欠任务为1579.55万元。截至3月31日，已清偿822.94万元，剩余欠款756.61万元，完成清欠任务的52.09%。</w:t>
            </w:r>
          </w:p>
        </w:tc>
        <w:tc>
          <w:tcPr>
            <w:tcW w:w="2576" w:type="dxa"/>
            <w:vAlign w:val="center"/>
          </w:tcPr>
          <w:p w14:paraId="05281B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一是龙田乡欠款69.86万元，为存在分歧欠款，该项目未完成审计结算。二是庙坝镇清偿进度缓慢，一季度清欠金额为零。</w:t>
            </w:r>
          </w:p>
        </w:tc>
        <w:tc>
          <w:tcPr>
            <w:tcW w:w="3827" w:type="dxa"/>
            <w:vAlign w:val="center"/>
          </w:tcPr>
          <w:p w14:paraId="20A90DE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督促各欠款部门加快清偿进度，督促龙田乡全力配合施工方加快进行项目审计决算，完善手续。</w:t>
            </w:r>
          </w:p>
        </w:tc>
      </w:tr>
      <w:tr w14:paraId="52BD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986" w:type="dxa"/>
            <w:vAlign w:val="center"/>
          </w:tcPr>
          <w:p w14:paraId="274891E8">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10</w:t>
            </w:r>
            <w:r>
              <w:rPr>
                <w:rFonts w:ascii="Times New Roman" w:hAnsi="Times New Roman" w:eastAsia="方正仿宋_GBK"/>
                <w:color w:val="000000" w:themeColor="text1"/>
                <w:spacing w:val="-2"/>
                <w:kern w:val="0"/>
                <w:szCs w:val="21"/>
              </w:rPr>
              <w:t>.整合财政贴息贴保及补助资金，优先扶持</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四上</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企业发展。</w:t>
            </w:r>
          </w:p>
          <w:p w14:paraId="3F4552E2">
            <w:pPr>
              <w:widowControl/>
              <w:spacing w:line="240" w:lineRule="exact"/>
              <w:rPr>
                <w:rFonts w:ascii="Times New Roman" w:hAnsi="Times New Roman" w:eastAsia="方正仿宋_GBK"/>
                <w:color w:val="000000" w:themeColor="text1"/>
                <w:spacing w:val="-2"/>
                <w:kern w:val="0"/>
                <w:szCs w:val="21"/>
              </w:rPr>
            </w:pPr>
          </w:p>
        </w:tc>
        <w:tc>
          <w:tcPr>
            <w:tcW w:w="850" w:type="dxa"/>
            <w:vAlign w:val="center"/>
          </w:tcPr>
          <w:p w14:paraId="22A52E5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0A99734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49DFF2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w:t>
            </w:r>
          </w:p>
          <w:p w14:paraId="67CBD5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有关部门</w:t>
            </w:r>
          </w:p>
        </w:tc>
        <w:tc>
          <w:tcPr>
            <w:tcW w:w="4111" w:type="dxa"/>
            <w:vAlign w:val="center"/>
          </w:tcPr>
          <w:p w14:paraId="50C70D3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国资科、农业科配合行业主管部门培育“四上企业”，争取市级资金支持“四上”企业发展。</w:t>
            </w:r>
          </w:p>
        </w:tc>
        <w:tc>
          <w:tcPr>
            <w:tcW w:w="2576" w:type="dxa"/>
            <w:vAlign w:val="center"/>
          </w:tcPr>
          <w:p w14:paraId="7DA0D53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我县“四上”企业规模小，争取资金的难度较大。</w:t>
            </w:r>
          </w:p>
        </w:tc>
        <w:tc>
          <w:tcPr>
            <w:tcW w:w="3827" w:type="dxa"/>
            <w:vAlign w:val="center"/>
          </w:tcPr>
          <w:p w14:paraId="233B34A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继续配合行业主管部门培育“四上”企业。</w:t>
            </w:r>
          </w:p>
        </w:tc>
      </w:tr>
      <w:tr w14:paraId="64B3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82C6809">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11</w:t>
            </w:r>
            <w:r>
              <w:rPr>
                <w:rFonts w:ascii="Times New Roman" w:hAnsi="Times New Roman" w:eastAsia="方正仿宋_GBK"/>
                <w:color w:val="000000" w:themeColor="text1"/>
                <w:spacing w:val="-2"/>
                <w:kern w:val="0"/>
                <w:szCs w:val="21"/>
              </w:rPr>
              <w:t>.鼓励金融机构创新金融产品，健全金融机构支持地方经济发展的激励机制，缓解中小微企业融资难、融资贵问题。</w:t>
            </w:r>
          </w:p>
        </w:tc>
        <w:tc>
          <w:tcPr>
            <w:tcW w:w="850" w:type="dxa"/>
            <w:vAlign w:val="center"/>
          </w:tcPr>
          <w:p w14:paraId="1B56BA9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31A4BEB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201B761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县财政局、人行城口县支行</w:t>
            </w:r>
          </w:p>
        </w:tc>
        <w:tc>
          <w:tcPr>
            <w:tcW w:w="4111" w:type="dxa"/>
            <w:vAlign w:val="center"/>
          </w:tcPr>
          <w:p w14:paraId="527F6A7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由财政出资8300万元建立了“大巴山森林人家”、“农业创投基金”、“增信贷”、“小额扶贫信贷”、“增信贷”等九支融资担保基金，各承贷银行按照一定比例发放贷款，主要支持我县中小微企业、新型农业经营主体、合作社等融资需求问题。截至目前，发放金融产品贷款共计5975笔65045.7万元，其中发放扶贫小额信贷5255笔25569.8万元；发放大巴山森林人家323笔12767.9万元，市农业担保贷款313笔9389万元, 市农担创业基金20笔2060万元。供销易贷贷款20笔5190万元；增信贷发放贷款34笔5099万元。二是会同县经济信息委、县财政局、县农业农村委、人行城口县支行县内银行等机构，为企业、部门、银行搭建了沟通平台，逐步建立良好的合作关系，提高了金融保险机构服务民营经济质量和水平，缓解中小微企业融资难、融资贵。</w:t>
            </w:r>
          </w:p>
        </w:tc>
        <w:tc>
          <w:tcPr>
            <w:tcW w:w="2576" w:type="dxa"/>
          </w:tcPr>
          <w:p w14:paraId="22E7A5D2">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573E1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与县人民政府、县财政局、人行城口支行、万州银保监分局等单位沟通，争取获得更多政策支持。继续鼓励县域银行创新金融产品，争取为民营企业提供更多产品服务，缓解民营企业融资难融资贵，进一步助力我县经济发展，完善金融市场体系。</w:t>
            </w:r>
          </w:p>
          <w:p w14:paraId="3EA2909D">
            <w:pPr>
              <w:widowControl/>
              <w:spacing w:line="240" w:lineRule="exact"/>
              <w:jc w:val="left"/>
              <w:rPr>
                <w:rFonts w:ascii="Times New Roman" w:hAnsi="Times New Roman" w:eastAsia="方正仿宋_GBK"/>
                <w:color w:val="000000" w:themeColor="text1"/>
                <w:spacing w:val="-2"/>
                <w:kern w:val="0"/>
                <w:szCs w:val="21"/>
              </w:rPr>
            </w:pPr>
          </w:p>
        </w:tc>
      </w:tr>
      <w:tr w14:paraId="46B5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986" w:type="dxa"/>
            <w:vAlign w:val="center"/>
          </w:tcPr>
          <w:p w14:paraId="1F9999EF">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12</w:t>
            </w:r>
            <w:r>
              <w:rPr>
                <w:rFonts w:ascii="Times New Roman" w:hAnsi="Times New Roman" w:eastAsia="方正仿宋_GBK"/>
                <w:color w:val="000000" w:themeColor="text1"/>
                <w:spacing w:val="-2"/>
                <w:kern w:val="0"/>
                <w:szCs w:val="21"/>
              </w:rPr>
              <w:t>.用好贫困县上市绿色通道，鼓励和引进企业上市直接融资。</w:t>
            </w:r>
          </w:p>
        </w:tc>
        <w:tc>
          <w:tcPr>
            <w:tcW w:w="850" w:type="dxa"/>
            <w:vAlign w:val="center"/>
          </w:tcPr>
          <w:p w14:paraId="4B68A13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FF12AD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481F085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县财政局、人行城口县支行</w:t>
            </w:r>
          </w:p>
        </w:tc>
        <w:tc>
          <w:tcPr>
            <w:tcW w:w="4111" w:type="dxa"/>
            <w:vAlign w:val="center"/>
          </w:tcPr>
          <w:p w14:paraId="2600988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加强与县经济信息委的沟通，争取企业在科创板上市。</w:t>
            </w:r>
          </w:p>
        </w:tc>
        <w:tc>
          <w:tcPr>
            <w:tcW w:w="2576" w:type="dxa"/>
          </w:tcPr>
          <w:p w14:paraId="42D8104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F1E27A9">
            <w:pPr>
              <w:widowControl/>
              <w:spacing w:line="240" w:lineRule="exact"/>
              <w:jc w:val="left"/>
              <w:rPr>
                <w:rFonts w:ascii="Times New Roman" w:hAnsi="Times New Roman" w:eastAsia="方正仿宋_GBK"/>
                <w:color w:val="000000" w:themeColor="text1"/>
                <w:spacing w:val="-2"/>
                <w:kern w:val="0"/>
                <w:szCs w:val="21"/>
              </w:rPr>
            </w:pPr>
          </w:p>
        </w:tc>
      </w:tr>
      <w:tr w14:paraId="029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86" w:type="dxa"/>
            <w:vAlign w:val="center"/>
          </w:tcPr>
          <w:p w14:paraId="0168B22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113</w:t>
            </w:r>
            <w:r>
              <w:rPr>
                <w:rFonts w:ascii="Times New Roman" w:hAnsi="Times New Roman" w:eastAsia="方正仿宋_GBK"/>
                <w:color w:val="000000" w:themeColor="text1"/>
                <w:spacing w:val="-2"/>
                <w:kern w:val="0"/>
                <w:szCs w:val="21"/>
              </w:rPr>
              <w:t>.提供企业孵化、会计代账、法律咨询等服务，引导民营企业建立现代企业制度，完善法人治理结构。</w:t>
            </w:r>
          </w:p>
        </w:tc>
        <w:tc>
          <w:tcPr>
            <w:tcW w:w="850" w:type="dxa"/>
            <w:vAlign w:val="center"/>
          </w:tcPr>
          <w:p w14:paraId="154B82A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王晓娥</w:t>
            </w:r>
          </w:p>
        </w:tc>
        <w:tc>
          <w:tcPr>
            <w:tcW w:w="1134" w:type="dxa"/>
            <w:vAlign w:val="center"/>
          </w:tcPr>
          <w:p w14:paraId="4F01EA6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县工商联</w:t>
            </w:r>
          </w:p>
        </w:tc>
        <w:tc>
          <w:tcPr>
            <w:tcW w:w="1559" w:type="dxa"/>
            <w:vAlign w:val="center"/>
          </w:tcPr>
          <w:p w14:paraId="36F8BD9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县委统战部、</w:t>
            </w:r>
            <w:r>
              <w:rPr>
                <w:rFonts w:hint="eastAsia" w:ascii="Times New Roman" w:hAnsi="Times New Roman" w:eastAsia="方正仿宋_GBK"/>
                <w:color w:val="000000" w:themeColor="text1"/>
                <w:spacing w:val="-2"/>
                <w:kern w:val="0"/>
                <w:szCs w:val="21"/>
              </w:rPr>
              <w:t>县经济信息委、县农业农村委、县商务委、县司法局等</w:t>
            </w:r>
          </w:p>
        </w:tc>
        <w:tc>
          <w:tcPr>
            <w:tcW w:w="4111" w:type="dxa"/>
            <w:vAlign w:val="center"/>
          </w:tcPr>
          <w:p w14:paraId="638900C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引导城口县中小企业公共服务平台提供企业孵化，会计代账和法律服务。截至目前，新增城口县土山坡农业开发有限公司、城口县妙登农业综合开发有限责任公司、重庆瑞浇实业有限公司等孵化企业5个，建成电子商务孵化中心约800㎡，设置企业办公间11间和个人电商孵化器一个，目前企业入驻10家。</w:t>
            </w:r>
          </w:p>
          <w:p w14:paraId="6188238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二是宣传发动企业申报会计代账服务，引导松坤菌草、和鑫农业、四季五谷等17家农业企业与县上确定的三家会计咨询服务公司签订代账协议。</w:t>
            </w:r>
          </w:p>
          <w:p w14:paraId="573CAD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三是组建了由优秀骨干律师组成的城口县服务民营企业律师团，担任26家民营企业法律顾问，为民营企业发展的决策论证、法制宣传、依法经营管理等提供法律服务。</w:t>
            </w:r>
          </w:p>
          <w:p w14:paraId="4E8B070D">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52F5F62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宣传发动不够，企业意愿不高。限上批零住餐企业担心商业秘密泄露，税费增加，不愿意会计代账服务，还有部分企业有代帐意愿，因申报不及时，超过申报时限，没能享受到代帐服务。批零、住餐企业担心税费增加，升限意愿不强。</w:t>
            </w:r>
          </w:p>
        </w:tc>
        <w:tc>
          <w:tcPr>
            <w:tcW w:w="3827" w:type="dxa"/>
            <w:vAlign w:val="center"/>
          </w:tcPr>
          <w:p w14:paraId="7095427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政策宣传力度。加强政策宣传，落实县委、县政府出台的发展民营经济的政策措施，鼓励民营企业瞄准市场方向，调整经营思路，争取政策支持。推动发展民营经济的政策，尤其是优化营商环境的政策落地、落实。</w:t>
            </w:r>
          </w:p>
          <w:p w14:paraId="75B6425F">
            <w:pPr>
              <w:widowControl/>
              <w:spacing w:line="240" w:lineRule="exact"/>
              <w:jc w:val="left"/>
              <w:rPr>
                <w:rFonts w:ascii="Times New Roman" w:hAnsi="Times New Roman" w:eastAsia="方正仿宋_GBK"/>
                <w:color w:val="000000" w:themeColor="text1"/>
                <w:spacing w:val="-2"/>
                <w:kern w:val="0"/>
                <w:szCs w:val="21"/>
              </w:rPr>
            </w:pPr>
          </w:p>
          <w:p w14:paraId="4E7858D3">
            <w:pPr>
              <w:widowControl/>
              <w:spacing w:line="240" w:lineRule="exact"/>
              <w:jc w:val="left"/>
              <w:rPr>
                <w:rFonts w:ascii="Times New Roman" w:hAnsi="Times New Roman" w:eastAsia="方正仿宋_GBK"/>
                <w:color w:val="000000" w:themeColor="text1"/>
                <w:spacing w:val="-2"/>
                <w:kern w:val="0"/>
                <w:szCs w:val="21"/>
              </w:rPr>
            </w:pPr>
          </w:p>
        </w:tc>
      </w:tr>
      <w:tr w14:paraId="68BC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986" w:type="dxa"/>
            <w:vAlign w:val="center"/>
          </w:tcPr>
          <w:p w14:paraId="6C19AAC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114</w:t>
            </w:r>
            <w:r>
              <w:rPr>
                <w:rFonts w:ascii="Times New Roman" w:hAnsi="Times New Roman" w:eastAsia="方正仿宋_GBK"/>
                <w:color w:val="000000" w:themeColor="text1"/>
                <w:spacing w:val="-2"/>
                <w:kern w:val="0"/>
                <w:szCs w:val="21"/>
              </w:rPr>
              <w:t>.深化联系服务企业制度，</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一企一策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破解发展难题，力争新增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四上</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企业8户</w:t>
            </w:r>
            <w:r>
              <w:rPr>
                <w:rFonts w:hint="eastAsia" w:ascii="Times New Roman" w:hAnsi="Times New Roman" w:eastAsia="方正仿宋_GBK"/>
                <w:color w:val="000000" w:themeColor="text1"/>
                <w:spacing w:val="-2"/>
                <w:kern w:val="0"/>
                <w:szCs w:val="21"/>
              </w:rPr>
              <w:t>（规上2户、限上</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户、施工总承包</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户）</w:t>
            </w:r>
            <w:r>
              <w:rPr>
                <w:rFonts w:ascii="Times New Roman" w:hAnsi="Times New Roman" w:eastAsia="方正仿宋_GBK"/>
                <w:color w:val="000000" w:themeColor="text1"/>
                <w:spacing w:val="-2"/>
                <w:kern w:val="0"/>
                <w:szCs w:val="21"/>
              </w:rPr>
              <w:t>、亿元级企业4户</w:t>
            </w:r>
            <w:r>
              <w:rPr>
                <w:rFonts w:hint="eastAsia" w:ascii="Times New Roman" w:hAnsi="Times New Roman" w:eastAsia="方正仿宋_GBK"/>
                <w:color w:val="000000" w:themeColor="text1"/>
                <w:spacing w:val="-2"/>
                <w:kern w:val="0"/>
                <w:szCs w:val="21"/>
              </w:rPr>
              <w:t>（工业企业）</w:t>
            </w:r>
            <w:r>
              <w:rPr>
                <w:rFonts w:ascii="Times New Roman" w:hAnsi="Times New Roman" w:eastAsia="方正仿宋_GBK"/>
                <w:color w:val="000000" w:themeColor="text1"/>
                <w:spacing w:val="-2"/>
                <w:kern w:val="0"/>
                <w:szCs w:val="21"/>
              </w:rPr>
              <w:t>。</w:t>
            </w:r>
          </w:p>
        </w:tc>
        <w:tc>
          <w:tcPr>
            <w:tcW w:w="850" w:type="dxa"/>
            <w:vAlign w:val="center"/>
          </w:tcPr>
          <w:p w14:paraId="5F3A9F0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王晓娥</w:t>
            </w:r>
          </w:p>
        </w:tc>
        <w:tc>
          <w:tcPr>
            <w:tcW w:w="1134" w:type="dxa"/>
            <w:vAlign w:val="center"/>
          </w:tcPr>
          <w:p w14:paraId="497E4EA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县工商联</w:t>
            </w:r>
          </w:p>
        </w:tc>
        <w:tc>
          <w:tcPr>
            <w:tcW w:w="1559" w:type="dxa"/>
            <w:vAlign w:val="center"/>
          </w:tcPr>
          <w:p w14:paraId="515D2FC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县委统战部、</w:t>
            </w:r>
            <w:r>
              <w:rPr>
                <w:rFonts w:hint="eastAsia" w:ascii="Times New Roman" w:hAnsi="Times New Roman" w:eastAsia="方正仿宋_GBK"/>
                <w:color w:val="000000" w:themeColor="text1"/>
                <w:spacing w:val="-2"/>
                <w:kern w:val="0"/>
                <w:szCs w:val="21"/>
              </w:rPr>
              <w:t>县经济信息委、县住房城乡委、县商务委</w:t>
            </w:r>
          </w:p>
        </w:tc>
        <w:tc>
          <w:tcPr>
            <w:tcW w:w="4111" w:type="dxa"/>
            <w:vAlign w:val="center"/>
          </w:tcPr>
          <w:p w14:paraId="34CA0C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拟制了《城口县统一战线促进民营经济健康发展和民营经济人士健康成长专项行动方案》，持续深化走访服务，进一步建立健全走访企业--收集问题—解决问题的联系服务企业工作机制，加强对民营企业的教育引导，促进民营经济“两个健康”。</w:t>
            </w:r>
          </w:p>
          <w:p w14:paraId="47C8904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成立企业复工复产工作领导小组，对全县规上工业企业、工业园区内入驻企业、行业管理和高新技术企业开展复产复工调研指导及疫情防控排查监督工作。工商联已走访企业51户，收集各类问题56个，现正对问题进行梳理归类，为召开第一次非公经济联席会做好准备。</w:t>
            </w:r>
          </w:p>
          <w:p w14:paraId="3CFAD6E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三是筛选出高发钡矿、昶京科技、赵孝春食品等4户升规目标企业，商务局已确定了3户升限目标企业，促进城口建筑业发展的城口县建筑业商会已在筹备成立中。</w:t>
            </w:r>
          </w:p>
          <w:p w14:paraId="36C00698">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783A608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工作推动乏力，成效不突出。由于我县存在市场容量不大，各类资源不足，企业创新意识薄弱等客观困难，主观上又存在畏难思想，推动乏力，造成工作看似在有条不紊地推进，但工作成效不明显、不突出，各项工作离目标还有较大差距。</w:t>
            </w:r>
          </w:p>
        </w:tc>
        <w:tc>
          <w:tcPr>
            <w:tcW w:w="3827" w:type="dxa"/>
            <w:vAlign w:val="center"/>
          </w:tcPr>
          <w:p w14:paraId="105CFD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力推动补短板。对工作开展回头看，对工作滞后的要全面查找工作中存在的不足，找出推动乏力的原因，克服主观畏难思想；对已进入升规升限的目标企业，实行月监测制度，开展升规升限指导和点对点服务；主动联系相关单位，对有意愿代帐的企业指导申报代帐服务。</w:t>
            </w:r>
          </w:p>
          <w:p w14:paraId="0E9AD2A3">
            <w:pPr>
              <w:widowControl/>
              <w:spacing w:line="240" w:lineRule="exact"/>
              <w:jc w:val="left"/>
              <w:rPr>
                <w:rFonts w:ascii="Times New Roman" w:hAnsi="Times New Roman" w:eastAsia="方正仿宋_GBK"/>
                <w:color w:val="000000" w:themeColor="text1"/>
                <w:spacing w:val="-2"/>
                <w:kern w:val="0"/>
                <w:szCs w:val="21"/>
              </w:rPr>
            </w:pPr>
          </w:p>
          <w:p w14:paraId="4F8A7AD6">
            <w:pPr>
              <w:widowControl/>
              <w:spacing w:line="240" w:lineRule="exact"/>
              <w:jc w:val="left"/>
              <w:rPr>
                <w:rFonts w:ascii="Times New Roman" w:hAnsi="Times New Roman" w:eastAsia="方正仿宋_GBK"/>
                <w:color w:val="000000" w:themeColor="text1"/>
                <w:spacing w:val="-2"/>
                <w:kern w:val="0"/>
                <w:szCs w:val="21"/>
              </w:rPr>
            </w:pPr>
          </w:p>
          <w:p w14:paraId="128F0D6B">
            <w:pPr>
              <w:widowControl/>
              <w:spacing w:line="240" w:lineRule="exact"/>
              <w:jc w:val="left"/>
              <w:rPr>
                <w:rFonts w:ascii="Times New Roman" w:hAnsi="Times New Roman" w:eastAsia="方正仿宋_GBK"/>
                <w:color w:val="000000" w:themeColor="text1"/>
                <w:spacing w:val="-2"/>
                <w:kern w:val="0"/>
                <w:szCs w:val="21"/>
              </w:rPr>
            </w:pPr>
          </w:p>
        </w:tc>
      </w:tr>
      <w:tr w14:paraId="236F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986" w:type="dxa"/>
            <w:vAlign w:val="center"/>
          </w:tcPr>
          <w:p w14:paraId="007943B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115</w:t>
            </w:r>
            <w:r>
              <w:rPr>
                <w:rFonts w:ascii="Times New Roman" w:hAnsi="Times New Roman" w:eastAsia="方正仿宋_GBK"/>
                <w:color w:val="000000" w:themeColor="text1"/>
                <w:spacing w:val="-2"/>
                <w:kern w:val="0"/>
                <w:szCs w:val="21"/>
              </w:rPr>
              <w:t>.强化专业招商队伍建设，完善招商引资优惠政策，加大招商宣传培训力度，健全招商引资工作机制、项目落地奖励机制。</w:t>
            </w:r>
          </w:p>
        </w:tc>
        <w:tc>
          <w:tcPr>
            <w:tcW w:w="850" w:type="dxa"/>
            <w:vAlign w:val="center"/>
          </w:tcPr>
          <w:p w14:paraId="256FBC2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4C52153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13399F6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w:t>
            </w:r>
          </w:p>
          <w:p w14:paraId="5683C8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tcPr>
          <w:p w14:paraId="5DC5FCEF">
            <w:pPr>
              <w:widowControl/>
              <w:spacing w:line="240" w:lineRule="exact"/>
              <w:jc w:val="left"/>
              <w:rPr>
                <w:rFonts w:ascii="Times New Roman" w:hAnsi="Times New Roman" w:eastAsia="方正仿宋_GBK"/>
                <w:color w:val="000000" w:themeColor="text1"/>
                <w:spacing w:val="-2"/>
                <w:kern w:val="0"/>
                <w:szCs w:val="21"/>
              </w:rPr>
            </w:pPr>
          </w:p>
          <w:p w14:paraId="4807642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建立了“六个一”工作机制，出台了《重庆市城口县招商引资优惠政策（试行）》、《招商引资贵宾优待制度》，正在拟定《城口县总部经济扶持奖励办法（试行）》，大力抓招商引资工作。</w:t>
            </w:r>
          </w:p>
          <w:p w14:paraId="4CC56A50">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12C005A6">
            <w:pPr>
              <w:widowControl/>
              <w:spacing w:line="240" w:lineRule="exact"/>
              <w:jc w:val="left"/>
              <w:rPr>
                <w:rFonts w:ascii="Times New Roman" w:hAnsi="Times New Roman" w:eastAsia="方正仿宋_GBK"/>
                <w:color w:val="000000" w:themeColor="text1"/>
                <w:spacing w:val="-2"/>
                <w:kern w:val="0"/>
                <w:szCs w:val="21"/>
              </w:rPr>
            </w:pPr>
          </w:p>
          <w:p w14:paraId="0A5590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全县招商引资干部队伍整体招商能力和水平欠缺，县招商办人员短缺，招商团成员单位无专门从事招商引资的业务科室和工作人员，且工作人员变动大。</w:t>
            </w:r>
          </w:p>
        </w:tc>
        <w:tc>
          <w:tcPr>
            <w:tcW w:w="3827" w:type="dxa"/>
          </w:tcPr>
          <w:p w14:paraId="3A5EFC59">
            <w:pPr>
              <w:widowControl/>
              <w:spacing w:line="240" w:lineRule="exact"/>
              <w:jc w:val="left"/>
              <w:rPr>
                <w:rFonts w:ascii="Times New Roman" w:hAnsi="Times New Roman" w:eastAsia="方正仿宋_GBK"/>
                <w:color w:val="000000" w:themeColor="text1"/>
                <w:spacing w:val="-2"/>
                <w:kern w:val="0"/>
                <w:szCs w:val="21"/>
              </w:rPr>
            </w:pPr>
          </w:p>
          <w:p w14:paraId="762361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加强招商队伍建设，选优配强县招商办工作人员，保持各招商团成员单位工作人员的相对稳定，计加强招商干部队伍培训，提升全县整体招商水平。</w:t>
            </w:r>
          </w:p>
        </w:tc>
      </w:tr>
      <w:tr w14:paraId="424A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45F149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116.</w:t>
            </w:r>
            <w:r>
              <w:rPr>
                <w:rFonts w:ascii="Times New Roman" w:hAnsi="Times New Roman" w:eastAsia="方正仿宋_GBK"/>
                <w:color w:val="000000" w:themeColor="text1"/>
                <w:spacing w:val="-2"/>
                <w:kern w:val="0"/>
                <w:szCs w:val="21"/>
              </w:rPr>
              <w:t>围绕特色效益农业、文化旅游产业、现代服务业、城市建设、绿色工业等重点领域，策划包装一批高质量招商项目。</w:t>
            </w:r>
          </w:p>
        </w:tc>
        <w:tc>
          <w:tcPr>
            <w:tcW w:w="850" w:type="dxa"/>
            <w:vAlign w:val="center"/>
          </w:tcPr>
          <w:p w14:paraId="1571DAA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D12EB7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66E4AA2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w:t>
            </w:r>
          </w:p>
          <w:p w14:paraId="3DBC9A0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B704A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围绕特色效益农业、文化旅游产业、现代服务业、城市建设、绿色工业等重点领域共策划编制招商项目59个，对项目可行性进行了评估论证，确保了项目质量整体提升。</w:t>
            </w:r>
          </w:p>
        </w:tc>
        <w:tc>
          <w:tcPr>
            <w:tcW w:w="2576" w:type="dxa"/>
            <w:vAlign w:val="center"/>
          </w:tcPr>
          <w:p w14:paraId="2D8DC8C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项目论证分析等前期工作量较大。</w:t>
            </w:r>
          </w:p>
          <w:p w14:paraId="17E1D46D">
            <w:pPr>
              <w:widowControl/>
              <w:spacing w:line="240" w:lineRule="exact"/>
              <w:jc w:val="left"/>
              <w:rPr>
                <w:rFonts w:ascii="Times New Roman" w:hAnsi="Times New Roman" w:eastAsia="方正仿宋_GBK"/>
                <w:color w:val="000000" w:themeColor="text1"/>
                <w:spacing w:val="-2"/>
                <w:kern w:val="0"/>
                <w:szCs w:val="21"/>
              </w:rPr>
            </w:pPr>
          </w:p>
          <w:p w14:paraId="138131E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1095DF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及早谋划明年项目前期工作。</w:t>
            </w:r>
          </w:p>
          <w:p w14:paraId="1DDC264B">
            <w:pPr>
              <w:widowControl/>
              <w:spacing w:line="240" w:lineRule="exact"/>
              <w:jc w:val="left"/>
              <w:rPr>
                <w:rFonts w:ascii="Times New Roman" w:hAnsi="Times New Roman" w:eastAsia="方正仿宋_GBK"/>
                <w:color w:val="000000" w:themeColor="text1"/>
                <w:spacing w:val="-2"/>
                <w:kern w:val="0"/>
                <w:szCs w:val="21"/>
              </w:rPr>
            </w:pPr>
          </w:p>
          <w:p w14:paraId="43ED0F9A">
            <w:pPr>
              <w:widowControl/>
              <w:spacing w:line="240" w:lineRule="exact"/>
              <w:jc w:val="left"/>
              <w:rPr>
                <w:rFonts w:ascii="Times New Roman" w:hAnsi="Times New Roman" w:eastAsia="方正仿宋_GBK"/>
                <w:color w:val="000000" w:themeColor="text1"/>
                <w:spacing w:val="-2"/>
                <w:kern w:val="0"/>
                <w:szCs w:val="21"/>
              </w:rPr>
            </w:pPr>
          </w:p>
          <w:p w14:paraId="0E39BBA3">
            <w:pPr>
              <w:widowControl/>
              <w:spacing w:line="240" w:lineRule="exact"/>
              <w:jc w:val="left"/>
              <w:rPr>
                <w:rFonts w:ascii="Times New Roman" w:hAnsi="Times New Roman" w:eastAsia="方正仿宋_GBK"/>
                <w:color w:val="000000" w:themeColor="text1"/>
                <w:spacing w:val="-2"/>
                <w:kern w:val="0"/>
                <w:szCs w:val="21"/>
              </w:rPr>
            </w:pPr>
          </w:p>
        </w:tc>
      </w:tr>
      <w:tr w14:paraId="2886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C579C2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117.</w:t>
            </w:r>
            <w:r>
              <w:rPr>
                <w:rFonts w:ascii="Times New Roman" w:hAnsi="Times New Roman" w:eastAsia="方正仿宋_GBK"/>
                <w:color w:val="000000" w:themeColor="text1"/>
                <w:spacing w:val="-2"/>
                <w:kern w:val="0"/>
                <w:szCs w:val="21"/>
              </w:rPr>
              <w:t>做大招商项目存量，积极引导已签约落地企业做大做强，</w:t>
            </w:r>
            <w:r>
              <w:rPr>
                <w:rFonts w:hint="eastAsia" w:ascii="Times New Roman" w:hAnsi="Times New Roman" w:eastAsia="方正仿宋_GBK"/>
                <w:color w:val="000000" w:themeColor="text1"/>
                <w:spacing w:val="-2"/>
                <w:kern w:val="0"/>
                <w:szCs w:val="21"/>
              </w:rPr>
              <w:t>延伸产业链，提升价值链</w:t>
            </w:r>
            <w:r>
              <w:rPr>
                <w:rFonts w:ascii="Times New Roman" w:hAnsi="Times New Roman" w:eastAsia="方正仿宋_GBK"/>
                <w:color w:val="000000" w:themeColor="text1"/>
                <w:spacing w:val="-2"/>
                <w:kern w:val="0"/>
                <w:szCs w:val="21"/>
              </w:rPr>
              <w:t>。</w:t>
            </w:r>
          </w:p>
        </w:tc>
        <w:tc>
          <w:tcPr>
            <w:tcW w:w="850" w:type="dxa"/>
            <w:vAlign w:val="center"/>
          </w:tcPr>
          <w:p w14:paraId="66BDD20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7E4D8BF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3D32254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各招商团成员单位各乡镇（街道）</w:t>
            </w:r>
          </w:p>
        </w:tc>
        <w:tc>
          <w:tcPr>
            <w:tcW w:w="4111" w:type="dxa"/>
            <w:vAlign w:val="center"/>
          </w:tcPr>
          <w:p w14:paraId="055D11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已签约落地的深圳和融金融控股有限公司计划与秘卤百味拟共同投资建设大巴山美食产业园、美食创新研究院等项目；与思迈欧医院管理有限公司拟联合投资生态康养项目，有望做大做强招商项目存量。</w:t>
            </w:r>
          </w:p>
          <w:p w14:paraId="2BE889FD">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020AFF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项目落地转化率较低，做大项目存量，实现“以商招商”难度大。</w:t>
            </w:r>
          </w:p>
        </w:tc>
        <w:tc>
          <w:tcPr>
            <w:tcW w:w="3827" w:type="dxa"/>
          </w:tcPr>
          <w:p w14:paraId="267FFEF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对已签约还没开工的项目及时掌握项目推进进度，对重点问题及时研究制定解决措施，千方百计协助和服务推进项目落地建设。</w:t>
            </w:r>
          </w:p>
        </w:tc>
      </w:tr>
      <w:tr w14:paraId="1195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22ED0C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118.</w:t>
            </w:r>
            <w:r>
              <w:rPr>
                <w:rFonts w:ascii="Times New Roman" w:hAnsi="Times New Roman" w:eastAsia="方正仿宋_GBK"/>
                <w:color w:val="000000" w:themeColor="text1"/>
                <w:spacing w:val="-2"/>
                <w:kern w:val="0"/>
                <w:szCs w:val="21"/>
              </w:rPr>
              <w:t>提升招商项目增量，突出精准招商，优化目标客户库、项目数据库、合作载体库，加大以商招商、上门招商、跨行招商、乡情招商力度。</w:t>
            </w:r>
          </w:p>
        </w:tc>
        <w:tc>
          <w:tcPr>
            <w:tcW w:w="850" w:type="dxa"/>
            <w:vAlign w:val="center"/>
          </w:tcPr>
          <w:p w14:paraId="39E940B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8EC73D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17299F4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各招商团成员单位各乡镇（街道）</w:t>
            </w:r>
          </w:p>
        </w:tc>
        <w:tc>
          <w:tcPr>
            <w:tcW w:w="4111" w:type="dxa"/>
            <w:vAlign w:val="center"/>
          </w:tcPr>
          <w:p w14:paraId="29661DB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通过集中签约仪式，正式签约招商项目6个，总投资2亿多元，涵盖平台经济，订单农业，专业市场，民宿酒店等领域。与东方希望集团成功签订生猪养殖及全产业链项目，计划投资20亿元。</w:t>
            </w:r>
          </w:p>
        </w:tc>
        <w:tc>
          <w:tcPr>
            <w:tcW w:w="2576" w:type="dxa"/>
            <w:vAlign w:val="center"/>
          </w:tcPr>
          <w:p w14:paraId="077CB4E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产业基础薄弱，产业配套能力差，竞争力不强，硬件不优，要素保障成本过高，招大商、招好商难。</w:t>
            </w:r>
          </w:p>
          <w:p w14:paraId="49E1BEEF">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3694D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重点跟进洽谈成熟的项目，积极邀请项目方赴城口考察对接，力争达成正式协议。</w:t>
            </w:r>
          </w:p>
          <w:p w14:paraId="461CEE4A">
            <w:pPr>
              <w:widowControl/>
              <w:spacing w:line="240" w:lineRule="exact"/>
              <w:jc w:val="left"/>
              <w:rPr>
                <w:rFonts w:ascii="Times New Roman" w:hAnsi="Times New Roman" w:eastAsia="方正仿宋_GBK"/>
                <w:color w:val="000000" w:themeColor="text1"/>
                <w:spacing w:val="-2"/>
                <w:kern w:val="0"/>
                <w:szCs w:val="21"/>
              </w:rPr>
            </w:pPr>
          </w:p>
          <w:p w14:paraId="11131035">
            <w:pPr>
              <w:widowControl/>
              <w:spacing w:line="240" w:lineRule="exact"/>
              <w:jc w:val="left"/>
              <w:rPr>
                <w:rFonts w:ascii="Times New Roman" w:hAnsi="Times New Roman" w:eastAsia="方正仿宋_GBK"/>
                <w:color w:val="000000" w:themeColor="text1"/>
                <w:spacing w:val="-2"/>
                <w:kern w:val="0"/>
                <w:szCs w:val="21"/>
              </w:rPr>
            </w:pPr>
          </w:p>
        </w:tc>
      </w:tr>
      <w:tr w14:paraId="7AA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934DDF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119.</w:t>
            </w:r>
            <w:r>
              <w:rPr>
                <w:rFonts w:ascii="Times New Roman" w:hAnsi="Times New Roman" w:eastAsia="方正仿宋_GBK"/>
                <w:color w:val="000000" w:themeColor="text1"/>
                <w:spacing w:val="-2"/>
                <w:kern w:val="0"/>
                <w:szCs w:val="21"/>
              </w:rPr>
              <w:t>深化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保姆式</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服务和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全程代办制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，完善重点招商项目专人跟踪衔接、落地项目主管部门服务代办，高效推动已签约项目落地开工，力争全年新策划项目56个以上，新签约项目28个以上，新开工项目12个以上，实际到位资金19亿元以上。</w:t>
            </w:r>
          </w:p>
        </w:tc>
        <w:tc>
          <w:tcPr>
            <w:tcW w:w="850" w:type="dxa"/>
            <w:vAlign w:val="center"/>
          </w:tcPr>
          <w:p w14:paraId="4C18E07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1CBD6D2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3E26A56F">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各招商团成员单位有关要素保障单位有关乡镇（街道）</w:t>
            </w:r>
          </w:p>
        </w:tc>
        <w:tc>
          <w:tcPr>
            <w:tcW w:w="4111" w:type="dxa"/>
            <w:vAlign w:val="center"/>
          </w:tcPr>
          <w:p w14:paraId="42AD9D5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对招商项目推行“一站式”、“保姆式”服务，实行全程代办。已完成新策划编制招商项目59个，新签约项目7个。</w:t>
            </w:r>
          </w:p>
        </w:tc>
        <w:tc>
          <w:tcPr>
            <w:tcW w:w="2576" w:type="dxa"/>
            <w:vAlign w:val="center"/>
          </w:tcPr>
          <w:p w14:paraId="4CFE27B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部分已签约项目还未正式开工建设，落地转化率低；部分重点在谈项目跟踪对接力度不够，招商周期太长；受疫情影响，“走出去”招商还不能全面启动。</w:t>
            </w:r>
          </w:p>
          <w:p w14:paraId="21B5D72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D46CF6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抓增量项目引入，抓存量项目提升，抓招商方式创新，寻找优质招商项目，提前谋划“走出去”招商，与重点企业精准对接洽谈，促成实质性合作，力争完成全年目标任务。</w:t>
            </w:r>
          </w:p>
          <w:p w14:paraId="102CE4E7">
            <w:pPr>
              <w:widowControl/>
              <w:spacing w:line="240" w:lineRule="exact"/>
              <w:jc w:val="left"/>
              <w:rPr>
                <w:rFonts w:ascii="Times New Roman" w:hAnsi="Times New Roman" w:eastAsia="方正仿宋_GBK"/>
                <w:color w:val="000000" w:themeColor="text1"/>
                <w:spacing w:val="-2"/>
                <w:kern w:val="0"/>
                <w:szCs w:val="21"/>
              </w:rPr>
            </w:pPr>
          </w:p>
          <w:p w14:paraId="63A4ED2F">
            <w:pPr>
              <w:widowControl/>
              <w:spacing w:line="240" w:lineRule="exact"/>
              <w:jc w:val="left"/>
              <w:rPr>
                <w:rFonts w:ascii="Times New Roman" w:hAnsi="Times New Roman" w:eastAsia="方正仿宋_GBK"/>
                <w:color w:val="000000" w:themeColor="text1"/>
                <w:spacing w:val="-2"/>
                <w:kern w:val="0"/>
                <w:szCs w:val="21"/>
              </w:rPr>
            </w:pPr>
          </w:p>
        </w:tc>
      </w:tr>
      <w:tr w14:paraId="5319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043" w:type="dxa"/>
            <w:gridSpan w:val="7"/>
            <w:vAlign w:val="center"/>
          </w:tcPr>
          <w:p w14:paraId="365F4BA3">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（八）着力保障和改善民生，切实增强人民群众获得感。</w:t>
            </w:r>
          </w:p>
        </w:tc>
      </w:tr>
      <w:tr w14:paraId="5248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730BE1C">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20</w:t>
            </w:r>
            <w:r>
              <w:rPr>
                <w:rFonts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szCs w:val="21"/>
              </w:rPr>
              <w:t>落实就业优先政策，实施就业创业促进工程，</w:t>
            </w:r>
            <w:r>
              <w:rPr>
                <w:rFonts w:ascii="Times New Roman" w:hAnsi="Times New Roman" w:eastAsia="方正仿宋_GBK"/>
                <w:color w:val="000000" w:themeColor="text1"/>
                <w:spacing w:val="-2"/>
                <w:szCs w:val="21"/>
              </w:rPr>
              <w:t>推进</w:t>
            </w:r>
            <w:r>
              <w:rPr>
                <w:rFonts w:hint="eastAsia" w:ascii="Times New Roman" w:hAnsi="Times New Roman" w:eastAsia="方正仿宋_GBK"/>
                <w:color w:val="000000" w:themeColor="text1"/>
                <w:spacing w:val="-2"/>
                <w:szCs w:val="21"/>
              </w:rPr>
              <w:t>“</w:t>
            </w:r>
            <w:r>
              <w:rPr>
                <w:rFonts w:ascii="Times New Roman" w:hAnsi="Times New Roman" w:eastAsia="方正仿宋_GBK"/>
                <w:color w:val="000000" w:themeColor="text1"/>
                <w:spacing w:val="-2"/>
                <w:szCs w:val="21"/>
              </w:rPr>
              <w:t>三位一体</w:t>
            </w:r>
            <w:r>
              <w:rPr>
                <w:rFonts w:hint="eastAsia" w:ascii="Times New Roman" w:hAnsi="Times New Roman" w:eastAsia="方正仿宋_GBK"/>
                <w:color w:val="000000" w:themeColor="text1"/>
                <w:spacing w:val="-2"/>
                <w:szCs w:val="21"/>
              </w:rPr>
              <w:t>”</w:t>
            </w:r>
            <w:r>
              <w:rPr>
                <w:rFonts w:ascii="Times New Roman" w:hAnsi="Times New Roman" w:eastAsia="方正仿宋_GBK"/>
                <w:color w:val="000000" w:themeColor="text1"/>
                <w:spacing w:val="-2"/>
                <w:szCs w:val="21"/>
              </w:rPr>
              <w:t>公共就业服务体系建设。</w:t>
            </w:r>
            <w:r>
              <w:rPr>
                <w:rFonts w:hint="eastAsia" w:ascii="Times New Roman" w:hAnsi="Times New Roman" w:eastAsia="方正仿宋_GBK"/>
                <w:color w:val="000000" w:themeColor="text1"/>
                <w:spacing w:val="-2"/>
                <w:szCs w:val="21"/>
              </w:rPr>
              <w:t>大力发展劳务经济，</w:t>
            </w:r>
            <w:r>
              <w:rPr>
                <w:rFonts w:ascii="Times New Roman" w:hAnsi="Times New Roman" w:eastAsia="方正仿宋_GBK"/>
                <w:color w:val="000000" w:themeColor="text1"/>
                <w:spacing w:val="-2"/>
                <w:szCs w:val="21"/>
              </w:rPr>
              <w:t>完善重点群体就业支持体系，</w:t>
            </w:r>
            <w:r>
              <w:rPr>
                <w:rFonts w:ascii="Times New Roman" w:hAnsi="Times New Roman" w:eastAsia="方正仿宋_GBK"/>
                <w:bCs/>
                <w:color w:val="000000" w:themeColor="text1"/>
                <w:spacing w:val="-2"/>
                <w:szCs w:val="21"/>
              </w:rPr>
              <w:t>加强就业创业培训，搭建就业服务平台，扶持创业带动就业</w:t>
            </w:r>
            <w:r>
              <w:rPr>
                <w:rFonts w:hint="eastAsia" w:ascii="Times New Roman" w:hAnsi="Times New Roman" w:eastAsia="方正仿宋_GBK"/>
                <w:bCs/>
                <w:color w:val="000000" w:themeColor="text1"/>
                <w:spacing w:val="-2"/>
                <w:szCs w:val="21"/>
              </w:rPr>
              <w:t>。</w:t>
            </w:r>
          </w:p>
        </w:tc>
        <w:tc>
          <w:tcPr>
            <w:tcW w:w="850" w:type="dxa"/>
            <w:vAlign w:val="center"/>
          </w:tcPr>
          <w:p w14:paraId="56F16CA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2C7762C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就业和人才服务局</w:t>
            </w:r>
          </w:p>
        </w:tc>
        <w:tc>
          <w:tcPr>
            <w:tcW w:w="1559" w:type="dxa"/>
            <w:vAlign w:val="center"/>
          </w:tcPr>
          <w:p w14:paraId="64085B4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3B6BA6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大对乡镇（街道）灵活就业人员“4050”社保补贴指导力度，为符合条件的人员发放社保补贴，扶持灵活就业；二是发放创业担保贴息贷款2200万余元，实现创业带动就业500余人；三是累计帮扶16名退役军人实现就业。四是建立健全机构。成立县、乡、村三级劳务服务中心，配备专职劳务经济管理员，明确职能职责。五是搭建就业平台，积极推进就业服务。加大宣传力度，全面收集对口帮扶地区山东省临沂市、重庆市九龙坡区、城口本地各行业部门用工企业岗位信息，及时将企业用工信息、招聘岗位信息重庆就业网、LED大屏幕、城口就业网微信公众、QQ工作群等方式等方式将就业岗位及时推送到劳动力（特别是贫困劳动力）手中。六是通过“一对一”、“点对点”的就业服务，有序化组织53309名返乡农民工顺利返岗复工，建卡贫困人员19671名实现就业，比去年同期就业人数有所增长。</w:t>
            </w:r>
          </w:p>
        </w:tc>
        <w:tc>
          <w:tcPr>
            <w:tcW w:w="2576" w:type="dxa"/>
            <w:vAlign w:val="center"/>
          </w:tcPr>
          <w:p w14:paraId="2661B54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578C18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持续推进工作。</w:t>
            </w:r>
          </w:p>
        </w:tc>
      </w:tr>
      <w:tr w14:paraId="34B2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86" w:type="dxa"/>
            <w:vAlign w:val="center"/>
          </w:tcPr>
          <w:p w14:paraId="22F5381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121</w:t>
            </w:r>
            <w:r>
              <w:rPr>
                <w:rFonts w:ascii="Times New Roman" w:hAnsi="Times New Roman" w:eastAsia="方正仿宋_GBK"/>
                <w:color w:val="000000" w:themeColor="text1"/>
                <w:spacing w:val="-2"/>
                <w:kern w:val="0"/>
                <w:szCs w:val="21"/>
              </w:rPr>
              <w:t>.精准帮扶高校毕业生、返乡农民工等重点群体就业创业，鼓励支持转移就业，落实创业担保贷款、就业稳岗补贴</w:t>
            </w:r>
            <w:r>
              <w:rPr>
                <w:rFonts w:hint="eastAsia" w:ascii="Times New Roman" w:hAnsi="Times New Roman" w:eastAsia="方正仿宋_GBK"/>
                <w:color w:val="000000" w:themeColor="text1"/>
                <w:spacing w:val="-2"/>
                <w:kern w:val="0"/>
                <w:szCs w:val="21"/>
              </w:rPr>
              <w:t>及外出务工人员意外伤害综合保险</w:t>
            </w:r>
            <w:r>
              <w:rPr>
                <w:rFonts w:ascii="Times New Roman" w:hAnsi="Times New Roman" w:eastAsia="方正仿宋_GBK"/>
                <w:color w:val="000000" w:themeColor="text1"/>
                <w:spacing w:val="-2"/>
                <w:kern w:val="0"/>
                <w:szCs w:val="21"/>
              </w:rPr>
              <w:t>等扶持政策，多渠道、多方式增加就业岗位，力争高校毕业生就业率达到90%，城镇新增就业2000人以上。</w:t>
            </w:r>
          </w:p>
        </w:tc>
        <w:tc>
          <w:tcPr>
            <w:tcW w:w="850" w:type="dxa"/>
            <w:vAlign w:val="center"/>
          </w:tcPr>
          <w:p w14:paraId="2E1E45E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026A77AE">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人力社保局</w:t>
            </w:r>
          </w:p>
          <w:p w14:paraId="5A7FDBE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就业和人才服务局</w:t>
            </w:r>
          </w:p>
        </w:tc>
        <w:tc>
          <w:tcPr>
            <w:tcW w:w="1559" w:type="dxa"/>
            <w:vAlign w:val="center"/>
          </w:tcPr>
          <w:p w14:paraId="3A5A916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2299FF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精准帮扶高校毕业生、返乡农民工等重点群体就业创业：是建立台账，摸清全县农民工底数。截止3月29日，全县共有农民工63692人，已外出48286人（其中：市内务工18983人，市外务工29303人）；计划外出9781人。二是持续做好应往届高校毕业生就业工作，累计帮助110名高校毕业实现就业。三是实现城镇新增就业627人，达到序时进度。</w:t>
            </w:r>
          </w:p>
          <w:p w14:paraId="52FFC1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转移就业力度：是通过“一对一”、“点对点”的就业服务，有序化组织53309名返乡农民工顺利返岗复工，建卡贫困人员19671名实现就业，比去年同期就业人数有所增长。二是通过渝鲁协作，向山东临沂转移劳动力110人。</w:t>
            </w:r>
          </w:p>
          <w:p w14:paraId="5994E7D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落实政策扶持力度：是发放创业担保贴息贷款2200万余元，实现创业带动就业500余人。二是加大企业扶持力度，累计收到3个企业报送吸纳贫困人员的岗位补贴和社保补贴。三是全面落实援企稳岗返还政策。截至目前，已落实6 家。</w:t>
            </w:r>
          </w:p>
          <w:p w14:paraId="1D02472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采取多渠道、多方式增加就业岗位：是充分利用公共就业服务信息平台，累计发布企业400多家，岗位5000余个，累计阅读量达2.5万人次，网络直播观看人数达到1万人次。二是通过积极发挥县内企业和重点项目的主观能动性，帮助受到疫情影响或者因为家庭原因无法出县外务工的7629名农民工实现就近就地就业。三是大力推动扶贫车间复工复产，全县共有扶贫车间8个，已经全部复工，吸纳89名贫困人员就业。四是精准落实公益性岗位政策，加强统筹力度。2020年力争开发公益性岗位6000余名。</w:t>
            </w:r>
          </w:p>
        </w:tc>
        <w:tc>
          <w:tcPr>
            <w:tcW w:w="2576" w:type="dxa"/>
          </w:tcPr>
          <w:p w14:paraId="050FB46A">
            <w:pPr>
              <w:widowControl/>
              <w:spacing w:line="240" w:lineRule="exact"/>
              <w:jc w:val="left"/>
              <w:rPr>
                <w:rFonts w:ascii="Times New Roman" w:hAnsi="Times New Roman" w:eastAsia="方正仿宋_GBK"/>
                <w:color w:val="000000" w:themeColor="text1"/>
                <w:spacing w:val="-2"/>
                <w:kern w:val="0"/>
                <w:szCs w:val="21"/>
              </w:rPr>
            </w:pPr>
          </w:p>
          <w:p w14:paraId="42855CAB">
            <w:pPr>
              <w:widowControl/>
              <w:spacing w:line="240" w:lineRule="exact"/>
              <w:jc w:val="left"/>
              <w:rPr>
                <w:rFonts w:ascii="Times New Roman" w:hAnsi="Times New Roman" w:eastAsia="方正仿宋_GBK"/>
                <w:color w:val="000000" w:themeColor="text1"/>
                <w:spacing w:val="-2"/>
                <w:kern w:val="0"/>
                <w:szCs w:val="21"/>
              </w:rPr>
            </w:pPr>
          </w:p>
          <w:p w14:paraId="21B99386">
            <w:pPr>
              <w:widowControl/>
              <w:spacing w:line="240" w:lineRule="exact"/>
              <w:jc w:val="left"/>
              <w:rPr>
                <w:rFonts w:ascii="Times New Roman" w:hAnsi="Times New Roman" w:eastAsia="方正仿宋_GBK"/>
                <w:color w:val="000000" w:themeColor="text1"/>
                <w:spacing w:val="-2"/>
                <w:kern w:val="0"/>
                <w:szCs w:val="21"/>
              </w:rPr>
            </w:pPr>
          </w:p>
          <w:p w14:paraId="4526E4CE">
            <w:pPr>
              <w:widowControl/>
              <w:spacing w:line="240" w:lineRule="exact"/>
              <w:jc w:val="left"/>
              <w:rPr>
                <w:rFonts w:ascii="Times New Roman" w:hAnsi="Times New Roman" w:eastAsia="方正仿宋_GBK"/>
                <w:color w:val="000000" w:themeColor="text1"/>
                <w:spacing w:val="-2"/>
                <w:kern w:val="0"/>
                <w:szCs w:val="21"/>
              </w:rPr>
            </w:pPr>
          </w:p>
          <w:p w14:paraId="4D776B5D">
            <w:pPr>
              <w:widowControl/>
              <w:spacing w:line="240" w:lineRule="exact"/>
              <w:jc w:val="left"/>
              <w:rPr>
                <w:rFonts w:ascii="Times New Roman" w:hAnsi="Times New Roman" w:eastAsia="方正仿宋_GBK"/>
                <w:color w:val="000000" w:themeColor="text1"/>
                <w:spacing w:val="-2"/>
                <w:kern w:val="0"/>
                <w:szCs w:val="21"/>
              </w:rPr>
            </w:pPr>
          </w:p>
          <w:p w14:paraId="23A81D8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台账仍然不够精准。各乡镇（街道）摸底数据存在不够全面、信息不精准等情况，全县劳务经济数据质量不高。二是群众就业择业观念陈旧，就业结构不够优化。三是县内人力资源服务机构量小质弱，对劳动力转移的推动作用不够明显，存在一定的信息壁垒。四是县内企业岗位有限。我县缺少规上企业和大型项目，加之，薪酬待遇偏低，多数农民工选择到县外务工，本地吸纳劳动力不足。五是劳务输出组织化程度不高。受交通因素制约成批量组织，大规模劳务输出不能采用火车、飞机等方式，汽车运输成本居高不下，客观上影响成批量劳务输出。</w:t>
            </w:r>
          </w:p>
          <w:p w14:paraId="26F1F26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264FD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快县级劳务经济服务中心建设。二是做好农民工跟踪服务管理工作，不断提高劳务输出组织化程度。三是对全县外出务工情况进行结构性分析，便于后期有针对性的开展服务工作。四是继续加大岗位推送力度。收集的岗位需求，实行“点对点”推送。</w:t>
            </w:r>
          </w:p>
        </w:tc>
      </w:tr>
      <w:tr w14:paraId="66DD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986" w:type="dxa"/>
            <w:vAlign w:val="center"/>
          </w:tcPr>
          <w:p w14:paraId="0E591CF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122</w:t>
            </w:r>
            <w:r>
              <w:rPr>
                <w:rFonts w:ascii="Times New Roman" w:hAnsi="Times New Roman" w:eastAsia="方正仿宋_GBK"/>
                <w:color w:val="000000" w:themeColor="text1"/>
                <w:spacing w:val="-2"/>
                <w:kern w:val="0"/>
                <w:szCs w:val="21"/>
              </w:rPr>
              <w:t>.适度开发公益性岗位，规范公益性岗位管理。根治拖欠农民工工资问题。</w:t>
            </w:r>
          </w:p>
        </w:tc>
        <w:tc>
          <w:tcPr>
            <w:tcW w:w="850" w:type="dxa"/>
            <w:vAlign w:val="center"/>
          </w:tcPr>
          <w:p w14:paraId="64F85EF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154F873A">
            <w:pPr>
              <w:spacing w:line="240" w:lineRule="exact"/>
              <w:jc w:val="center"/>
              <w:rPr>
                <w:rFonts w:ascii="Times New Roman" w:hAnsi="Times New Roman" w:eastAsia="方正仿宋_GBK" w:cs="Times New Roman"/>
                <w:color w:val="000000" w:themeColor="text1"/>
                <w:spacing w:val="-2"/>
                <w:szCs w:val="21"/>
              </w:rPr>
            </w:pPr>
            <w:r>
              <w:rPr>
                <w:rFonts w:ascii="Times New Roman" w:hAnsi="Times New Roman" w:eastAsia="方正仿宋_GBK" w:cs="Times New Roman"/>
                <w:color w:val="000000" w:themeColor="text1"/>
                <w:spacing w:val="-2"/>
                <w:szCs w:val="21"/>
              </w:rPr>
              <w:t>县</w:t>
            </w:r>
            <w:r>
              <w:rPr>
                <w:rFonts w:hint="eastAsia" w:ascii="Times New Roman" w:hAnsi="Times New Roman" w:eastAsia="方正仿宋_GBK" w:cs="Times New Roman"/>
                <w:color w:val="000000" w:themeColor="text1"/>
                <w:spacing w:val="-2"/>
                <w:szCs w:val="21"/>
              </w:rPr>
              <w:t>人力社保局</w:t>
            </w:r>
          </w:p>
          <w:p w14:paraId="283F7941">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县就业和人才服务局</w:t>
            </w:r>
          </w:p>
        </w:tc>
        <w:tc>
          <w:tcPr>
            <w:tcW w:w="1559" w:type="dxa"/>
            <w:vAlign w:val="center"/>
          </w:tcPr>
          <w:p w14:paraId="7A526C8C">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县扶贫办、县林业局等</w:t>
            </w: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2BCFD3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截至目前，就业补助资金开发公益岗位2085个（其中贫困户1670个，非贫困户415个），脱贫攻坚统筹资金开发公益性岗位4131个（其中农村扶贫综合岗1660个，生态护林员2471个）。按照“谁用人、谁负责”的原则，加强在岗期间的日常考勤监管，建立岗位管理台账，将公益性岗位政策精准落实到人。同时采取明察暗访、实地督查等方式，加强对用人单位的监管，杜绝空岗、脱岗、“养懒汉”等现象发生，实现公益性岗位的统筹管理。</w:t>
            </w:r>
          </w:p>
        </w:tc>
        <w:tc>
          <w:tcPr>
            <w:tcW w:w="2576" w:type="dxa"/>
            <w:vAlign w:val="center"/>
          </w:tcPr>
          <w:p w14:paraId="7407817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公益性岗位人员还是存在不精准现象。</w:t>
            </w:r>
          </w:p>
          <w:p w14:paraId="05637ADF">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0D2D6B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将《强化扶贫公益性岗位管理挂牌督战工作方案》扎实开展督战工作，决不允许公益性岗位“空岗”、“脱岗”等硬伤出现，提高公益性岗位的精准性。</w:t>
            </w:r>
          </w:p>
          <w:p w14:paraId="3427DAB4">
            <w:pPr>
              <w:widowControl/>
              <w:spacing w:line="240" w:lineRule="exact"/>
              <w:jc w:val="left"/>
              <w:rPr>
                <w:rFonts w:ascii="Times New Roman" w:hAnsi="Times New Roman" w:eastAsia="方正仿宋_GBK"/>
                <w:color w:val="000000" w:themeColor="text1"/>
                <w:spacing w:val="-2"/>
                <w:kern w:val="0"/>
                <w:szCs w:val="21"/>
              </w:rPr>
            </w:pPr>
          </w:p>
        </w:tc>
      </w:tr>
      <w:tr w14:paraId="239B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B9A522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123</w:t>
            </w:r>
            <w:r>
              <w:rPr>
                <w:rFonts w:ascii="Times New Roman" w:hAnsi="Times New Roman" w:eastAsia="方正仿宋_GBK"/>
                <w:color w:val="000000" w:themeColor="text1"/>
                <w:spacing w:val="-2"/>
                <w:kern w:val="0"/>
                <w:szCs w:val="21"/>
              </w:rPr>
              <w:t>.实施义务教育薄弱环节改善和能力提升工程、第二期普通高中发展促进计划，建成投用实验小学南校区，完成木瓜坝小学等3个重点工程主体建设，新改建中小学幼儿园7所，全力化解</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大班额</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入园难</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问题。落实新高考改革，推动2所普高对等差异发展。深化职教中心校企合作、产教融合，提高职业教育办学水平和就业质量。进一步营造良好教育教学环境</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减轻教师负担</w:t>
            </w:r>
            <w:r>
              <w:rPr>
                <w:rFonts w:hint="eastAsia" w:ascii="Times New Roman" w:hAnsi="Times New Roman" w:eastAsia="方正仿宋_GBK"/>
                <w:color w:val="000000" w:themeColor="text1"/>
                <w:spacing w:val="-2"/>
                <w:kern w:val="0"/>
                <w:szCs w:val="21"/>
              </w:rPr>
              <w:t>，加强师德师风建设</w:t>
            </w:r>
            <w:r>
              <w:rPr>
                <w:rFonts w:ascii="Times New Roman" w:hAnsi="Times New Roman" w:eastAsia="方正仿宋_GBK"/>
                <w:color w:val="000000" w:themeColor="text1"/>
                <w:spacing w:val="-2"/>
                <w:kern w:val="0"/>
                <w:szCs w:val="21"/>
              </w:rPr>
              <w:t>。深化教育领域综合改革，持续推进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学本课堂</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改革，</w:t>
            </w:r>
            <w:r>
              <w:rPr>
                <w:rFonts w:hint="eastAsia" w:ascii="Times New Roman" w:hAnsi="Times New Roman" w:eastAsia="方正仿宋_GBK"/>
                <w:color w:val="000000" w:themeColor="text1"/>
                <w:spacing w:val="-2"/>
                <w:kern w:val="0"/>
                <w:szCs w:val="21"/>
              </w:rPr>
              <w:t>积极支持社会办学，</w:t>
            </w:r>
            <w:r>
              <w:rPr>
                <w:rFonts w:ascii="Times New Roman" w:hAnsi="Times New Roman" w:eastAsia="方正仿宋_GBK"/>
                <w:color w:val="000000" w:themeColor="text1"/>
                <w:spacing w:val="-2"/>
                <w:kern w:val="0"/>
                <w:szCs w:val="21"/>
              </w:rPr>
              <w:t>推进民办教育分类管理，创建社区教育示范县，逐步构建服务全民终身学习的教育体系。</w:t>
            </w:r>
          </w:p>
        </w:tc>
        <w:tc>
          <w:tcPr>
            <w:tcW w:w="850" w:type="dxa"/>
            <w:vAlign w:val="center"/>
          </w:tcPr>
          <w:p w14:paraId="23F3A2F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伍咏梅</w:t>
            </w:r>
          </w:p>
        </w:tc>
        <w:tc>
          <w:tcPr>
            <w:tcW w:w="1134" w:type="dxa"/>
            <w:vAlign w:val="center"/>
          </w:tcPr>
          <w:p w14:paraId="5F8BA440">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教委</w:t>
            </w:r>
          </w:p>
        </w:tc>
        <w:tc>
          <w:tcPr>
            <w:tcW w:w="1559" w:type="dxa"/>
            <w:vAlign w:val="center"/>
          </w:tcPr>
          <w:p w14:paraId="4E56469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县发展改革委、县规划自然资源局、县住房城乡建委、县鼎兴公司有关乡镇（街道）</w:t>
            </w:r>
          </w:p>
        </w:tc>
        <w:tc>
          <w:tcPr>
            <w:tcW w:w="4111" w:type="dxa"/>
            <w:vAlign w:val="center"/>
          </w:tcPr>
          <w:p w14:paraId="0923F6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实施义务教育薄弱环节改善与能力提升工程，首期投入1737万元，提升14所学校基础设施建设能力和设备配备。二是投入1000余万元，启动实施重师城口附中食堂改造项目。三是启动实施城口中学运动场及学生宿舍改造项目。四是加快3个重点工程建设速度，实验小学南校区二次装修工程已开工建设，复工建设木瓜坝小学及幼儿园新建、修齐第一中心小学及幼儿园迁建工程，均进入主体建设中。复兴小学改扩建正在进行基础施工。五是加快推进7所新改建中小学幼儿园，厚坪红花学生宿舍已完工，修齐二小幼儿园主体封顶，高观蒲池小学改扩建正在进行基础施工，高燕镇第一中心幼儿园、岚天乡中心幼儿园、巴山学校小学第二教学楼已完成初步设计，庙坝中心幼儿园目前正在进行初步设计。三是筹备召开教育系统党建工作会，印发《城口县教育系统2020年党建工作任务清单》。四是印发《城口县教师读书修身行动2020年工作计划》，举行校长读书修身启动仪式。五是已完成普通高中和职业高中教学质量激励办法草拟，即将提交县委教育工作领导小组第二次会议审议。六是完成《职教中心拟办特色养殖（畜牧兽医）专业的方案》的起草，正组织相关部门会审。七是制定高中阶段线上教学进度推进指导意见，进一步保障高中阶段线上教学质量。八是完成2020年春季学期5门学科的《导学精要》开发。九是启动民办教育分类登记工作。十是召开城口县社区教育工作会，举办城口县社区教育学校管理者培训讲座。</w:t>
            </w:r>
          </w:p>
        </w:tc>
        <w:tc>
          <w:tcPr>
            <w:tcW w:w="2576" w:type="dxa"/>
            <w:vAlign w:val="center"/>
          </w:tcPr>
          <w:p w14:paraId="42756AC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一是线上教学面临困难。由于我县地处偏远，部分家长对信息技术使用不畅、手机信号弱、电视终端效果差，导致部分学生在接受线上教学时，学习效果不佳。</w:t>
            </w:r>
          </w:p>
          <w:p w14:paraId="2B2A7E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二是学校基础设施建设滞后。项目进度不能序时推进，可能造成不能按期投入使用。资金支付进度无法完成。</w:t>
            </w:r>
          </w:p>
          <w:p w14:paraId="640055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三是物资采购资金呈现缺口。差口约180万元。</w:t>
            </w:r>
          </w:p>
        </w:tc>
        <w:tc>
          <w:tcPr>
            <w:tcW w:w="3827" w:type="dxa"/>
            <w:vAlign w:val="center"/>
          </w:tcPr>
          <w:p w14:paraId="0FC3065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1.优化送教方式，提升教学质量。一是用好网上资源。继续使用好钉钉直播联播，鼓励收看推送的优秀资源。二是优化送教方案。修订完善送教方案，适当降低教学难度。</w:t>
            </w:r>
          </w:p>
          <w:p w14:paraId="78826A4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2.全面复工复产，推动项目建设。一是实行“一企一策”，帮助企业复工复产。二是督促施工企业在确保安全和质量的前提下采取增加作业面、增加施工人员、延长工作时间等方式加快施工进度。</w:t>
            </w:r>
          </w:p>
          <w:p w14:paraId="0E66E84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3.加快物资筹措，确保师生安全。一是结合学校疫情防控需求，合理选择、购置、储备防疫医疗物资。二是通过统筹教育专项资金和寻求公益捐助的方式积极争取防疫医疗物资资金。</w:t>
            </w:r>
          </w:p>
        </w:tc>
      </w:tr>
      <w:tr w14:paraId="0F8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986" w:type="dxa"/>
            <w:vAlign w:val="center"/>
          </w:tcPr>
          <w:p w14:paraId="28DCE42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124</w:t>
            </w:r>
            <w:r>
              <w:rPr>
                <w:rFonts w:ascii="Times New Roman" w:hAnsi="Times New Roman" w:eastAsia="方正仿宋_GBK"/>
                <w:color w:val="000000" w:themeColor="text1"/>
                <w:spacing w:val="-2"/>
                <w:kern w:val="0"/>
                <w:szCs w:val="21"/>
              </w:rPr>
              <w:t>.加快美丽医院建设，完成县人民医院二甲创建，建成投用县精神卫生中心，推进县妇幼保健院迁建、中医院优抚医院建设，加快薄弱卫生院和村卫生室能力建设，完善县乡村三级医疗卫生服务体系。深化医药卫生体制改革，建立完善符合医疗行业特点的薪酬制度。加强医保基金监管，扩大国家组织药品集中采购和使用试点，启动高值医用耗材集中带量采购</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推进支付方式改革和跨省就医直接结算，完善城乡居民</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两病</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门诊用药保障机制。</w:t>
            </w:r>
            <w:r>
              <w:rPr>
                <w:rFonts w:hint="eastAsia" w:ascii="Times New Roman" w:hAnsi="Times New Roman" w:eastAsia="方正仿宋_GBK"/>
                <w:color w:val="000000" w:themeColor="text1"/>
                <w:spacing w:val="-2"/>
                <w:kern w:val="0"/>
                <w:szCs w:val="21"/>
              </w:rPr>
              <w:t>加强医德医风和</w:t>
            </w:r>
            <w:r>
              <w:rPr>
                <w:rFonts w:ascii="Times New Roman" w:hAnsi="Times New Roman" w:eastAsia="方正仿宋_GBK"/>
                <w:color w:val="000000" w:themeColor="text1"/>
                <w:spacing w:val="-2"/>
                <w:kern w:val="0"/>
                <w:szCs w:val="21"/>
              </w:rPr>
              <w:t>医疗卫生人才队伍建设，提升中医药服务能力，支持社会办医，促进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互联网+医疗健康</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w:t>
            </w:r>
          </w:p>
        </w:tc>
        <w:tc>
          <w:tcPr>
            <w:tcW w:w="850" w:type="dxa"/>
            <w:vAlign w:val="center"/>
          </w:tcPr>
          <w:p w14:paraId="4D7228B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伍咏梅</w:t>
            </w:r>
          </w:p>
        </w:tc>
        <w:tc>
          <w:tcPr>
            <w:tcW w:w="1134" w:type="dxa"/>
            <w:vAlign w:val="center"/>
          </w:tcPr>
          <w:p w14:paraId="53C435D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卫生健康委</w:t>
            </w:r>
          </w:p>
          <w:p w14:paraId="2D05F17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县医保局</w:t>
            </w:r>
          </w:p>
        </w:tc>
        <w:tc>
          <w:tcPr>
            <w:tcW w:w="1559" w:type="dxa"/>
            <w:vAlign w:val="center"/>
          </w:tcPr>
          <w:p w14:paraId="4D9C886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3179B9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基金监管，疫情期间对20家医保定点零售药店和6家定点医疗机构进行现场督查，要求医疗机构做好病例救治工作，要求定点药店要明码实价销售药品，不得利用疫情囤积居奇，随意涨价，督促做好咳嗽、发热药品销售登记和报告，鼓励定点机构积极联系口罩酒精等货源。</w:t>
            </w:r>
          </w:p>
          <w:p w14:paraId="7B4B18A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二是做好国家组织“4+7”集中采购续约，全县医疗机构续约采购25个品种，32个品规，共计39813盒，做好第二批国家组织药品采购使用试点工作，我县共计采购32个品种。</w:t>
            </w:r>
          </w:p>
          <w:p w14:paraId="1133F6D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三是完成2019年总额清算，出台2020年总额预付支付方案，跨省异地就医121人次。</w:t>
            </w:r>
          </w:p>
        </w:tc>
        <w:tc>
          <w:tcPr>
            <w:tcW w:w="2576" w:type="dxa"/>
            <w:vAlign w:val="center"/>
          </w:tcPr>
          <w:p w14:paraId="428111F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一是受疫情影响，对两定医疗机构的日常监督检查未全覆盖。二是需进一步加强异地就医直接结算宣传引导。</w:t>
            </w:r>
          </w:p>
        </w:tc>
        <w:tc>
          <w:tcPr>
            <w:tcW w:w="3827" w:type="dxa"/>
            <w:vAlign w:val="center"/>
          </w:tcPr>
          <w:p w14:paraId="31E3855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一是加强日常监督检查。对全县所有定点医药机构开展日常督查和现场稽核。</w:t>
            </w:r>
          </w:p>
          <w:p w14:paraId="20BA215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二是加大对中选药品价格、供货、医院使用、回款等情况监管和效果跟踪评估。</w:t>
            </w:r>
          </w:p>
          <w:p w14:paraId="0E72896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三是加强异地就医直接结算宣传引导，简化备案手续，扩大电话、网络、APP等备案方式运用，为更多异地就医人员提供便捷服务。</w:t>
            </w:r>
          </w:p>
          <w:p w14:paraId="5C2955B2">
            <w:pPr>
              <w:pStyle w:val="2"/>
              <w:spacing w:before="0" w:beforeAutospacing="0" w:after="0" w:afterAutospacing="0" w:line="240" w:lineRule="exact"/>
              <w:rPr>
                <w:rFonts w:ascii="Times New Roman" w:hAnsi="Times New Roman" w:eastAsia="方正仿宋_GBK" w:cstheme="minorBidi"/>
                <w:b w:val="0"/>
                <w:bCs w:val="0"/>
                <w:color w:val="000000" w:themeColor="text1"/>
                <w:spacing w:val="-2"/>
                <w:kern w:val="0"/>
                <w:sz w:val="21"/>
                <w:szCs w:val="21"/>
              </w:rPr>
            </w:pPr>
          </w:p>
        </w:tc>
      </w:tr>
      <w:tr w14:paraId="646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986" w:type="dxa"/>
            <w:vAlign w:val="center"/>
          </w:tcPr>
          <w:p w14:paraId="4FF665A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125</w:t>
            </w:r>
            <w:r>
              <w:rPr>
                <w:rFonts w:ascii="Times New Roman" w:hAnsi="Times New Roman" w:eastAsia="方正仿宋_GBK"/>
                <w:color w:val="000000" w:themeColor="text1"/>
                <w:spacing w:val="-2"/>
                <w:kern w:val="0"/>
                <w:szCs w:val="21"/>
              </w:rPr>
              <w:t>.完善覆盖全民的社会保障体系，健全统筹城乡可持续的基本养老保险、基本医疗保险制度，稳步提高城乡低保、特困供养、临时救助、流浪乞讨救助和残疾人保障水平。</w:t>
            </w:r>
          </w:p>
        </w:tc>
        <w:tc>
          <w:tcPr>
            <w:tcW w:w="850" w:type="dxa"/>
            <w:vAlign w:val="center"/>
          </w:tcPr>
          <w:p w14:paraId="128DA8CE">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陈光辉</w:t>
            </w:r>
          </w:p>
          <w:p w14:paraId="08634138">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伍咏梅</w:t>
            </w:r>
          </w:p>
        </w:tc>
        <w:tc>
          <w:tcPr>
            <w:tcW w:w="1134" w:type="dxa"/>
            <w:vAlign w:val="center"/>
          </w:tcPr>
          <w:p w14:paraId="3994B176">
            <w:pPr>
              <w:spacing w:line="240" w:lineRule="exact"/>
              <w:jc w:val="center"/>
              <w:rPr>
                <w:rFonts w:ascii="Times New Roman" w:hAnsi="Times New Roman" w:eastAsia="方正仿宋_GBK" w:cs="Times New Roman"/>
                <w:color w:val="000000" w:themeColor="text1"/>
                <w:spacing w:val="-2"/>
                <w:szCs w:val="21"/>
              </w:rPr>
            </w:pPr>
            <w:r>
              <w:rPr>
                <w:rFonts w:ascii="Times New Roman" w:hAnsi="Times New Roman" w:eastAsia="方正仿宋_GBK" w:cs="Times New Roman"/>
                <w:color w:val="000000" w:themeColor="text1"/>
                <w:spacing w:val="-2"/>
                <w:szCs w:val="21"/>
              </w:rPr>
              <w:t>县</w:t>
            </w:r>
            <w:r>
              <w:rPr>
                <w:rFonts w:hint="eastAsia" w:ascii="Times New Roman" w:hAnsi="Times New Roman" w:eastAsia="方正仿宋_GBK" w:cs="Times New Roman"/>
                <w:color w:val="000000" w:themeColor="text1"/>
                <w:spacing w:val="-2"/>
                <w:szCs w:val="21"/>
              </w:rPr>
              <w:t>人力社保局</w:t>
            </w:r>
          </w:p>
          <w:p w14:paraId="737CA0A1">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县民政局</w:t>
            </w:r>
          </w:p>
          <w:p w14:paraId="606F874D">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县医保局</w:t>
            </w:r>
          </w:p>
          <w:p w14:paraId="55ADDF2C">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县残联</w:t>
            </w:r>
          </w:p>
        </w:tc>
        <w:tc>
          <w:tcPr>
            <w:tcW w:w="1559" w:type="dxa"/>
            <w:vAlign w:val="center"/>
          </w:tcPr>
          <w:p w14:paraId="1556700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0615F3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扩大社会保险覆盖面。截止2020年3月31日，城乡居民养老保险参保人数115780人，城镇企业职工养老保险参保人数18022人，机关事业养老保险参保人数6722人，工伤保险参保人数15462人，城乡居民医疗保险参保人数204947人，职工医疗保险参保人数18868人，失业保险参保人数11945人。</w:t>
            </w:r>
          </w:p>
          <w:p w14:paraId="3D2B16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提高困难全体保障水平。截止2020年3月底，全县因病、因残、因学等丧失或部分丧失劳动力的家庭共82户220人获得了最低生活保障；因家庭成员、收入、财产、消费支出发生变化，不再符合保障条件，退出保障的家庭共163户283人；对家庭人均月收入超过低保标准但低于 2 倍低保标准的低保兜底家庭522户1326人，建立了渐退管理台账；对在册408个低保家庭户的补差水平进行了动态调整，确保保障合理。残疾人补助1.9026万人次135.988万元。</w:t>
            </w:r>
          </w:p>
        </w:tc>
        <w:tc>
          <w:tcPr>
            <w:tcW w:w="2576" w:type="dxa"/>
            <w:vAlign w:val="center"/>
          </w:tcPr>
          <w:p w14:paraId="3D09791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一是还存在少部分群众参保意识不够、意愿不强。二是对于窜站骗助、强讨强要、职业乞讨等类人员的应对管控能力相对薄弱。</w:t>
            </w:r>
          </w:p>
          <w:p w14:paraId="2444E05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51C543E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进一步加强宣传引导，扩大社会保险政策的群众知晓度，提高群众参保意识，提升群众参保积极做好。二是继续开展农村低保专项治理行动，确保应保尽保、应退必退、应退渐退。三是进一步提升自身工作能力，加强政策法规性宣传力度做好受助人员思想教育矫正工作，强化源头预防治理工作，通过与公安等相关部门加强联系协作等方式共同做好此类人员的应对管理工作。</w:t>
            </w:r>
          </w:p>
        </w:tc>
      </w:tr>
      <w:tr w14:paraId="4EC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6" w:type="dxa"/>
            <w:vAlign w:val="center"/>
          </w:tcPr>
          <w:p w14:paraId="11741243">
            <w:pPr>
              <w:widowControl/>
              <w:spacing w:line="240" w:lineRule="exact"/>
              <w:rPr>
                <w:rFonts w:ascii="Times New Roman" w:hAnsi="Times New Roman" w:eastAsia="方正仿宋_GBK"/>
                <w:color w:val="000000" w:themeColor="text1"/>
                <w:spacing w:val="-6"/>
                <w:kern w:val="0"/>
                <w:szCs w:val="21"/>
              </w:rPr>
            </w:pPr>
            <w:r>
              <w:rPr>
                <w:rFonts w:hint="eastAsia" w:ascii="Times New Roman" w:hAnsi="Times New Roman" w:eastAsia="方正仿宋_GBK"/>
                <w:color w:val="000000" w:themeColor="text1"/>
                <w:spacing w:val="-6"/>
                <w:kern w:val="0"/>
                <w:szCs w:val="21"/>
              </w:rPr>
              <w:t>126</w:t>
            </w:r>
            <w:r>
              <w:rPr>
                <w:rFonts w:ascii="Times New Roman" w:hAnsi="Times New Roman" w:eastAsia="方正仿宋_GBK"/>
                <w:color w:val="000000" w:themeColor="text1"/>
                <w:spacing w:val="-6"/>
                <w:kern w:val="0"/>
                <w:szCs w:val="21"/>
              </w:rPr>
              <w:t>.</w:t>
            </w:r>
            <w:r>
              <w:rPr>
                <w:rFonts w:ascii="Times New Roman" w:hAnsi="Times New Roman" w:eastAsia="方正仿宋_GBK"/>
                <w:color w:val="000000" w:themeColor="text1"/>
                <w:spacing w:val="-6"/>
                <w:kern w:val="0"/>
                <w:szCs w:val="21"/>
                <w:lang w:val="zh-CN"/>
              </w:rPr>
              <w:t>推进社区居家养老服务全覆盖，构建以居家为基础、社区为依托、机构为补充、医养相结合的养老服务体系，推进失能人员集中照护工作。</w:t>
            </w:r>
          </w:p>
        </w:tc>
        <w:tc>
          <w:tcPr>
            <w:tcW w:w="850" w:type="dxa"/>
            <w:vAlign w:val="center"/>
          </w:tcPr>
          <w:p w14:paraId="707E7DB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5EB494C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县民政局</w:t>
            </w:r>
          </w:p>
        </w:tc>
        <w:tc>
          <w:tcPr>
            <w:tcW w:w="1559" w:type="dxa"/>
            <w:vAlign w:val="center"/>
          </w:tcPr>
          <w:p w14:paraId="0D344A8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113986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葛城街道养老服务中心在选址规划阶段；7个社区养老服务站，高燕镇大元社区和鸡鸣场镇社区在建设中，其余5个社区养老服务站在选址规划中；新增咸宜片区中心敬老院为失能人员集中照护、点，目前该院正在装修购置设备阶段。</w:t>
            </w:r>
          </w:p>
        </w:tc>
        <w:tc>
          <w:tcPr>
            <w:tcW w:w="2576" w:type="dxa"/>
          </w:tcPr>
          <w:p w14:paraId="163CD415">
            <w:pPr>
              <w:widowControl/>
              <w:spacing w:line="240" w:lineRule="exact"/>
              <w:jc w:val="left"/>
              <w:rPr>
                <w:rFonts w:ascii="Times New Roman" w:hAnsi="Times New Roman" w:eastAsia="方正仿宋_GBK"/>
                <w:color w:val="000000" w:themeColor="text1"/>
                <w:spacing w:val="-2"/>
                <w:kern w:val="0"/>
                <w:szCs w:val="21"/>
              </w:rPr>
            </w:pPr>
          </w:p>
          <w:p w14:paraId="343FB2E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县城内的5个社区养老服务站选址困难，街道社区没有现成的房屋改建，建设资金不足（每个20万元）；已建成的24个社区养老服务站无运行经费，运转困难。</w:t>
            </w:r>
          </w:p>
        </w:tc>
        <w:tc>
          <w:tcPr>
            <w:tcW w:w="3827" w:type="dxa"/>
          </w:tcPr>
          <w:p w14:paraId="24862043">
            <w:pPr>
              <w:widowControl/>
              <w:spacing w:line="240" w:lineRule="exact"/>
              <w:jc w:val="left"/>
              <w:rPr>
                <w:rFonts w:ascii="Times New Roman" w:hAnsi="Times New Roman" w:eastAsia="方正仿宋_GBK"/>
                <w:color w:val="000000" w:themeColor="text1"/>
                <w:spacing w:val="-2"/>
                <w:kern w:val="0"/>
                <w:szCs w:val="21"/>
              </w:rPr>
            </w:pPr>
          </w:p>
          <w:p w14:paraId="418877D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联合相关部门和街道，将闲置的国有资产进行整合，为街道养老服务中心和社区养老服务站提供场所，抓紧时间规划建设；探索医养结合的模式；咸宜片区中心敬老院建设完成后，尽快投入使用。</w:t>
            </w:r>
          </w:p>
        </w:tc>
      </w:tr>
      <w:tr w14:paraId="1B2D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86" w:type="dxa"/>
            <w:vAlign w:val="center"/>
          </w:tcPr>
          <w:p w14:paraId="386AC54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127</w:t>
            </w:r>
            <w:r>
              <w:rPr>
                <w:rFonts w:ascii="Times New Roman" w:hAnsi="Times New Roman" w:eastAsia="方正仿宋_GBK"/>
                <w:color w:val="000000" w:themeColor="text1"/>
                <w:spacing w:val="-2"/>
                <w:kern w:val="0"/>
                <w:szCs w:val="21"/>
              </w:rPr>
              <w:t>.健全退役军人工作体系和保障制度，加强退役军人保障服务</w:t>
            </w:r>
            <w:r>
              <w:rPr>
                <w:rFonts w:hint="eastAsia" w:ascii="Times New Roman" w:hAnsi="Times New Roman" w:eastAsia="方正仿宋_GBK"/>
                <w:color w:val="000000" w:themeColor="text1"/>
                <w:spacing w:val="-2"/>
                <w:kern w:val="0"/>
                <w:szCs w:val="21"/>
              </w:rPr>
              <w:t>，</w:t>
            </w:r>
          </w:p>
        </w:tc>
        <w:tc>
          <w:tcPr>
            <w:tcW w:w="850" w:type="dxa"/>
            <w:vAlign w:val="center"/>
          </w:tcPr>
          <w:p w14:paraId="7E56BBF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2DDFCD9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县退役军人事务局</w:t>
            </w:r>
          </w:p>
        </w:tc>
        <w:tc>
          <w:tcPr>
            <w:tcW w:w="1559" w:type="dxa"/>
            <w:vAlign w:val="center"/>
          </w:tcPr>
          <w:p w14:paraId="564BA51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县委组织部、县委编办、县财政局、县人力社保局各乡镇（街道）</w:t>
            </w:r>
          </w:p>
        </w:tc>
        <w:tc>
          <w:tcPr>
            <w:tcW w:w="4111" w:type="dxa"/>
          </w:tcPr>
          <w:p w14:paraId="1D4DD7D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一是建成县退役军人服务中心、25个乡镇（街道）服务站、204个村（社区）服务站，配备了专兼职工作人员 261 人，实现了以县退役军人服务中心为枢纽、乡镇（街道）、村（社区）服务站为支撑的退役军人服务保障体系。</w:t>
            </w:r>
          </w:p>
          <w:p w14:paraId="46FB7FE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按时拨付优抚对象优待抚恤金，2020年1季度拨付优抚对象定期抚恤补助金605.69万元，为优抚对象解决医疗、住房、生活困难拨付资金6.99万元，元旦、春节慰问优抚对象47.6万元，慰问驻城部队9万元，春节慰问现役军人家属13.34万余元，拨付物价上涨补贴资金23.27余万元，死亡优抚对象丧葬补助、驻军家属生活补助等拨付资金 1.8余万元， 2020年一季度共为优抚对象拨付各类补助金约707.69余万元，已完成拨付。</w:t>
            </w:r>
          </w:p>
          <w:p w14:paraId="57C253B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召开城口县双拥工作领导小组2020年第一次全体会议，审议并通过了《城口县双拥工作领导小组工作规则》《城口县双拥工作领导小组成员单位双拥工作职责》《城口县双拥工作领导小组办公室职责和工作制度》，会议研究了县双拥办提出的解决驻县部队有关困难的请示。</w:t>
            </w:r>
          </w:p>
          <w:p w14:paraId="6651AB7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部分退役士兵社保接续有序推进，我县通过摸排和比对，562人符合退役士兵社会保险补缴申请条件，已收到本人申请和根据相关资料录入系统535人，录入量达95.2%，完成市级目标任务。审核通过421人，驳回申请4人。县退役军人事务局已将审核通过的421份申请按审核的时间段分两批分别提交县社保局、县医保局和县民政局进行企业职工基本养老保险和城镇职工基本医疗保险参保情形和困难人员认定核查。第一批核查151名，已进入第一批的费用征缴阶段。</w:t>
            </w:r>
          </w:p>
          <w:p w14:paraId="622F90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按照《关于做好近期退役军人就业创业相关工作的通知》要求，积极同县人力社保局、就业局等部门沟通联系，整合全县就业资源，发布退役军人招聘信息，积极促进退役军人复工复产。通过发动各乡镇（街道）服务站开展线上招聘宣传，将退役军人招聘信息推送至各村（社）微信群，让更多的人了解退役军人就业创业网、城口县本土招聘活动、城口县本土直播，让他们有更多的选择机会。同时联系城口县融媒体中心、爱上城口等影响力较大的媒体，发布退役军人线上招聘信息，让更多的企业和退役军人进行双向选择。转发退役军人线上招聘信息102次，举办线上招聘活动2次，涉及城口本土企业106家，提供招聘岗位212个，转发浏览量达3512人次。</w:t>
            </w:r>
          </w:p>
        </w:tc>
        <w:tc>
          <w:tcPr>
            <w:tcW w:w="2576" w:type="dxa"/>
            <w:vAlign w:val="center"/>
          </w:tcPr>
          <w:p w14:paraId="0ED0A47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按部里要求，村（社区）退役军人服务站，凡有退役军人30人以上的，必须落实专职工作人员，我县村（社区）退役军人服务站的工作由综治专干兼任。</w:t>
            </w:r>
          </w:p>
        </w:tc>
        <w:tc>
          <w:tcPr>
            <w:tcW w:w="3827" w:type="dxa"/>
            <w:vAlign w:val="center"/>
          </w:tcPr>
          <w:p w14:paraId="15296F3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退役军人县、乡、村三级服务体系建设，切实提高退役军人和其他优抚对象服务保障能力，收集统计全县各村（社区）退役军人总数，对退役军人30人以上的村社区提出人员配备建议方案，交领导小组领导审定；</w:t>
            </w:r>
          </w:p>
          <w:p w14:paraId="3155D07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二是严格执行优抚对象抚恤金发放政策，进一步加强优抚对象关心关爱工作，提高对优抚对象服务工作能力；</w:t>
            </w:r>
          </w:p>
          <w:p w14:paraId="23D178A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三是加强零散烈士墓建设，使烈士墓发挥爱国主义教育功能；</w:t>
            </w:r>
          </w:p>
          <w:p w14:paraId="129E34C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四是做好军转干和退役军人安置服务工作，进一步提高符合政府安排工作条件退役士兵岗位安置质量；</w:t>
            </w:r>
          </w:p>
          <w:p w14:paraId="2F18F14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五是加强军民军政深度融合，巩固双拥工作成果，积极开展双拥模范县创建工作；</w:t>
            </w:r>
          </w:p>
          <w:p w14:paraId="43E5DF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六是积极开展退役士兵创业就业和技能培训、随军家属就业及子女入学入托工作，解决好现役军人 “三后”问题。</w:t>
            </w:r>
          </w:p>
        </w:tc>
      </w:tr>
      <w:tr w14:paraId="2D81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86" w:type="dxa"/>
            <w:vAlign w:val="center"/>
          </w:tcPr>
          <w:p w14:paraId="439218C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lang w:val="zh-CN"/>
              </w:rPr>
              <w:t>128.</w:t>
            </w:r>
            <w:r>
              <w:rPr>
                <w:rFonts w:ascii="Times New Roman" w:hAnsi="Times New Roman" w:eastAsia="方正仿宋_GBK"/>
                <w:color w:val="000000" w:themeColor="text1"/>
                <w:spacing w:val="-2"/>
                <w:kern w:val="0"/>
                <w:szCs w:val="21"/>
                <w:lang w:val="zh-CN"/>
              </w:rPr>
              <w:t>推进军民融合发展</w:t>
            </w:r>
            <w:r>
              <w:rPr>
                <w:rFonts w:ascii="Times New Roman" w:hAnsi="Times New Roman" w:eastAsia="方正仿宋_GBK"/>
                <w:color w:val="000000" w:themeColor="text1"/>
                <w:spacing w:val="-2"/>
                <w:kern w:val="0"/>
                <w:szCs w:val="21"/>
              </w:rPr>
              <w:t>。</w:t>
            </w:r>
          </w:p>
        </w:tc>
        <w:tc>
          <w:tcPr>
            <w:tcW w:w="850" w:type="dxa"/>
            <w:vAlign w:val="center"/>
          </w:tcPr>
          <w:p w14:paraId="4FA4C1C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3774F368">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县经济信息委</w:t>
            </w:r>
          </w:p>
        </w:tc>
        <w:tc>
          <w:tcPr>
            <w:tcW w:w="1559" w:type="dxa"/>
            <w:vAlign w:val="center"/>
          </w:tcPr>
          <w:p w14:paraId="4CDBB369">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1D8C79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已完成成渝地区协同打造军民融合产业体系的调研报告。</w:t>
            </w:r>
          </w:p>
        </w:tc>
        <w:tc>
          <w:tcPr>
            <w:tcW w:w="2576" w:type="dxa"/>
            <w:vAlign w:val="center"/>
          </w:tcPr>
          <w:p w14:paraId="421692E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DB3697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待市融办2020年工作方案下发后，拟定我县2020年度工作要点。</w:t>
            </w:r>
          </w:p>
        </w:tc>
      </w:tr>
      <w:tr w14:paraId="2226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986" w:type="dxa"/>
            <w:vAlign w:val="center"/>
          </w:tcPr>
          <w:p w14:paraId="1567EBE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129</w:t>
            </w:r>
            <w:r>
              <w:rPr>
                <w:rFonts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lang w:val="zh-CN"/>
              </w:rPr>
              <w:t>加强农村留守儿童和妇女、老年人关爱服务。</w:t>
            </w:r>
          </w:p>
        </w:tc>
        <w:tc>
          <w:tcPr>
            <w:tcW w:w="850" w:type="dxa"/>
            <w:vAlign w:val="center"/>
          </w:tcPr>
          <w:p w14:paraId="6922FAE6">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陈光辉</w:t>
            </w:r>
          </w:p>
          <w:p w14:paraId="22C48135">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伍咏梅</w:t>
            </w:r>
          </w:p>
        </w:tc>
        <w:tc>
          <w:tcPr>
            <w:tcW w:w="1134" w:type="dxa"/>
            <w:vAlign w:val="center"/>
          </w:tcPr>
          <w:p w14:paraId="224A33CB">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县民政局</w:t>
            </w:r>
          </w:p>
          <w:p w14:paraId="769143A2">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县妇联</w:t>
            </w:r>
          </w:p>
        </w:tc>
        <w:tc>
          <w:tcPr>
            <w:tcW w:w="1559" w:type="dxa"/>
            <w:vAlign w:val="center"/>
          </w:tcPr>
          <w:p w14:paraId="671B439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2BE38D0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制定了《关于加强特殊困难群体关爱服务的通知》，指导各乡镇街道对辖区内的农村留守老人及儿童进行摸排走访，对有需要的对象做好关爱和援助。</w:t>
            </w:r>
          </w:p>
        </w:tc>
        <w:tc>
          <w:tcPr>
            <w:tcW w:w="2576" w:type="dxa"/>
            <w:vAlign w:val="center"/>
          </w:tcPr>
          <w:p w14:paraId="451732D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419DC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对各乡镇街道做好指导和检查。</w:t>
            </w:r>
          </w:p>
        </w:tc>
      </w:tr>
      <w:tr w14:paraId="78B6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986" w:type="dxa"/>
            <w:vAlign w:val="center"/>
          </w:tcPr>
          <w:p w14:paraId="7BE1129F">
            <w:pPr>
              <w:widowControl/>
              <w:spacing w:line="240" w:lineRule="exact"/>
              <w:rPr>
                <w:rFonts w:ascii="Times New Roman" w:hAnsi="Times New Roman" w:eastAsia="方正仿宋_GBK"/>
                <w:color w:val="000000" w:themeColor="text1"/>
                <w:spacing w:val="-6"/>
                <w:kern w:val="0"/>
                <w:szCs w:val="21"/>
              </w:rPr>
            </w:pPr>
            <w:r>
              <w:rPr>
                <w:rFonts w:ascii="Times New Roman" w:hAnsi="Times New Roman" w:eastAsia="方正仿宋_GBK"/>
                <w:color w:val="000000" w:themeColor="text1"/>
                <w:spacing w:val="-6"/>
                <w:kern w:val="0"/>
                <w:szCs w:val="21"/>
              </w:rPr>
              <w:t>1</w:t>
            </w:r>
            <w:r>
              <w:rPr>
                <w:rFonts w:hint="eastAsia" w:ascii="Times New Roman" w:hAnsi="Times New Roman" w:eastAsia="方正仿宋_GBK"/>
                <w:color w:val="000000" w:themeColor="text1"/>
                <w:spacing w:val="-6"/>
                <w:kern w:val="0"/>
                <w:szCs w:val="21"/>
              </w:rPr>
              <w:t>30</w:t>
            </w:r>
            <w:r>
              <w:rPr>
                <w:rFonts w:ascii="Times New Roman" w:hAnsi="Times New Roman" w:eastAsia="方正仿宋_GBK"/>
                <w:color w:val="000000" w:themeColor="text1"/>
                <w:spacing w:val="-6"/>
                <w:kern w:val="0"/>
                <w:szCs w:val="21"/>
              </w:rPr>
              <w:t>.</w:t>
            </w:r>
            <w:r>
              <w:rPr>
                <w:rFonts w:ascii="Times New Roman" w:hAnsi="Times New Roman" w:eastAsia="方正仿宋_GBK"/>
                <w:color w:val="000000" w:themeColor="text1"/>
                <w:spacing w:val="-6"/>
                <w:kern w:val="0"/>
                <w:szCs w:val="21"/>
                <w:lang w:val="zh-CN"/>
              </w:rPr>
              <w:t>强化婚姻登记、殡葬管理等公共服务</w:t>
            </w:r>
            <w:r>
              <w:rPr>
                <w:rFonts w:ascii="Times New Roman" w:hAnsi="Times New Roman" w:eastAsia="方正仿宋_GBK"/>
                <w:color w:val="000000" w:themeColor="text1"/>
                <w:spacing w:val="-6"/>
                <w:kern w:val="0"/>
                <w:szCs w:val="21"/>
              </w:rPr>
              <w:t>。</w:t>
            </w:r>
          </w:p>
        </w:tc>
        <w:tc>
          <w:tcPr>
            <w:tcW w:w="850" w:type="dxa"/>
            <w:vAlign w:val="center"/>
          </w:tcPr>
          <w:p w14:paraId="158279E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A49236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县民政局</w:t>
            </w:r>
          </w:p>
        </w:tc>
        <w:tc>
          <w:tcPr>
            <w:tcW w:w="1559" w:type="dxa"/>
            <w:vAlign w:val="center"/>
          </w:tcPr>
          <w:p w14:paraId="33A4B6A3">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3636B0D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一季度共完成婚姻登记728对，其中结婚登记408对，离婚登记177对，补领结婚证143对。无有效投诉，登记合格率100％。殡葬管理公共服务，一季度共接待治丧57起，公墓安葬32个。</w:t>
            </w:r>
          </w:p>
        </w:tc>
        <w:tc>
          <w:tcPr>
            <w:tcW w:w="2576" w:type="dxa"/>
            <w:vAlign w:val="center"/>
          </w:tcPr>
          <w:p w14:paraId="2FBAFCD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BF784E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继续加强婚姻登记信息化、规范化、标准化建设。做好殡葬服务保障工作。</w:t>
            </w:r>
          </w:p>
          <w:p w14:paraId="3BC19AA7">
            <w:pPr>
              <w:widowControl/>
              <w:spacing w:line="240" w:lineRule="exact"/>
              <w:jc w:val="left"/>
              <w:rPr>
                <w:rFonts w:ascii="Times New Roman" w:hAnsi="Times New Roman" w:eastAsia="方正仿宋_GBK"/>
                <w:color w:val="000000" w:themeColor="text1"/>
                <w:spacing w:val="-2"/>
                <w:kern w:val="0"/>
                <w:szCs w:val="21"/>
              </w:rPr>
            </w:pPr>
          </w:p>
        </w:tc>
      </w:tr>
      <w:tr w14:paraId="2118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986" w:type="dxa"/>
            <w:vAlign w:val="center"/>
          </w:tcPr>
          <w:p w14:paraId="78EEDDD3">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31</w:t>
            </w:r>
            <w:r>
              <w:rPr>
                <w:rFonts w:ascii="Times New Roman" w:hAnsi="Times New Roman" w:eastAsia="方正仿宋_GBK"/>
                <w:color w:val="000000" w:themeColor="text1"/>
                <w:spacing w:val="-2"/>
                <w:kern w:val="0"/>
                <w:szCs w:val="21"/>
              </w:rPr>
              <w:t>.加强基层文化服务中心效能建设。</w:t>
            </w:r>
          </w:p>
        </w:tc>
        <w:tc>
          <w:tcPr>
            <w:tcW w:w="850" w:type="dxa"/>
            <w:vAlign w:val="center"/>
          </w:tcPr>
          <w:p w14:paraId="459E0E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tc>
        <w:tc>
          <w:tcPr>
            <w:tcW w:w="1134" w:type="dxa"/>
            <w:vAlign w:val="center"/>
          </w:tcPr>
          <w:p w14:paraId="4033ED7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县文化旅游委</w:t>
            </w:r>
          </w:p>
        </w:tc>
        <w:tc>
          <w:tcPr>
            <w:tcW w:w="1559" w:type="dxa"/>
            <w:vAlign w:val="center"/>
          </w:tcPr>
          <w:p w14:paraId="744949E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C09C66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正在制定新的考核办法和免费开放资金使用方案。</w:t>
            </w:r>
          </w:p>
        </w:tc>
        <w:tc>
          <w:tcPr>
            <w:tcW w:w="2576" w:type="dxa"/>
            <w:vAlign w:val="center"/>
          </w:tcPr>
          <w:p w14:paraId="2EACEC6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基层文化专干大多不能专职履责。</w:t>
            </w:r>
          </w:p>
        </w:tc>
        <w:tc>
          <w:tcPr>
            <w:tcW w:w="3827" w:type="dxa"/>
            <w:vAlign w:val="center"/>
          </w:tcPr>
          <w:p w14:paraId="436939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推进公共文化服务标准化建设，持续推进文图两馆免费开放，推进群众文化云平台建设</w:t>
            </w:r>
          </w:p>
        </w:tc>
      </w:tr>
      <w:tr w14:paraId="1007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043" w:type="dxa"/>
            <w:gridSpan w:val="7"/>
            <w:vAlign w:val="center"/>
          </w:tcPr>
          <w:p w14:paraId="27E9D5C5">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（九）</w:t>
            </w:r>
            <w:r>
              <w:rPr>
                <w:rFonts w:ascii="Times New Roman" w:hAnsi="Times New Roman" w:eastAsia="方正楷体_GBK"/>
                <w:b/>
                <w:bCs/>
                <w:color w:val="000000" w:themeColor="text1"/>
                <w:spacing w:val="-2"/>
                <w:kern w:val="0"/>
                <w:szCs w:val="21"/>
              </w:rPr>
              <w:t>强化各类风险防范化解，坚决守住不发生区域性、系统性风险底线。</w:t>
            </w:r>
          </w:p>
        </w:tc>
      </w:tr>
      <w:tr w14:paraId="616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86" w:type="dxa"/>
            <w:vAlign w:val="center"/>
          </w:tcPr>
          <w:p w14:paraId="026F6B19">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32</w:t>
            </w:r>
            <w:r>
              <w:rPr>
                <w:rFonts w:ascii="Times New Roman" w:hAnsi="Times New Roman" w:eastAsia="方正仿宋_GBK"/>
                <w:bCs/>
                <w:color w:val="000000" w:themeColor="text1"/>
                <w:spacing w:val="-2"/>
                <w:kern w:val="0"/>
                <w:szCs w:val="21"/>
              </w:rPr>
              <w:t>.进一步完善监管机制，坚决禁止无预算上项目、超概超预算等行为，杜绝政府隐形债务增量。</w:t>
            </w:r>
          </w:p>
        </w:tc>
        <w:tc>
          <w:tcPr>
            <w:tcW w:w="850" w:type="dxa"/>
            <w:vAlign w:val="center"/>
          </w:tcPr>
          <w:p w14:paraId="36415E3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1AD995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6E4B3C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38EA2F5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有关项目行业主管部门各乡镇（街道）</w:t>
            </w:r>
          </w:p>
        </w:tc>
        <w:tc>
          <w:tcPr>
            <w:tcW w:w="4111" w:type="dxa"/>
            <w:vAlign w:val="center"/>
          </w:tcPr>
          <w:p w14:paraId="3837DED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按要求建立了政府投资项目编码管理平台、项目资金国库集中支付、债务追责问责以及债务管控考核等相关制度。严格项目结决算办理流程，坚决遏制隐性债务增量。</w:t>
            </w:r>
          </w:p>
        </w:tc>
        <w:tc>
          <w:tcPr>
            <w:tcW w:w="2576" w:type="dxa"/>
            <w:vAlign w:val="center"/>
          </w:tcPr>
          <w:p w14:paraId="3D40052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个别政府投资项目超标超概超预算行为屡禁不止，要彻底杜绝新增政府隐性债务行为，还面临很多困难。</w:t>
            </w:r>
          </w:p>
        </w:tc>
        <w:tc>
          <w:tcPr>
            <w:tcW w:w="3827" w:type="dxa"/>
            <w:vAlign w:val="center"/>
          </w:tcPr>
          <w:p w14:paraId="320716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加大新增政府隐性债务的处罚力度。</w:t>
            </w:r>
          </w:p>
        </w:tc>
      </w:tr>
      <w:tr w14:paraId="71CD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986" w:type="dxa"/>
            <w:vAlign w:val="center"/>
          </w:tcPr>
          <w:p w14:paraId="46D491C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133</w:t>
            </w:r>
            <w:r>
              <w:rPr>
                <w:rFonts w:ascii="Times New Roman" w:hAnsi="Times New Roman" w:eastAsia="方正仿宋_GBK"/>
                <w:bCs/>
                <w:color w:val="000000" w:themeColor="text1"/>
                <w:spacing w:val="-2"/>
                <w:kern w:val="0"/>
                <w:szCs w:val="21"/>
              </w:rPr>
              <w:t>.落实资金使用单位偿债责任，推进国有平台公司市场化转型，进一步盘活国有资源资产，建立行业部门对应领域项目资金优先安排化解存量债务机制，完成隐性债务化解年度任务。</w:t>
            </w:r>
          </w:p>
        </w:tc>
        <w:tc>
          <w:tcPr>
            <w:tcW w:w="850" w:type="dxa"/>
            <w:vAlign w:val="center"/>
          </w:tcPr>
          <w:p w14:paraId="03FAF80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F0FB3E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6CA8E52F">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9EA096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已召开2020年政府性债务领导小组会议，县四家班子主要领导，县委及县政府班子成员，县属相关行业主管部门、县属国有企业、乡镇街道主要负责人参加会议。会议再次传达学习了中央、市级、县级债务风险管控的各项政策，重申了债务管控纪律。会议审议了“1+6”的债务风险防控方案。按照融资资金“谁使用、谁负责、谁偿还”的原则，落实债务资金举借单位、使用单位、行业主管部门偿债责任及分年度偿债资金筹集任务。同时，严格政府债务控债、化债考核机制，切实防范化解债务风险。</w:t>
            </w:r>
          </w:p>
        </w:tc>
        <w:tc>
          <w:tcPr>
            <w:tcW w:w="2576" w:type="dxa"/>
            <w:vAlign w:val="center"/>
          </w:tcPr>
          <w:p w14:paraId="355C47C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201565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根据正式印发的债务风险管控“1+6”方案，强化偿债资金筹集及债务化解的考核工作，确保《方案》落到实处。</w:t>
            </w:r>
          </w:p>
        </w:tc>
      </w:tr>
      <w:tr w14:paraId="0C2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986" w:type="dxa"/>
            <w:vAlign w:val="center"/>
          </w:tcPr>
          <w:p w14:paraId="58E69776">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134</w:t>
            </w:r>
            <w:r>
              <w:rPr>
                <w:rFonts w:ascii="Times New Roman" w:hAnsi="Times New Roman" w:eastAsia="方正仿宋_GBK"/>
                <w:bCs/>
                <w:color w:val="000000" w:themeColor="text1"/>
                <w:spacing w:val="-2"/>
                <w:kern w:val="0"/>
                <w:szCs w:val="21"/>
              </w:rPr>
              <w:t>.深入实施债券违约、非法集资等6大领域金融风险专项治理</w:t>
            </w:r>
            <w:r>
              <w:rPr>
                <w:rFonts w:hint="eastAsia" w:ascii="Times New Roman" w:hAnsi="Times New Roman" w:eastAsia="方正仿宋_GBK"/>
                <w:bCs/>
                <w:color w:val="000000" w:themeColor="text1"/>
                <w:spacing w:val="-2"/>
                <w:kern w:val="0"/>
                <w:szCs w:val="21"/>
              </w:rPr>
              <w:t>。</w:t>
            </w:r>
          </w:p>
        </w:tc>
        <w:tc>
          <w:tcPr>
            <w:tcW w:w="850" w:type="dxa"/>
            <w:vAlign w:val="center"/>
          </w:tcPr>
          <w:p w14:paraId="7DE21B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557F252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3D45DAC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14E7398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县发展改革委</w:t>
            </w:r>
          </w:p>
        </w:tc>
        <w:tc>
          <w:tcPr>
            <w:tcW w:w="1559" w:type="dxa"/>
            <w:vAlign w:val="center"/>
          </w:tcPr>
          <w:p w14:paraId="48189A8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县金融服务中心、</w:t>
            </w:r>
            <w:r>
              <w:rPr>
                <w:rFonts w:hint="eastAsia" w:ascii="Times New Roman" w:hAnsi="Times New Roman" w:eastAsia="方正仿宋_GBK"/>
                <w:color w:val="000000" w:themeColor="text1"/>
                <w:spacing w:val="-2"/>
                <w:kern w:val="0"/>
                <w:szCs w:val="21"/>
              </w:rPr>
              <w:t>县法院、县公安局</w:t>
            </w:r>
          </w:p>
        </w:tc>
        <w:tc>
          <w:tcPr>
            <w:tcW w:w="4111" w:type="dxa"/>
            <w:vAlign w:val="center"/>
          </w:tcPr>
          <w:p w14:paraId="0C41633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将</w:t>
            </w:r>
            <w:r>
              <w:rPr>
                <w:rFonts w:ascii="Times New Roman" w:hAnsi="Times New Roman" w:eastAsia="方正仿宋_GBK"/>
                <w:color w:val="000000" w:themeColor="text1"/>
                <w:spacing w:val="-2"/>
                <w:kern w:val="0"/>
                <w:szCs w:val="21"/>
              </w:rPr>
              <w:t>政府</w:t>
            </w:r>
            <w:r>
              <w:rPr>
                <w:rFonts w:hint="eastAsia" w:ascii="Times New Roman" w:hAnsi="Times New Roman" w:eastAsia="方正仿宋_GBK"/>
                <w:color w:val="000000" w:themeColor="text1"/>
                <w:spacing w:val="-2"/>
                <w:kern w:val="0"/>
                <w:szCs w:val="21"/>
              </w:rPr>
              <w:t>债券</w:t>
            </w:r>
            <w:r>
              <w:rPr>
                <w:rFonts w:ascii="Times New Roman" w:hAnsi="Times New Roman" w:eastAsia="方正仿宋_GBK"/>
                <w:color w:val="000000" w:themeColor="text1"/>
                <w:spacing w:val="-2"/>
                <w:kern w:val="0"/>
                <w:szCs w:val="21"/>
              </w:rPr>
              <w:t>资金使用</w:t>
            </w:r>
            <w:r>
              <w:rPr>
                <w:rFonts w:hint="eastAsia" w:ascii="Times New Roman" w:hAnsi="Times New Roman" w:eastAsia="方正仿宋_GBK"/>
                <w:color w:val="000000" w:themeColor="text1"/>
                <w:spacing w:val="-2"/>
                <w:kern w:val="0"/>
                <w:szCs w:val="21"/>
              </w:rPr>
              <w:t>情况</w:t>
            </w:r>
            <w:r>
              <w:rPr>
                <w:rFonts w:ascii="Times New Roman" w:hAnsi="Times New Roman" w:eastAsia="方正仿宋_GBK"/>
                <w:color w:val="000000" w:themeColor="text1"/>
                <w:spacing w:val="-2"/>
                <w:kern w:val="0"/>
                <w:szCs w:val="21"/>
              </w:rPr>
              <w:t>纳入</w:t>
            </w:r>
            <w:r>
              <w:rPr>
                <w:rFonts w:hint="eastAsia" w:ascii="Times New Roman" w:hAnsi="Times New Roman" w:eastAsia="方正仿宋_GBK"/>
                <w:color w:val="000000" w:themeColor="text1"/>
                <w:spacing w:val="-2"/>
                <w:kern w:val="0"/>
                <w:szCs w:val="21"/>
              </w:rPr>
              <w:t>2020年财政</w:t>
            </w:r>
            <w:r>
              <w:rPr>
                <w:rFonts w:ascii="Times New Roman" w:hAnsi="Times New Roman" w:eastAsia="方正仿宋_GBK"/>
                <w:color w:val="000000" w:themeColor="text1"/>
                <w:spacing w:val="-2"/>
                <w:kern w:val="0"/>
                <w:szCs w:val="21"/>
              </w:rPr>
              <w:t>财务检查的内容，重点对政府债券资金是否</w:t>
            </w:r>
            <w:r>
              <w:rPr>
                <w:rFonts w:hint="eastAsia" w:ascii="Times New Roman" w:hAnsi="Times New Roman" w:eastAsia="方正仿宋_GBK"/>
                <w:color w:val="000000" w:themeColor="text1"/>
                <w:spacing w:val="-2"/>
                <w:kern w:val="0"/>
                <w:szCs w:val="21"/>
              </w:rPr>
              <w:t>规范</w:t>
            </w:r>
            <w:r>
              <w:rPr>
                <w:rFonts w:ascii="Times New Roman" w:hAnsi="Times New Roman" w:eastAsia="方正仿宋_GBK"/>
                <w:color w:val="000000" w:themeColor="text1"/>
                <w:spacing w:val="-2"/>
                <w:kern w:val="0"/>
                <w:szCs w:val="21"/>
              </w:rPr>
              <w:t>使用进行监督检查，同时，将政府债务还本付息资金全额纳入当年预算安排，确保不</w:t>
            </w:r>
            <w:r>
              <w:rPr>
                <w:rFonts w:hint="eastAsia" w:ascii="Times New Roman" w:hAnsi="Times New Roman" w:eastAsia="方正仿宋_GBK"/>
                <w:color w:val="000000" w:themeColor="text1"/>
                <w:spacing w:val="-2"/>
                <w:kern w:val="0"/>
                <w:szCs w:val="21"/>
              </w:rPr>
              <w:t>发生政府</w:t>
            </w:r>
            <w:r>
              <w:rPr>
                <w:rFonts w:ascii="Times New Roman" w:hAnsi="Times New Roman" w:eastAsia="方正仿宋_GBK"/>
                <w:color w:val="000000" w:themeColor="text1"/>
                <w:spacing w:val="-2"/>
                <w:kern w:val="0"/>
                <w:szCs w:val="21"/>
              </w:rPr>
              <w:t>债券资金违约风险</w:t>
            </w:r>
            <w:r>
              <w:rPr>
                <w:rFonts w:hint="eastAsia" w:ascii="Times New Roman" w:hAnsi="Times New Roman" w:eastAsia="方正仿宋_GBK"/>
                <w:color w:val="000000" w:themeColor="text1"/>
                <w:spacing w:val="-2"/>
                <w:kern w:val="0"/>
                <w:szCs w:val="21"/>
              </w:rPr>
              <w:t>事件</w:t>
            </w:r>
            <w:r>
              <w:rPr>
                <w:rFonts w:ascii="Times New Roman" w:hAnsi="Times New Roman" w:eastAsia="方正仿宋_GBK"/>
                <w:color w:val="000000" w:themeColor="text1"/>
                <w:spacing w:val="-2"/>
                <w:kern w:val="0"/>
                <w:szCs w:val="21"/>
              </w:rPr>
              <w:t>。</w:t>
            </w:r>
          </w:p>
        </w:tc>
        <w:tc>
          <w:tcPr>
            <w:tcW w:w="2576" w:type="dxa"/>
            <w:vAlign w:val="center"/>
          </w:tcPr>
          <w:p w14:paraId="782074B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政府</w:t>
            </w:r>
            <w:r>
              <w:rPr>
                <w:rFonts w:ascii="Times New Roman" w:hAnsi="Times New Roman" w:eastAsia="方正仿宋_GBK"/>
                <w:color w:val="000000" w:themeColor="text1"/>
                <w:spacing w:val="-2"/>
                <w:kern w:val="0"/>
                <w:szCs w:val="21"/>
              </w:rPr>
              <w:t>债券还本付息资金筹集压力大。</w:t>
            </w:r>
          </w:p>
        </w:tc>
        <w:tc>
          <w:tcPr>
            <w:tcW w:w="3827" w:type="dxa"/>
            <w:vAlign w:val="center"/>
          </w:tcPr>
          <w:p w14:paraId="04B484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w:t>
            </w:r>
            <w:r>
              <w:rPr>
                <w:rFonts w:ascii="Times New Roman" w:hAnsi="Times New Roman" w:eastAsia="方正仿宋_GBK"/>
                <w:color w:val="000000" w:themeColor="text1"/>
                <w:spacing w:val="-2"/>
                <w:kern w:val="0"/>
                <w:szCs w:val="21"/>
              </w:rPr>
              <w:t>加大财政资金统筹整合力度。</w:t>
            </w:r>
          </w:p>
        </w:tc>
      </w:tr>
      <w:tr w14:paraId="5639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6" w:type="dxa"/>
            <w:vAlign w:val="center"/>
          </w:tcPr>
          <w:p w14:paraId="06B171F1">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135.</w:t>
            </w:r>
            <w:r>
              <w:rPr>
                <w:rFonts w:ascii="Times New Roman" w:hAnsi="Times New Roman" w:eastAsia="方正仿宋_GBK"/>
                <w:bCs/>
                <w:color w:val="000000" w:themeColor="text1"/>
                <w:spacing w:val="-2"/>
                <w:kern w:val="0"/>
                <w:szCs w:val="21"/>
              </w:rPr>
              <w:t>加大网络贷、校园贷、套路贷打击力度。</w:t>
            </w:r>
          </w:p>
        </w:tc>
        <w:tc>
          <w:tcPr>
            <w:tcW w:w="850" w:type="dxa"/>
            <w:vAlign w:val="center"/>
          </w:tcPr>
          <w:p w14:paraId="23BFCEE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4F88E99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县公安局</w:t>
            </w:r>
          </w:p>
        </w:tc>
        <w:tc>
          <w:tcPr>
            <w:tcW w:w="1559" w:type="dxa"/>
            <w:vAlign w:val="center"/>
          </w:tcPr>
          <w:p w14:paraId="4524E7FD">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5070708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县公安局下发绩效考核任务，将套路带线索摸排作为具体任务下发至派出所，同时，扫黑办继续将打击套路贷作为重点方向，持续对正在办理案件深入挖掘线索，加大打击力度。</w:t>
            </w:r>
          </w:p>
        </w:tc>
        <w:tc>
          <w:tcPr>
            <w:tcW w:w="2576" w:type="dxa"/>
            <w:vAlign w:val="center"/>
          </w:tcPr>
          <w:p w14:paraId="03A571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涉黑涉恶问题呈现新特点，增加打击难度。二是随着专项斗争的不断深入，黑恶势力公开砍杀打斗、划分底盘、收取保护费等“硬暴力”明显收敛，更加注重就地伪装、易地隐身。三是有的黑恶势力从传统行业领域向金融、网络等新兴领域延伸触角，逐渐“公司化”，企图利用法律空白点、监管盲区，隐蔽从事违法犯罪活动。</w:t>
            </w:r>
          </w:p>
          <w:p w14:paraId="48604E69">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97004C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协作配合。牢固树立全局一盘棋思想，服从命令、听从指挥，立足本地，最大限度发挥好整体作战优势。各警种、各部门要充分发挥职能优势，密切配合、通力协作，整合资源、合成作战，切实形成工作合力，最大限度提高打击效能。二是严格依法办案。办案单位要强化法律意识、证据意识、诉讼意识、程序意识，既要重实体，又要重程序，确保办案质量和办案效率的统一，确保政治效果、法律效果和社会效果的统一。三是广泛宣传发动。坚持专群结合、依靠群众，采取多种形式，在全社会迅速形成强大的打击氛围。要利用广播、电视、网络等传统和新型媒体，充分宣传公安机关打击网络贷、校园贷、套路贷的决心和举措，展示行动的成效，彰显法治权威，形成有效震慑。四是创新办案模式。将网络空间、新兴领域作为重点，有针对性采取措施，防止其成为滋生网络贷、校园贷、套路贷的温床。创新执法办案模式，善于运用现代科技手段完善侦查、研判、指挥、打击实战机制，确保打准、打精、打实。</w:t>
            </w:r>
          </w:p>
        </w:tc>
      </w:tr>
      <w:tr w14:paraId="0545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986" w:type="dxa"/>
            <w:vAlign w:val="center"/>
          </w:tcPr>
          <w:p w14:paraId="757C28C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136</w:t>
            </w:r>
            <w:r>
              <w:rPr>
                <w:rFonts w:ascii="Times New Roman" w:hAnsi="Times New Roman" w:eastAsia="方正仿宋_GBK"/>
                <w:bCs/>
                <w:color w:val="000000" w:themeColor="text1"/>
                <w:spacing w:val="-2"/>
                <w:kern w:val="0"/>
                <w:szCs w:val="21"/>
              </w:rPr>
              <w:t>.建立金融风险监测、预警和处置机制，严格规范信贷、担保管理，降低不良贷款率和</w:t>
            </w:r>
            <w:r>
              <w:rPr>
                <w:rFonts w:hint="eastAsia" w:ascii="Times New Roman" w:hAnsi="Times New Roman" w:eastAsia="方正仿宋_GBK"/>
                <w:bCs/>
                <w:color w:val="000000" w:themeColor="text1"/>
                <w:spacing w:val="-2"/>
                <w:kern w:val="0"/>
                <w:szCs w:val="21"/>
              </w:rPr>
              <w:t>担保</w:t>
            </w:r>
            <w:r>
              <w:rPr>
                <w:rFonts w:ascii="Times New Roman" w:hAnsi="Times New Roman" w:eastAsia="方正仿宋_GBK"/>
                <w:bCs/>
                <w:color w:val="000000" w:themeColor="text1"/>
                <w:spacing w:val="-2"/>
                <w:kern w:val="0"/>
                <w:szCs w:val="21"/>
              </w:rPr>
              <w:t>代偿率。</w:t>
            </w:r>
          </w:p>
        </w:tc>
        <w:tc>
          <w:tcPr>
            <w:tcW w:w="850" w:type="dxa"/>
            <w:vAlign w:val="center"/>
          </w:tcPr>
          <w:p w14:paraId="40ADB5F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8A3EE7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4194DE8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6294A1C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人行城口</w:t>
            </w:r>
            <w:r>
              <w:rPr>
                <w:rFonts w:hint="eastAsia" w:ascii="Times New Roman" w:hAnsi="Times New Roman" w:eastAsia="方正仿宋_GBK"/>
                <w:color w:val="000000" w:themeColor="text1"/>
                <w:spacing w:val="-2"/>
                <w:kern w:val="0"/>
                <w:szCs w:val="21"/>
              </w:rPr>
              <w:t>县</w:t>
            </w:r>
            <w:r>
              <w:rPr>
                <w:rFonts w:ascii="Times New Roman" w:hAnsi="Times New Roman" w:eastAsia="方正仿宋_GBK"/>
                <w:color w:val="000000" w:themeColor="text1"/>
                <w:spacing w:val="-2"/>
                <w:kern w:val="0"/>
                <w:szCs w:val="21"/>
              </w:rPr>
              <w:t>支行</w:t>
            </w:r>
            <w:r>
              <w:rPr>
                <w:rFonts w:hint="eastAsia" w:ascii="Times New Roman" w:hAnsi="Times New Roman" w:eastAsia="方正仿宋_GBK"/>
                <w:color w:val="000000" w:themeColor="text1"/>
                <w:spacing w:val="-2"/>
                <w:kern w:val="0"/>
                <w:szCs w:val="21"/>
              </w:rPr>
              <w:t>、万州银保监分局城口监管组</w:t>
            </w:r>
          </w:p>
        </w:tc>
        <w:tc>
          <w:tcPr>
            <w:tcW w:w="4111" w:type="dxa"/>
            <w:vAlign w:val="center"/>
          </w:tcPr>
          <w:p w14:paraId="085DD1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财政将积极对接市上相关政策并跟进抓好落实。</w:t>
            </w:r>
          </w:p>
        </w:tc>
        <w:tc>
          <w:tcPr>
            <w:tcW w:w="2576" w:type="dxa"/>
            <w:vAlign w:val="center"/>
          </w:tcPr>
          <w:p w14:paraId="54B08AA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9269D26">
            <w:pPr>
              <w:widowControl/>
              <w:spacing w:line="240" w:lineRule="exact"/>
              <w:jc w:val="left"/>
              <w:rPr>
                <w:rFonts w:ascii="Times New Roman" w:hAnsi="Times New Roman" w:eastAsia="方正仿宋_GBK"/>
                <w:color w:val="000000" w:themeColor="text1"/>
                <w:spacing w:val="-2"/>
                <w:kern w:val="0"/>
                <w:szCs w:val="21"/>
              </w:rPr>
            </w:pPr>
          </w:p>
        </w:tc>
      </w:tr>
      <w:tr w14:paraId="05CA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86" w:type="dxa"/>
            <w:vAlign w:val="center"/>
          </w:tcPr>
          <w:p w14:paraId="339A1F7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137</w:t>
            </w:r>
            <w:r>
              <w:rPr>
                <w:rFonts w:ascii="Times New Roman" w:hAnsi="Times New Roman" w:eastAsia="方正仿宋_GBK"/>
                <w:bCs/>
                <w:color w:val="000000" w:themeColor="text1"/>
                <w:spacing w:val="-2"/>
                <w:kern w:val="0"/>
                <w:szCs w:val="21"/>
              </w:rPr>
              <w:t>.建立稳地价、稳房价、稳预期的长效管理调控机制，确保房地产市场健康发展。</w:t>
            </w:r>
          </w:p>
        </w:tc>
        <w:tc>
          <w:tcPr>
            <w:tcW w:w="850" w:type="dxa"/>
            <w:vAlign w:val="center"/>
          </w:tcPr>
          <w:p w14:paraId="1963ABE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4A9320E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01BF33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bCs/>
                <w:color w:val="000000" w:themeColor="text1"/>
                <w:spacing w:val="-10"/>
                <w:kern w:val="0"/>
                <w:szCs w:val="21"/>
              </w:rPr>
              <w:t>县规划自然资源局</w:t>
            </w:r>
          </w:p>
        </w:tc>
        <w:tc>
          <w:tcPr>
            <w:tcW w:w="4111" w:type="dxa"/>
            <w:vAlign w:val="center"/>
          </w:tcPr>
          <w:p w14:paraId="0BF9AE5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一是项目建设方案备案管理，未办理项目建设方案备案的项目不得办理项目资本金监管手续，督促企业执行开发建设方案备案制度；</w:t>
            </w:r>
          </w:p>
          <w:p w14:paraId="42F947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二是项目手册的填报和审核，对未按照要求填报项目手册的，实行扣分并与信用评价挂钩；</w:t>
            </w:r>
          </w:p>
          <w:p w14:paraId="497566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三是项目资本金和预售资金监管；</w:t>
            </w:r>
          </w:p>
          <w:p w14:paraId="3C369FA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四是套设施承诺、新建商品房住宅交付使用告知公示、两金监管制度的执行情况加大检查力度。积极协调房地产项目配套基础设施建设工作。以配套设施建设承诺制度和告知制度为抓手，提高开发项目品质。</w:t>
            </w:r>
          </w:p>
        </w:tc>
        <w:tc>
          <w:tcPr>
            <w:tcW w:w="2576" w:type="dxa"/>
          </w:tcPr>
          <w:p w14:paraId="0FD9305D">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2FF22EC">
            <w:pPr>
              <w:widowControl/>
              <w:spacing w:line="240" w:lineRule="exact"/>
              <w:jc w:val="left"/>
              <w:rPr>
                <w:rFonts w:ascii="Times New Roman" w:hAnsi="Times New Roman" w:eastAsia="方正仿宋_GBK"/>
                <w:color w:val="000000" w:themeColor="text1"/>
                <w:spacing w:val="-2"/>
                <w:kern w:val="0"/>
                <w:szCs w:val="21"/>
              </w:rPr>
            </w:pPr>
          </w:p>
        </w:tc>
      </w:tr>
      <w:tr w14:paraId="05BC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986" w:type="dxa"/>
            <w:vAlign w:val="center"/>
          </w:tcPr>
          <w:p w14:paraId="7D39B1C6">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138</w:t>
            </w:r>
            <w:r>
              <w:rPr>
                <w:rFonts w:ascii="Times New Roman" w:hAnsi="Times New Roman" w:eastAsia="方正仿宋_GBK"/>
                <w:bCs/>
                <w:color w:val="000000" w:themeColor="text1"/>
                <w:spacing w:val="-2"/>
                <w:kern w:val="0"/>
                <w:szCs w:val="21"/>
              </w:rPr>
              <w:t>.深化</w:t>
            </w:r>
            <w:r>
              <w:rPr>
                <w:rFonts w:hint="eastAsia" w:ascii="Times New Roman" w:hAnsi="Times New Roman" w:eastAsia="方正仿宋_GBK"/>
                <w:bCs/>
                <w:color w:val="000000" w:themeColor="text1"/>
                <w:spacing w:val="-2"/>
                <w:kern w:val="0"/>
                <w:szCs w:val="21"/>
                <w:lang w:eastAsia="zh-CN"/>
              </w:rPr>
              <w:t>扫黑除恶专项斗争</w:t>
            </w:r>
            <w:r>
              <w:rPr>
                <w:rFonts w:ascii="Times New Roman" w:hAnsi="Times New Roman" w:eastAsia="方正仿宋_GBK"/>
                <w:bCs/>
                <w:color w:val="000000" w:themeColor="text1"/>
                <w:spacing w:val="-2"/>
                <w:kern w:val="0"/>
                <w:szCs w:val="21"/>
              </w:rPr>
              <w:t>，坚决打击影响脱贫攻坚进程、成色和质量的突出问题</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严密防范、依法打击敌对势力策划</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街头政治</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、插手敏感热点问题等各类捣乱滋事活动，加强非法宗教的防范、处置工作。</w:t>
            </w:r>
          </w:p>
        </w:tc>
        <w:tc>
          <w:tcPr>
            <w:tcW w:w="850" w:type="dxa"/>
            <w:vAlign w:val="center"/>
          </w:tcPr>
          <w:p w14:paraId="66A51A4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6EDE7FA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6A2B6BD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tc>
        <w:tc>
          <w:tcPr>
            <w:tcW w:w="1559" w:type="dxa"/>
            <w:vAlign w:val="center"/>
          </w:tcPr>
          <w:p w14:paraId="68493C9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w:t>
            </w:r>
          </w:p>
        </w:tc>
        <w:tc>
          <w:tcPr>
            <w:tcW w:w="4111" w:type="dxa"/>
            <w:vAlign w:val="center"/>
          </w:tcPr>
          <w:p w14:paraId="2710F4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一是坚持高位推动，今年以来，先后组织召开领导小组会2次，扫黑办主任会议2次，传达学习中央、市委新部署新要求，研究落实贯彻措施。</w:t>
            </w:r>
          </w:p>
          <w:p w14:paraId="5A29078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二是系统谋划年度工作任务。结合我县实际，研究制定《城口县扫黑除恶专项斗争领导小组2020年工作要点》等文件，明确了总体思路和具体措施。</w:t>
            </w:r>
          </w:p>
          <w:p w14:paraId="26826EE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三是强化线索摸排核查，开辟线索摸排“第二战场”，截至目前，共掌握问题线索147条，已查结142条。</w:t>
            </w:r>
          </w:p>
          <w:p w14:paraId="02536A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狠抓重点行业治理，结合我县重点行业领域乱象实际，进一步细化工作方案，开展整治成效“回头看”，持续加强河道巡查、市场监管、交通巡查、森林巡查、治安巡逻等工作，严防78家已关停非法采砂厂、乱捕乱伐保护动植物、非法营运客运车辆、违规销售保健品、干扰工程建设等乱象死灰复燃，不断堵塞行业监管漏洞，推动行业领域突出问题得到有效治理。</w:t>
            </w:r>
          </w:p>
          <w:p w14:paraId="5A3647B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狠抓社会面治安防控，依法严厉打击把持农村黑恶势力、非法集资、黄赌毒等各类违法犯罪行为，推进重点地区挂牌整治，妥善处理群众反映强烈的治安问题。疫情期间查处居民住宅楼聚集赌博2起，行政拘留20人，查获捕猎野生动物犯罪案件1件1人，今年以来立刑事案件77起，同比下降33%。</w:t>
            </w:r>
          </w:p>
        </w:tc>
        <w:tc>
          <w:tcPr>
            <w:tcW w:w="2576" w:type="dxa"/>
            <w:vAlign w:val="center"/>
          </w:tcPr>
          <w:p w14:paraId="50003E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一是受疫情影响，宣传氛围有所弱化。</w:t>
            </w:r>
          </w:p>
          <w:p w14:paraId="00B0E39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二是线索质量不高，掌握线索多为信访纠纷、普通治安案件等，具有成案价值的线索不多。</w:t>
            </w:r>
          </w:p>
        </w:tc>
        <w:tc>
          <w:tcPr>
            <w:tcW w:w="3827" w:type="dxa"/>
          </w:tcPr>
          <w:p w14:paraId="7C5BB35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一是提高政治站位不松劲。始终坚持扫黑除恶专项斗争正确方向，准确把握新阶段专项斗争总体思路，贯彻落实专项斗争新部署新要求，促进社会和谐稳定、长治久安。</w:t>
            </w:r>
          </w:p>
          <w:p w14:paraId="2CB7C8E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二是深入宣传发动不松劲。始终坚持舆论引导，加大宣传力度，创新宣传方式，做到内容、对象、重点场所重点部位、媒体“四个全覆盖”。</w:t>
            </w:r>
          </w:p>
          <w:p w14:paraId="142325A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三是严格深挖根治不松劲。紧盯黑恶势力及背后“保护伞”，注重预防为主，防治结合，加大线索排查、研判、打击的力度，防止其坐大成势。</w:t>
            </w:r>
          </w:p>
          <w:p w14:paraId="7E72F25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四是加强综合治理不松劲。纵深推进重点行业领域乱象整治工作，强化重点人员管理服务，全面贯彻落实</w:t>
            </w:r>
            <w:r>
              <w:rPr>
                <w:rFonts w:hint="eastAsia" w:ascii="Times New Roman" w:hAnsi="Times New Roman" w:eastAsia="方正仿宋_GBK"/>
                <w:color w:val="000000" w:themeColor="text1"/>
                <w:spacing w:val="-2"/>
                <w:kern w:val="0"/>
                <w:szCs w:val="21"/>
                <w:lang w:eastAsia="zh-CN"/>
              </w:rPr>
              <w:t>党的十九届四中全会精神</w:t>
            </w:r>
            <w:r>
              <w:rPr>
                <w:rFonts w:hint="eastAsia" w:ascii="Times New Roman" w:hAnsi="Times New Roman" w:eastAsia="方正仿宋_GBK"/>
                <w:color w:val="000000" w:themeColor="text1"/>
                <w:spacing w:val="-2"/>
                <w:kern w:val="0"/>
                <w:szCs w:val="21"/>
              </w:rPr>
              <w:t>，进一步加强和创新社会治理，不断提升基层治理水平和治理能力。</w:t>
            </w:r>
          </w:p>
          <w:p w14:paraId="778B24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五是夯实基层组织不松劲。持续建好建强基层党组织，不断增强政治功能和服务功能，夯实党执政的坚强战斗堡垒。</w:t>
            </w:r>
          </w:p>
        </w:tc>
      </w:tr>
      <w:tr w14:paraId="6D92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986" w:type="dxa"/>
            <w:vAlign w:val="center"/>
          </w:tcPr>
          <w:p w14:paraId="76C7C85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139</w:t>
            </w:r>
            <w:r>
              <w:rPr>
                <w:rFonts w:ascii="Times New Roman" w:hAnsi="Times New Roman" w:eastAsia="方正仿宋_GBK"/>
                <w:bCs/>
                <w:color w:val="000000" w:themeColor="text1"/>
                <w:spacing w:val="-2"/>
                <w:kern w:val="0"/>
                <w:szCs w:val="21"/>
              </w:rPr>
              <w:t>.加快</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雪亮工程</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建设，提高预测预警预防各类风险的能力。</w:t>
            </w:r>
          </w:p>
        </w:tc>
        <w:tc>
          <w:tcPr>
            <w:tcW w:w="850" w:type="dxa"/>
            <w:vAlign w:val="center"/>
          </w:tcPr>
          <w:p w14:paraId="723F911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01D18FE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1509256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tc>
        <w:tc>
          <w:tcPr>
            <w:tcW w:w="1559" w:type="dxa"/>
            <w:vAlign w:val="center"/>
          </w:tcPr>
          <w:p w14:paraId="6805635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w:t>
            </w:r>
          </w:p>
        </w:tc>
        <w:tc>
          <w:tcPr>
            <w:tcW w:w="4111" w:type="dxa"/>
            <w:vAlign w:val="center"/>
          </w:tcPr>
          <w:p w14:paraId="4B584B8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3月27日，通过竞争性磋商确定“雪亮工程”项目设计服务公司为华信咨询设计研究院。目前，县雪亮办正与该研究院的设计人员进入实际勘测阶段。</w:t>
            </w:r>
          </w:p>
        </w:tc>
        <w:tc>
          <w:tcPr>
            <w:tcW w:w="2576" w:type="dxa"/>
          </w:tcPr>
          <w:p w14:paraId="44B7CD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设计单位已招标，进行实际设计阶段，需尽快保障设计经费。</w:t>
            </w:r>
          </w:p>
        </w:tc>
        <w:tc>
          <w:tcPr>
            <w:tcW w:w="3827" w:type="dxa"/>
          </w:tcPr>
          <w:p w14:paraId="49F98C9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力争在4月底完成初设及批复，5月完成详细设计图。</w:t>
            </w:r>
          </w:p>
        </w:tc>
      </w:tr>
      <w:tr w14:paraId="565C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0B01D68">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140</w:t>
            </w:r>
            <w:r>
              <w:rPr>
                <w:rFonts w:ascii="Times New Roman" w:hAnsi="Times New Roman" w:eastAsia="方正仿宋_GBK"/>
                <w:bCs/>
                <w:color w:val="000000" w:themeColor="text1"/>
                <w:spacing w:val="-2"/>
                <w:kern w:val="0"/>
                <w:szCs w:val="21"/>
              </w:rPr>
              <w:t>.持续深入开展矛盾纠纷控增减存防变行动，完善信访突出问题专项治理及积案清零机制，加大房地产开发、征地拆迁等重点领域突出问题</w:t>
            </w:r>
            <w:r>
              <w:rPr>
                <w:rFonts w:hint="eastAsia" w:ascii="Times New Roman" w:hAnsi="Times New Roman" w:eastAsia="方正仿宋_GBK"/>
                <w:bCs/>
                <w:color w:val="000000" w:themeColor="text1"/>
                <w:spacing w:val="-2"/>
                <w:kern w:val="0"/>
                <w:szCs w:val="21"/>
              </w:rPr>
              <w:t>整治和</w:t>
            </w:r>
            <w:r>
              <w:rPr>
                <w:rFonts w:ascii="Times New Roman" w:hAnsi="Times New Roman" w:eastAsia="方正仿宋_GBK"/>
                <w:bCs/>
                <w:color w:val="000000" w:themeColor="text1"/>
                <w:spacing w:val="-2"/>
                <w:kern w:val="0"/>
                <w:szCs w:val="21"/>
              </w:rPr>
              <w:t>建设环境执法力度，严厉打击建设领域违法行为</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统筹力量化解</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骨头案</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钉子案</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w:t>
            </w:r>
          </w:p>
        </w:tc>
        <w:tc>
          <w:tcPr>
            <w:tcW w:w="850" w:type="dxa"/>
            <w:vAlign w:val="center"/>
          </w:tcPr>
          <w:p w14:paraId="1403049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631A597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县信访办</w:t>
            </w:r>
          </w:p>
        </w:tc>
        <w:tc>
          <w:tcPr>
            <w:tcW w:w="1559" w:type="dxa"/>
            <w:vAlign w:val="center"/>
          </w:tcPr>
          <w:p w14:paraId="031C626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县规划自然资源局、县生态环境局、县住房城乡建委、县退役军人事务局、县扶贫办、县金融服务中心等</w:t>
            </w:r>
          </w:p>
        </w:tc>
        <w:tc>
          <w:tcPr>
            <w:tcW w:w="4111" w:type="dxa"/>
            <w:vAlign w:val="center"/>
          </w:tcPr>
          <w:p w14:paraId="7F9FF1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共接待群众来访、来信、来电和网上信访277件次，647人次，均按照《信访条例》规定按时按要求办理完毕。</w:t>
            </w:r>
            <w:bookmarkStart w:id="0" w:name="_GoBack"/>
            <w:bookmarkEnd w:id="0"/>
          </w:p>
          <w:p w14:paraId="2BA5BE5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二是全面开展了信访存量排查清理，全县共清理信访存量问题54件（其中个访39件，群体15件）。</w:t>
            </w:r>
          </w:p>
          <w:p w14:paraId="457223D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三是按照渝信联发〔2020〕2号要求，研究制定我县“3+3”信访突出问题专项治理方案，有力有效推进专项治理各项工作，让信访矛盾控增量减存量防变量取得了阶段性成果，确保实现了全县信访形势平稳可控。</w:t>
            </w:r>
          </w:p>
          <w:p w14:paraId="211291CD">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74FF1A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是去年年终部分未化解</w:t>
            </w:r>
            <w:r>
              <w:rPr>
                <w:rFonts w:hint="eastAsia" w:ascii="Times New Roman" w:hAnsi="Times New Roman" w:eastAsia="方正仿宋_GBK"/>
                <w:color w:val="000000" w:themeColor="text1"/>
                <w:spacing w:val="-2"/>
                <w:kern w:val="0"/>
                <w:szCs w:val="21"/>
              </w:rPr>
              <w:t>的</w:t>
            </w:r>
            <w:r>
              <w:rPr>
                <w:rFonts w:ascii="Times New Roman" w:hAnsi="Times New Roman" w:eastAsia="方正仿宋_GBK"/>
                <w:color w:val="000000" w:themeColor="text1"/>
                <w:spacing w:val="-2"/>
                <w:kern w:val="0"/>
                <w:szCs w:val="21"/>
              </w:rPr>
              <w:t>劳资纠纷问题将继续维权；</w:t>
            </w:r>
            <w:r>
              <w:rPr>
                <w:rFonts w:hint="eastAsia" w:ascii="Times New Roman" w:hAnsi="Times New Roman" w:eastAsia="方正仿宋_GBK"/>
                <w:color w:val="000000" w:themeColor="text1"/>
                <w:spacing w:val="-2"/>
                <w:kern w:val="0"/>
                <w:szCs w:val="21"/>
              </w:rPr>
              <w:t>稳控难度增大。二是环境领域矛盾尖锐。如：羊耳坝水库周边大巴山森林人家关停、部分企业与周边居民环保安全距离不达标，致使该领域信访矛盾频发，经常出现集访、闹访、缠访现象。三是部分上访老户教育转化难。个别涉稳重点人员和上访老户近期频繁上访，情绪激动，不听劝阻，且有扬言到市进京和报复社会的现象。</w:t>
            </w:r>
          </w:p>
        </w:tc>
        <w:tc>
          <w:tcPr>
            <w:tcW w:w="3827" w:type="dxa"/>
            <w:vAlign w:val="center"/>
          </w:tcPr>
          <w:p w14:paraId="21D8C19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进一步落实主要负责同志和分管负责同志主动包难案、啃“硬骨头”，对54件信访存量问题落实领导包案化解，力争实现年底清仓见底。二是进一步研判解决好新老矛盾交织的问题。目前，征地拆迁、劳动社保、环境保护、企业改制等一些老问题还未解决，物业纠纷、虚假广告等领域新情况又不断产生，可谓“陈案未销、新案又起”。因此我们将互学互鉴，全力以赴化解积案、减存量，综合施策控增量。三进一步加强上访老户教育转化。个别涉稳重点人员和上访老户近期频繁上访，情绪激动，不听劝阻，且有扬言到市进京和报复社会的现象。我们将继续按照“三到位一依法”要求，落实责任、分类处理，全力做好疏导稳控工作。</w:t>
            </w:r>
          </w:p>
        </w:tc>
      </w:tr>
      <w:tr w14:paraId="1A7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56DB368">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141</w:t>
            </w:r>
            <w:r>
              <w:rPr>
                <w:rFonts w:ascii="Times New Roman" w:hAnsi="Times New Roman" w:eastAsia="方正仿宋_GBK"/>
                <w:bCs/>
                <w:color w:val="000000" w:themeColor="text1"/>
                <w:spacing w:val="-2"/>
                <w:kern w:val="0"/>
                <w:szCs w:val="21"/>
              </w:rPr>
              <w:t>.强化意识形态领域风险防范，积极稳妥应对处置网络舆情。</w:t>
            </w:r>
          </w:p>
        </w:tc>
        <w:tc>
          <w:tcPr>
            <w:tcW w:w="850" w:type="dxa"/>
            <w:vAlign w:val="center"/>
          </w:tcPr>
          <w:p w14:paraId="4AD0BF2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周  波</w:t>
            </w:r>
          </w:p>
        </w:tc>
        <w:tc>
          <w:tcPr>
            <w:tcW w:w="1134" w:type="dxa"/>
            <w:vAlign w:val="center"/>
          </w:tcPr>
          <w:p w14:paraId="1A33441B">
            <w:pPr>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委宣传部</w:t>
            </w:r>
          </w:p>
          <w:p w14:paraId="6BCFF76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（县委网信办）</w:t>
            </w:r>
          </w:p>
        </w:tc>
        <w:tc>
          <w:tcPr>
            <w:tcW w:w="1559" w:type="dxa"/>
            <w:vAlign w:val="center"/>
          </w:tcPr>
          <w:p w14:paraId="10490D9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县级各部门</w:t>
            </w:r>
          </w:p>
          <w:p w14:paraId="027DE7F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098E8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一是责任落实。认真贯彻落实意识形态工作责任制，通过召开研判会、座谈会的方式，压紧压实党委（党组）意识形态工作主体责任和“一岗双责”。目前，全县</w:t>
            </w:r>
            <w:r>
              <w:rPr>
                <w:rFonts w:ascii="Times New Roman" w:hAnsi="Times New Roman" w:eastAsia="方正仿宋_GBK"/>
                <w:color w:val="000000" w:themeColor="text1"/>
                <w:spacing w:val="-2"/>
                <w:kern w:val="0"/>
                <w:szCs w:val="21"/>
              </w:rPr>
              <w:t>25</w:t>
            </w:r>
            <w:r>
              <w:rPr>
                <w:rFonts w:hint="eastAsia" w:ascii="Times New Roman" w:hAnsi="Times New Roman" w:eastAsia="方正仿宋_GBK"/>
                <w:color w:val="000000" w:themeColor="text1"/>
                <w:spacing w:val="-2"/>
                <w:kern w:val="0"/>
                <w:szCs w:val="21"/>
              </w:rPr>
              <w:t>乡镇（街道），已分</w:t>
            </w:r>
            <w:r>
              <w:rPr>
                <w:rFonts w:ascii="Times New Roman" w:hAnsi="Times New Roman" w:eastAsia="方正仿宋_GBK"/>
                <w:color w:val="000000" w:themeColor="text1"/>
                <w:spacing w:val="-2"/>
                <w:kern w:val="0"/>
                <w:szCs w:val="21"/>
              </w:rPr>
              <w:t>5</w:t>
            </w:r>
            <w:r>
              <w:rPr>
                <w:rFonts w:hint="eastAsia" w:ascii="Times New Roman" w:hAnsi="Times New Roman" w:eastAsia="方正仿宋_GBK"/>
                <w:color w:val="000000" w:themeColor="text1"/>
                <w:spacing w:val="-2"/>
                <w:kern w:val="0"/>
                <w:szCs w:val="21"/>
              </w:rPr>
              <w:t>个片区，分别召开了意识形态工作座谈会。二是协调机制。制定印发《维护意识形态安全工作协调机制》，成立以县委宣传部牵头，县纪委监委机关、县政府办等</w:t>
            </w:r>
            <w:r>
              <w:rPr>
                <w:rFonts w:ascii="Times New Roman" w:hAnsi="Times New Roman" w:eastAsia="方正仿宋_GBK"/>
                <w:color w:val="000000" w:themeColor="text1"/>
                <w:spacing w:val="-2"/>
                <w:kern w:val="0"/>
                <w:szCs w:val="21"/>
              </w:rPr>
              <w:t>16</w:t>
            </w:r>
            <w:r>
              <w:rPr>
                <w:rFonts w:hint="eastAsia" w:ascii="Times New Roman" w:hAnsi="Times New Roman" w:eastAsia="方正仿宋_GBK"/>
                <w:color w:val="000000" w:themeColor="text1"/>
                <w:spacing w:val="-2"/>
                <w:kern w:val="0"/>
                <w:szCs w:val="21"/>
              </w:rPr>
              <w:t>个单位参与，县委常委、宣传部部长为组长的领导小组，统筹做好维护意识形态安全各项工作，坚决维护意识形态安全。三是</w:t>
            </w:r>
            <w:r>
              <w:rPr>
                <w:rFonts w:ascii="Times New Roman" w:hAnsi="Times New Roman" w:eastAsia="方正仿宋_GBK"/>
                <w:color w:val="000000" w:themeColor="text1"/>
                <w:spacing w:val="-2"/>
                <w:kern w:val="0"/>
                <w:szCs w:val="21"/>
              </w:rPr>
              <w:t xml:space="preserve"> </w:t>
            </w:r>
            <w:r>
              <w:rPr>
                <w:rFonts w:hint="eastAsia" w:ascii="Times New Roman" w:hAnsi="Times New Roman" w:eastAsia="方正仿宋_GBK"/>
                <w:color w:val="000000" w:themeColor="text1"/>
                <w:spacing w:val="-2"/>
                <w:kern w:val="0"/>
                <w:szCs w:val="21"/>
              </w:rPr>
              <w:t>强化督查检查。坚持把贯彻落实意识形态工作责任制情况纳入县委巡察的重要内容。目前，已完成对县社会保险局的意识形态工作专项巡察，即将开展对县发展改革委、县财政局等</w:t>
            </w:r>
            <w:r>
              <w:rPr>
                <w:rFonts w:ascii="Times New Roman" w:hAnsi="Times New Roman" w:eastAsia="方正仿宋_GBK"/>
                <w:color w:val="000000" w:themeColor="text1"/>
                <w:spacing w:val="-2"/>
                <w:kern w:val="0"/>
                <w:szCs w:val="21"/>
              </w:rPr>
              <w:t>11</w:t>
            </w:r>
            <w:r>
              <w:rPr>
                <w:rFonts w:hint="eastAsia" w:ascii="Times New Roman" w:hAnsi="Times New Roman" w:eastAsia="方正仿宋_GBK"/>
                <w:color w:val="000000" w:themeColor="text1"/>
                <w:spacing w:val="-2"/>
                <w:kern w:val="0"/>
                <w:szCs w:val="21"/>
              </w:rPr>
              <w:t>个单位和企业的专项巡察。四是强化舆论引导。认真落实“专人专岗</w:t>
            </w:r>
            <w:r>
              <w:rPr>
                <w:rFonts w:ascii="Times New Roman" w:hAnsi="Times New Roman" w:eastAsia="方正仿宋_GBK"/>
                <w:color w:val="000000" w:themeColor="text1"/>
                <w:spacing w:val="-2"/>
                <w:kern w:val="0"/>
                <w:szCs w:val="21"/>
              </w:rPr>
              <w:t>+</w:t>
            </w:r>
            <w:r>
              <w:rPr>
                <w:rFonts w:hint="eastAsia" w:ascii="Times New Roman" w:hAnsi="Times New Roman" w:eastAsia="方正仿宋_GBK"/>
                <w:color w:val="000000" w:themeColor="text1"/>
                <w:spacing w:val="-2"/>
                <w:kern w:val="0"/>
                <w:szCs w:val="21"/>
              </w:rPr>
              <w:t>常态值守”舆情监测模式，</w:t>
            </w:r>
            <w:r>
              <w:rPr>
                <w:rFonts w:ascii="Times New Roman" w:hAnsi="Times New Roman" w:eastAsia="方正仿宋_GBK"/>
                <w:color w:val="000000" w:themeColor="text1"/>
                <w:spacing w:val="-2"/>
                <w:kern w:val="0"/>
                <w:szCs w:val="21"/>
              </w:rPr>
              <w:t>2020</w:t>
            </w:r>
            <w:r>
              <w:rPr>
                <w:rFonts w:hint="eastAsia" w:ascii="Times New Roman" w:hAnsi="Times New Roman" w:eastAsia="方正仿宋_GBK"/>
                <w:color w:val="000000" w:themeColor="text1"/>
                <w:spacing w:val="-2"/>
                <w:kern w:val="0"/>
                <w:szCs w:val="21"/>
              </w:rPr>
              <w:t>年</w:t>
            </w: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月</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月，共监测涉城口网络舆情信息</w:t>
            </w:r>
            <w:r>
              <w:rPr>
                <w:rFonts w:ascii="Times New Roman" w:hAnsi="Times New Roman" w:eastAsia="方正仿宋_GBK"/>
                <w:color w:val="000000" w:themeColor="text1"/>
                <w:spacing w:val="-2"/>
                <w:kern w:val="0"/>
                <w:szCs w:val="21"/>
              </w:rPr>
              <w:t>26</w:t>
            </w:r>
            <w:r>
              <w:rPr>
                <w:rFonts w:hint="eastAsia" w:ascii="Times New Roman" w:hAnsi="Times New Roman" w:eastAsia="方正仿宋_GBK"/>
                <w:color w:val="000000" w:themeColor="text1"/>
                <w:spacing w:val="-2"/>
                <w:kern w:val="0"/>
                <w:szCs w:val="21"/>
              </w:rPr>
              <w:t>条，转办处置率</w:t>
            </w:r>
            <w:r>
              <w:rPr>
                <w:rFonts w:ascii="Times New Roman" w:hAnsi="Times New Roman" w:eastAsia="方正仿宋_GBK"/>
                <w:color w:val="000000" w:themeColor="text1"/>
                <w:spacing w:val="-2"/>
                <w:kern w:val="0"/>
                <w:szCs w:val="21"/>
              </w:rPr>
              <w:t>100%</w:t>
            </w:r>
            <w:r>
              <w:rPr>
                <w:rFonts w:hint="eastAsia" w:ascii="Times New Roman" w:hAnsi="Times New Roman" w:eastAsia="方正仿宋_GBK"/>
                <w:color w:val="000000" w:themeColor="text1"/>
                <w:spacing w:val="-2"/>
                <w:kern w:val="0"/>
                <w:szCs w:val="21"/>
              </w:rPr>
              <w:t>，及时化解了本地网络舆情风险。</w:t>
            </w:r>
          </w:p>
        </w:tc>
        <w:tc>
          <w:tcPr>
            <w:tcW w:w="2576" w:type="dxa"/>
            <w:vAlign w:val="center"/>
          </w:tcPr>
          <w:p w14:paraId="095BCD6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部分单位对意识形态工作的重视程度不够，特别是在网络舆情信息的监测、发现、处置等方面，缺乏有效的措施和应急预案。</w:t>
            </w:r>
          </w:p>
        </w:tc>
        <w:tc>
          <w:tcPr>
            <w:tcW w:w="3827" w:type="dxa"/>
            <w:vAlign w:val="center"/>
          </w:tcPr>
          <w:p w14:paraId="6D7ECE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认真贯彻落实《党委（党组）意识形态工作责任制》《党委（党组）网络意识形态工作责任制》，强化意识形态类阵地管理和风险防控，加强舆情信息员队伍的建设管理，确保意识形态类问题“零发生”。</w:t>
            </w:r>
          </w:p>
        </w:tc>
      </w:tr>
      <w:tr w14:paraId="13D2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986" w:type="dxa"/>
            <w:vAlign w:val="center"/>
          </w:tcPr>
          <w:p w14:paraId="24879859">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42</w:t>
            </w:r>
            <w:r>
              <w:rPr>
                <w:rFonts w:ascii="Times New Roman" w:hAnsi="Times New Roman" w:eastAsia="方正仿宋_GBK"/>
                <w:bCs/>
                <w:color w:val="000000" w:themeColor="text1"/>
                <w:spacing w:val="-2"/>
                <w:kern w:val="0"/>
                <w:szCs w:val="21"/>
              </w:rPr>
              <w:t>.完善和落实安全生产责任和管理制度，建立公共安全隐患排查和安全预防控制体系，深化国防动员和后备力量建设，构建统一指挥、专常兼备、反应灵敏、上下联动的应急管理体制，</w:t>
            </w:r>
            <w:r>
              <w:rPr>
                <w:rFonts w:hint="eastAsia" w:ascii="Times New Roman" w:hAnsi="Times New Roman" w:eastAsia="方正仿宋_GBK"/>
                <w:bCs/>
                <w:color w:val="000000" w:themeColor="text1"/>
                <w:spacing w:val="-2"/>
                <w:kern w:val="0"/>
                <w:szCs w:val="21"/>
              </w:rPr>
              <w:t>落实巨灾保险政策，</w:t>
            </w:r>
            <w:r>
              <w:rPr>
                <w:rFonts w:ascii="Times New Roman" w:hAnsi="Times New Roman" w:eastAsia="方正仿宋_GBK"/>
                <w:bCs/>
                <w:color w:val="000000" w:themeColor="text1"/>
                <w:spacing w:val="-2"/>
                <w:kern w:val="0"/>
                <w:szCs w:val="21"/>
              </w:rPr>
              <w:t>提高防灾减灾救灾能力，减少一般安全事故，坚决杜绝较大及以上事故发生。</w:t>
            </w:r>
          </w:p>
        </w:tc>
        <w:tc>
          <w:tcPr>
            <w:tcW w:w="850" w:type="dxa"/>
            <w:vAlign w:val="center"/>
          </w:tcPr>
          <w:p w14:paraId="1E4A0AA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69E9AE1C">
            <w:pPr>
              <w:spacing w:line="240" w:lineRule="exact"/>
              <w:jc w:val="center"/>
              <w:rPr>
                <w:rFonts w:ascii="Times New Roman" w:hAnsi="Times New Roman" w:eastAsia="方正仿宋_GBK" w:cs="Times New Roman"/>
                <w:color w:val="000000" w:themeColor="text1"/>
                <w:spacing w:val="-2"/>
                <w:szCs w:val="21"/>
              </w:rPr>
            </w:pPr>
            <w:r>
              <w:rPr>
                <w:rFonts w:ascii="Times New Roman" w:hAnsi="Times New Roman" w:eastAsia="方正仿宋_GBK" w:cs="Times New Roman"/>
                <w:color w:val="000000" w:themeColor="text1"/>
                <w:spacing w:val="-2"/>
                <w:szCs w:val="21"/>
              </w:rPr>
              <w:t>县</w:t>
            </w:r>
            <w:r>
              <w:rPr>
                <w:rFonts w:hint="eastAsia" w:ascii="Times New Roman" w:hAnsi="Times New Roman" w:eastAsia="方正仿宋_GBK" w:cs="Times New Roman"/>
                <w:color w:val="000000" w:themeColor="text1"/>
                <w:spacing w:val="-2"/>
                <w:szCs w:val="21"/>
              </w:rPr>
              <w:t>应急局</w:t>
            </w:r>
          </w:p>
        </w:tc>
        <w:tc>
          <w:tcPr>
            <w:tcW w:w="1559" w:type="dxa"/>
            <w:vAlign w:val="center"/>
          </w:tcPr>
          <w:p w14:paraId="755FEA4F">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县安委会、县减灾委成员单位</w:t>
            </w:r>
          </w:p>
          <w:p w14:paraId="1F027D46">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74D7E6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组织架构得到进一步完善。完善全县各级自然灾害防治组织指挥体系，统筹推进县减灾委及5个专项指挥部平台运转机制建设。坚持需求导向，按照“3+8”制度体系架构，进一步建立健全自然灾害监测预警、会商研判、指挥救援、救灾救助、调查评估等工作制度。</w:t>
            </w:r>
          </w:p>
          <w:p w14:paraId="3499C1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援力量得到进步一加强。县应急局充分利用现有资源，组建了一支30人的常备应急救援队伍，县乡（镇）村三级均组建了防汛应急抢险队，每个乡镇都有一支20人以上的民兵应急小分队，有效的提高了我县的防灾救灾能力和事故灾害救援能力。</w:t>
            </w:r>
          </w:p>
          <w:p w14:paraId="52F3AD5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三是救灾物资和资金得到有效保障。放冬春生活救助资金17.5万元 、346床救助棉被，救助受灾困难群众1978人，疫情防控期间提供帐篷87顶、棉被388床、折叠床92架、床单115件、雨衣271件、棉大衣388件、睡袋185个、胶鞋240双、应急包266个。</w:t>
            </w:r>
          </w:p>
          <w:p w14:paraId="11D32FB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四是事故灾害得到有效控制。截至目前，全县共发生安全生产事故1起、死亡1人，另外，发生非经营性道路交通死亡事故3起、死亡4人。安全生产事故控制在市政府下达的序时指标范围内。</w:t>
            </w:r>
          </w:p>
        </w:tc>
        <w:tc>
          <w:tcPr>
            <w:tcW w:w="2576" w:type="dxa"/>
          </w:tcPr>
          <w:p w14:paraId="5B6545D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通过一季度安全生产与自然灾害综合督查发现的问题来看，应急管理基层基础依然薄弱。</w:t>
            </w:r>
          </w:p>
          <w:p w14:paraId="2452FC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二是地质灾害等自。高燕镇、巴山镇已经发生3起森林火灾。</w:t>
            </w:r>
          </w:p>
          <w:p w14:paraId="5EA4204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三是近期，各类企业复产复工全面展开。重点行业领域安全生产压力大。</w:t>
            </w:r>
          </w:p>
          <w:p w14:paraId="186528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四是群众安全意识有待提升。群众安全意识不高、自我防范能力低下，对安全和灾害的无知、侥幸，是一些事故灾害发生的重要原因之一</w:t>
            </w:r>
          </w:p>
        </w:tc>
        <w:tc>
          <w:tcPr>
            <w:tcW w:w="3827" w:type="dxa"/>
          </w:tcPr>
          <w:p w14:paraId="7E9753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进一步提高思想认识。严格按照市委市政府和县委县政府的决策部署，安全生产与自然灾害防治工作要按照 “党政同责、一岗双责、齐抓共管、失职追责”、“三个必须”、属地管理原则的总体要求，强化工作责任，严控事故灾害的发生。</w:t>
            </w:r>
          </w:p>
          <w:p w14:paraId="0FA899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进一步开展安全生产专项整治。突出抓好道路交通、建设施工、煤矿、非煤矿山、消防、特种设备、冶金等重点行业领域专项整治，加强监督检查，排查整治安全隐患，严厉打击各类非法违法行为，落实企业安全生产主体责任，严防事故发生。</w:t>
            </w:r>
          </w:p>
          <w:p w14:paraId="0E43032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进一步强化自然灾害防治。在灾害防治应对上，时刻做好应急准备，加强应急队伍建设，健全应急预案，开展应急演练，完善应急物资储备，加强应急值守和监测预警，切实做好群防群治、紧急避险等各项工作措施。</w:t>
            </w:r>
          </w:p>
          <w:p w14:paraId="5696BB1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四是进一步加强宣传教育。营造更浓的安全氛围。</w:t>
            </w:r>
          </w:p>
          <w:p w14:paraId="24E6DEB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五是进一步完善应急体系建设。按照市应急局工作部署，深入贯彻落实渝北、秀山的会议精神，构建行政管理、组织指挥、应急力量、制度保障“四大体系”建设。</w:t>
            </w:r>
          </w:p>
        </w:tc>
      </w:tr>
      <w:tr w14:paraId="2822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1986" w:type="dxa"/>
            <w:vAlign w:val="center"/>
          </w:tcPr>
          <w:p w14:paraId="3038006F">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43</w:t>
            </w:r>
            <w:r>
              <w:rPr>
                <w:rFonts w:ascii="Times New Roman" w:hAnsi="Times New Roman" w:eastAsia="方正仿宋_GBK"/>
                <w:bCs/>
                <w:color w:val="000000" w:themeColor="text1"/>
                <w:spacing w:val="-2"/>
                <w:kern w:val="0"/>
                <w:szCs w:val="21"/>
              </w:rPr>
              <w:t>.加强和改进食品药品安全监管制度，抓好动植物疫病防控，严格落实粮食安全和</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菜篮子</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行政首长负责制，保障人民身体健康和生命安全。</w:t>
            </w:r>
          </w:p>
        </w:tc>
        <w:tc>
          <w:tcPr>
            <w:tcW w:w="850" w:type="dxa"/>
            <w:vAlign w:val="center"/>
          </w:tcPr>
          <w:p w14:paraId="7A9E4A6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7B5C075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p w14:paraId="43C9B06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188C4F3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p w14:paraId="6ADEA02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51513BC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市场监管局</w:t>
            </w:r>
          </w:p>
          <w:p w14:paraId="2A5A37C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县林业局</w:t>
            </w:r>
          </w:p>
        </w:tc>
        <w:tc>
          <w:tcPr>
            <w:tcW w:w="1559" w:type="dxa"/>
            <w:vAlign w:val="center"/>
          </w:tcPr>
          <w:p w14:paraId="0F9D2B8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EE5ECB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一季度已对我县的储备粮的存储数量及安全进行了三次检查。</w:t>
            </w:r>
          </w:p>
        </w:tc>
        <w:tc>
          <w:tcPr>
            <w:tcW w:w="2576" w:type="dxa"/>
            <w:vAlign w:val="center"/>
          </w:tcPr>
          <w:p w14:paraId="5C59D4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无中心化验室，导致粮食安全检测手段不足。</w:t>
            </w:r>
          </w:p>
        </w:tc>
        <w:tc>
          <w:tcPr>
            <w:tcW w:w="3827" w:type="dxa"/>
            <w:vAlign w:val="center"/>
          </w:tcPr>
          <w:p w14:paraId="48EED04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联合相关职能部门加大对全县的粮油安全的监督检查和粮油知识的宣传。</w:t>
            </w:r>
          </w:p>
        </w:tc>
      </w:tr>
      <w:tr w14:paraId="34C7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043" w:type="dxa"/>
            <w:gridSpan w:val="7"/>
            <w:vAlign w:val="center"/>
          </w:tcPr>
          <w:p w14:paraId="0A149486">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（十）加强政府治理和社会治理，努力增强发展保障能力。</w:t>
            </w:r>
          </w:p>
        </w:tc>
      </w:tr>
      <w:tr w14:paraId="01E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52FD29AC">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44</w:t>
            </w:r>
            <w:r>
              <w:rPr>
                <w:rFonts w:ascii="Times New Roman" w:hAnsi="Times New Roman" w:eastAsia="方正仿宋_GBK"/>
                <w:bCs/>
                <w:color w:val="000000" w:themeColor="text1"/>
                <w:spacing w:val="-2"/>
                <w:kern w:val="0"/>
                <w:szCs w:val="21"/>
              </w:rPr>
              <w:t>.着眼构建职责明确、依法行政的政府治理体系，</w:t>
            </w:r>
            <w:r>
              <w:rPr>
                <w:rFonts w:ascii="Times New Roman" w:hAnsi="Times New Roman" w:eastAsia="方正仿宋_GBK"/>
                <w:bCs/>
                <w:color w:val="000000" w:themeColor="text1"/>
                <w:spacing w:val="-2"/>
                <w:kern w:val="0"/>
                <w:szCs w:val="21"/>
                <w:lang w:val="zh-CN"/>
              </w:rPr>
              <w:t>优化行政决策、行政执法、行政监督体制</w:t>
            </w:r>
            <w:r>
              <w:rPr>
                <w:rFonts w:hint="eastAsia" w:ascii="Times New Roman" w:hAnsi="Times New Roman" w:eastAsia="方正仿宋_GBK"/>
                <w:bCs/>
                <w:color w:val="000000" w:themeColor="text1"/>
                <w:spacing w:val="-2"/>
                <w:kern w:val="0"/>
                <w:szCs w:val="21"/>
                <w:lang w:val="zh-CN"/>
              </w:rPr>
              <w:t>。</w:t>
            </w:r>
          </w:p>
        </w:tc>
        <w:tc>
          <w:tcPr>
            <w:tcW w:w="850" w:type="dxa"/>
            <w:vAlign w:val="center"/>
          </w:tcPr>
          <w:p w14:paraId="67557B6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539C710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tc>
        <w:tc>
          <w:tcPr>
            <w:tcW w:w="1559" w:type="dxa"/>
            <w:vAlign w:val="center"/>
          </w:tcPr>
          <w:p w14:paraId="529487B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县政府各部门</w:t>
            </w:r>
          </w:p>
          <w:p w14:paraId="14C4493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778A3C5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固定列席政府党组会议和常务会议，参与政府重大决策并提供法律意见。</w:t>
            </w:r>
          </w:p>
          <w:p w14:paraId="302CB537">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285DBFEC">
            <w:pPr>
              <w:widowControl/>
              <w:spacing w:line="240" w:lineRule="exact"/>
              <w:jc w:val="left"/>
              <w:rPr>
                <w:rFonts w:ascii="Times New Roman" w:hAnsi="Times New Roman" w:eastAsia="方正仿宋_GBK"/>
                <w:color w:val="000000" w:themeColor="text1"/>
                <w:spacing w:val="-2"/>
                <w:kern w:val="0"/>
                <w:szCs w:val="21"/>
              </w:rPr>
            </w:pPr>
          </w:p>
          <w:p w14:paraId="4FB218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专家参与论证重大行政决策的程序规则有待进一步完善。依法行政制度体系建设还需进一步加强。</w:t>
            </w:r>
          </w:p>
        </w:tc>
        <w:tc>
          <w:tcPr>
            <w:tcW w:w="3827" w:type="dxa"/>
          </w:tcPr>
          <w:p w14:paraId="798CA345">
            <w:pPr>
              <w:widowControl/>
              <w:spacing w:line="240" w:lineRule="exact"/>
              <w:jc w:val="left"/>
              <w:rPr>
                <w:rFonts w:ascii="Times New Roman" w:hAnsi="Times New Roman" w:eastAsia="方正仿宋_GBK"/>
                <w:color w:val="000000" w:themeColor="text1"/>
                <w:spacing w:val="-2"/>
                <w:kern w:val="0"/>
                <w:szCs w:val="21"/>
              </w:rPr>
            </w:pPr>
          </w:p>
          <w:p w14:paraId="01ACD5E4">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做好全国法治政府建设示范区和示范项目宣传推广和经验交流，开展法治政府建设示范创建活动。</w:t>
            </w:r>
          </w:p>
        </w:tc>
      </w:tr>
      <w:tr w14:paraId="0953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27BC3C9">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lang w:val="zh-CN"/>
              </w:rPr>
              <w:t>145.</w:t>
            </w:r>
            <w:r>
              <w:rPr>
                <w:rFonts w:ascii="Times New Roman" w:hAnsi="Times New Roman" w:eastAsia="方正仿宋_GBK"/>
                <w:bCs/>
                <w:color w:val="000000" w:themeColor="text1"/>
                <w:spacing w:val="-2"/>
                <w:kern w:val="0"/>
                <w:szCs w:val="21"/>
                <w:lang w:val="zh-CN"/>
              </w:rPr>
              <w:t>建设人民满意的服务型政府。</w:t>
            </w:r>
          </w:p>
        </w:tc>
        <w:tc>
          <w:tcPr>
            <w:tcW w:w="850" w:type="dxa"/>
            <w:vAlign w:val="center"/>
          </w:tcPr>
          <w:p w14:paraId="3775F1E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黄宗林</w:t>
            </w:r>
          </w:p>
        </w:tc>
        <w:tc>
          <w:tcPr>
            <w:tcW w:w="1134" w:type="dxa"/>
            <w:vAlign w:val="center"/>
          </w:tcPr>
          <w:p w14:paraId="4EB27DC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县政府办公室</w:t>
            </w:r>
          </w:p>
        </w:tc>
        <w:tc>
          <w:tcPr>
            <w:tcW w:w="1559" w:type="dxa"/>
            <w:vAlign w:val="center"/>
          </w:tcPr>
          <w:p w14:paraId="7474F84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县政府各部门</w:t>
            </w:r>
          </w:p>
          <w:p w14:paraId="1FF88BE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56D2AB2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转变政府职能，深化简政放权，创新监督方式，增强政府公信力和执行力。依法行政，以为人民服务为宗旨，坚持以人为本，执政为民。</w:t>
            </w:r>
          </w:p>
        </w:tc>
        <w:tc>
          <w:tcPr>
            <w:tcW w:w="2576" w:type="dxa"/>
          </w:tcPr>
          <w:p w14:paraId="7CB63DA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CB31F38">
            <w:pPr>
              <w:widowControl/>
              <w:spacing w:line="240" w:lineRule="exact"/>
              <w:jc w:val="left"/>
              <w:rPr>
                <w:rFonts w:ascii="Times New Roman" w:hAnsi="Times New Roman" w:eastAsia="方正仿宋_GBK"/>
                <w:color w:val="000000" w:themeColor="text1"/>
                <w:spacing w:val="-2"/>
                <w:kern w:val="0"/>
                <w:szCs w:val="21"/>
              </w:rPr>
            </w:pPr>
          </w:p>
        </w:tc>
      </w:tr>
      <w:tr w14:paraId="5999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35497FD">
            <w:pPr>
              <w:widowControl/>
              <w:spacing w:line="240" w:lineRule="exact"/>
              <w:rPr>
                <w:rFonts w:ascii="Times New Roman" w:hAnsi="Times New Roman" w:eastAsia="方正仿宋_GBK"/>
                <w:b/>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146</w:t>
            </w:r>
            <w:r>
              <w:rPr>
                <w:rFonts w:ascii="Times New Roman" w:hAnsi="Times New Roman" w:eastAsia="方正仿宋_GBK"/>
                <w:bCs/>
                <w:color w:val="000000" w:themeColor="text1"/>
                <w:spacing w:val="-2"/>
                <w:kern w:val="0"/>
                <w:szCs w:val="21"/>
              </w:rPr>
              <w:t>.严格落实《</w:t>
            </w:r>
            <w:r>
              <w:rPr>
                <w:rFonts w:hint="eastAsia" w:ascii="Times New Roman" w:hAnsi="Times New Roman" w:eastAsia="方正仿宋_GBK"/>
                <w:bCs/>
                <w:color w:val="000000" w:themeColor="text1"/>
                <w:spacing w:val="-2"/>
                <w:kern w:val="0"/>
                <w:szCs w:val="21"/>
                <w:lang w:eastAsia="zh-CN"/>
              </w:rPr>
              <w:t>重大行政决策程序暂行条例</w:t>
            </w:r>
            <w:r>
              <w:rPr>
                <w:rFonts w:ascii="Times New Roman" w:hAnsi="Times New Roman" w:eastAsia="方正仿宋_GBK"/>
                <w:bCs/>
                <w:color w:val="000000" w:themeColor="text1"/>
                <w:spacing w:val="-2"/>
                <w:kern w:val="0"/>
                <w:szCs w:val="21"/>
              </w:rPr>
              <w:t>》，规范公众参与、专家论证、风险评估、合法性审查、集体讨论决定等重大行政决策法定程序，执行重大行政决策终身责任追究制和责任倒查机制。</w:t>
            </w:r>
          </w:p>
        </w:tc>
        <w:tc>
          <w:tcPr>
            <w:tcW w:w="850" w:type="dxa"/>
            <w:vAlign w:val="center"/>
          </w:tcPr>
          <w:p w14:paraId="3799155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黄宗林</w:t>
            </w:r>
          </w:p>
          <w:p w14:paraId="4F02D9E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19706AE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县政府办公室</w:t>
            </w:r>
          </w:p>
          <w:p w14:paraId="4C94545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tc>
        <w:tc>
          <w:tcPr>
            <w:tcW w:w="1559" w:type="dxa"/>
            <w:vAlign w:val="center"/>
          </w:tcPr>
          <w:p w14:paraId="448C1C6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县政府各部门</w:t>
            </w:r>
          </w:p>
          <w:p w14:paraId="1A71212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103B09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落实保证宪法全面实施的体制机制，加强宪法实施和监督，完善政府规范性文件合法性审查和备案审查机制，坚决维护国家法制统一、尊严、权威。持续开展“七五普法”，完善公共法律服务体系和律师制度，落实“谁执法谁普法”责任，加强干部群众普法培训和教育，增强全民尊法学法守法用法观念。完善决策过错认定标准和责任追究启动机制，落实重大行政决策终身责任追究制度及责任倒查制度。</w:t>
            </w:r>
          </w:p>
        </w:tc>
        <w:tc>
          <w:tcPr>
            <w:tcW w:w="2576" w:type="dxa"/>
          </w:tcPr>
          <w:p w14:paraId="1F6D548F">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AECCDCE">
            <w:pPr>
              <w:widowControl/>
              <w:spacing w:line="240" w:lineRule="exact"/>
              <w:jc w:val="left"/>
              <w:rPr>
                <w:rFonts w:ascii="Times New Roman" w:hAnsi="Times New Roman" w:eastAsia="方正仿宋_GBK"/>
                <w:color w:val="000000" w:themeColor="text1"/>
                <w:spacing w:val="-2"/>
                <w:kern w:val="0"/>
                <w:szCs w:val="21"/>
              </w:rPr>
            </w:pPr>
          </w:p>
        </w:tc>
      </w:tr>
      <w:tr w14:paraId="61AF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323BD6A">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147</w:t>
            </w:r>
            <w:r>
              <w:rPr>
                <w:rFonts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lang w:val="zh-CN"/>
              </w:rPr>
              <w:t>健全部门协调配合机制，进一步整合行政执法队伍，严格</w:t>
            </w:r>
            <w:r>
              <w:rPr>
                <w:rFonts w:hint="eastAsia" w:ascii="Times New Roman" w:hAnsi="Times New Roman" w:eastAsia="方正仿宋_GBK"/>
                <w:bCs/>
                <w:color w:val="000000" w:themeColor="text1"/>
                <w:spacing w:val="-2"/>
                <w:kern w:val="0"/>
                <w:szCs w:val="21"/>
                <w:lang w:val="zh-CN"/>
              </w:rPr>
              <w:t>“双随机、一公开”监管</w:t>
            </w:r>
            <w:r>
              <w:rPr>
                <w:rFonts w:ascii="Times New Roman" w:hAnsi="Times New Roman" w:eastAsia="方正仿宋_GBK"/>
                <w:bCs/>
                <w:color w:val="000000" w:themeColor="text1"/>
                <w:spacing w:val="-2"/>
                <w:kern w:val="0"/>
                <w:szCs w:val="21"/>
                <w:lang w:val="zh-CN"/>
              </w:rPr>
              <w:t>执法，继续探索实行跨领域跨部门综合执法，推动执法重心下移，落实行政执法责任制和责任追究制，提高政府执行力和公信力。</w:t>
            </w:r>
          </w:p>
        </w:tc>
        <w:tc>
          <w:tcPr>
            <w:tcW w:w="850" w:type="dxa"/>
            <w:vAlign w:val="center"/>
          </w:tcPr>
          <w:p w14:paraId="23C9BD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p w14:paraId="660D2CE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519C1B3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p w14:paraId="4E3DEBD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县市场监管局</w:t>
            </w:r>
          </w:p>
        </w:tc>
        <w:tc>
          <w:tcPr>
            <w:tcW w:w="1559" w:type="dxa"/>
            <w:vAlign w:val="center"/>
          </w:tcPr>
          <w:p w14:paraId="44096B2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各行政执法部门各乡镇（街道）</w:t>
            </w:r>
          </w:p>
        </w:tc>
        <w:tc>
          <w:tcPr>
            <w:tcW w:w="4111" w:type="dxa"/>
            <w:vAlign w:val="center"/>
          </w:tcPr>
          <w:p w14:paraId="450FCAC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开展了全县行政执法主体资格清理审核公示工作和全县行政执法人员清理公示工作。二是就市场监管、生态环境保护、文化市场、交通运输、农业农村、城市管理、规划和自然资源、卫生健康等8大领域的综合执法支队机构编制事项进行了规范性文件审查。</w:t>
            </w:r>
          </w:p>
        </w:tc>
        <w:tc>
          <w:tcPr>
            <w:tcW w:w="2576" w:type="dxa"/>
            <w:vAlign w:val="center"/>
          </w:tcPr>
          <w:p w14:paraId="05C8C6F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全县市场监管、生态环境保护、文化市场、交通运输、农业农村、城市管理、规划和自然资源、卫生健康等8大领域的综合执法支队机构编制事项3月底才由县委编办印发，相关工作有待进一步推进。</w:t>
            </w:r>
          </w:p>
        </w:tc>
        <w:tc>
          <w:tcPr>
            <w:tcW w:w="3827" w:type="dxa"/>
            <w:vAlign w:val="center"/>
          </w:tcPr>
          <w:p w14:paraId="7D051B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推动建立行政执法联动响应和协作机制，加快推进跨部门、跨领域综合行政执法改革。落实好</w:t>
            </w:r>
            <w:r>
              <w:rPr>
                <w:rFonts w:hint="eastAsia" w:ascii="Times New Roman" w:hAnsi="Times New Roman" w:eastAsia="方正仿宋_GBK"/>
                <w:color w:val="000000" w:themeColor="text1"/>
                <w:spacing w:val="-2"/>
                <w:kern w:val="0"/>
                <w:szCs w:val="21"/>
                <w:lang w:eastAsia="zh-CN"/>
              </w:rPr>
              <w:t>“双随机、一公开”监管</w:t>
            </w:r>
            <w:r>
              <w:rPr>
                <w:rFonts w:hint="eastAsia" w:ascii="Times New Roman" w:hAnsi="Times New Roman" w:eastAsia="方正仿宋_GBK"/>
                <w:color w:val="000000" w:themeColor="text1"/>
                <w:spacing w:val="-2"/>
                <w:kern w:val="0"/>
                <w:szCs w:val="21"/>
              </w:rPr>
              <w:t>执法工作。</w:t>
            </w:r>
          </w:p>
        </w:tc>
      </w:tr>
      <w:tr w14:paraId="1AD3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04BF995">
            <w:pPr>
              <w:widowControl/>
              <w:spacing w:line="240" w:lineRule="exact"/>
              <w:rPr>
                <w:rFonts w:ascii="Times New Roman" w:hAnsi="Times New Roman" w:eastAsia="方正仿宋_GBK"/>
                <w:bCs/>
                <w:spacing w:val="-2"/>
                <w:kern w:val="0"/>
                <w:szCs w:val="21"/>
              </w:rPr>
            </w:pPr>
            <w:r>
              <w:rPr>
                <w:rFonts w:hint="eastAsia" w:ascii="Times New Roman" w:hAnsi="Times New Roman" w:eastAsia="方正仿宋_GBK"/>
                <w:bCs/>
                <w:spacing w:val="-2"/>
                <w:kern w:val="0"/>
                <w:szCs w:val="21"/>
              </w:rPr>
              <w:t>148</w:t>
            </w:r>
            <w:r>
              <w:rPr>
                <w:rFonts w:ascii="Times New Roman" w:hAnsi="Times New Roman" w:eastAsia="方正仿宋_GBK"/>
                <w:bCs/>
                <w:spacing w:val="-2"/>
                <w:kern w:val="0"/>
                <w:szCs w:val="21"/>
              </w:rPr>
              <w:t>.推进数字政府建设，优化整合政务管理信息系统，促进数据有序共享，依法保护公民个人信息。</w:t>
            </w:r>
          </w:p>
        </w:tc>
        <w:tc>
          <w:tcPr>
            <w:tcW w:w="850" w:type="dxa"/>
            <w:vAlign w:val="center"/>
          </w:tcPr>
          <w:p w14:paraId="724E123E">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陈光辉</w:t>
            </w:r>
          </w:p>
        </w:tc>
        <w:tc>
          <w:tcPr>
            <w:tcW w:w="1134" w:type="dxa"/>
            <w:vAlign w:val="center"/>
          </w:tcPr>
          <w:p w14:paraId="4019BA61">
            <w:pPr>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县政务服务中心</w:t>
            </w:r>
          </w:p>
        </w:tc>
        <w:tc>
          <w:tcPr>
            <w:tcW w:w="1559" w:type="dxa"/>
            <w:vAlign w:val="center"/>
          </w:tcPr>
          <w:p w14:paraId="71F37DA1">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县政府办</w:t>
            </w:r>
            <w:r>
              <w:rPr>
                <w:rFonts w:hint="eastAsia" w:ascii="Times New Roman" w:hAnsi="Times New Roman" w:eastAsia="方正仿宋_GBK"/>
                <w:spacing w:val="-2"/>
                <w:szCs w:val="21"/>
              </w:rPr>
              <w:t>公室</w:t>
            </w:r>
            <w:r>
              <w:rPr>
                <w:rFonts w:hint="eastAsia" w:ascii="Times New Roman" w:hAnsi="Times New Roman" w:eastAsia="方正仿宋_GBK"/>
                <w:spacing w:val="-2"/>
                <w:kern w:val="0"/>
                <w:szCs w:val="21"/>
              </w:rPr>
              <w:t>、县公安局等</w:t>
            </w:r>
          </w:p>
        </w:tc>
        <w:tc>
          <w:tcPr>
            <w:tcW w:w="4111" w:type="dxa"/>
            <w:vAlign w:val="center"/>
          </w:tcPr>
          <w:p w14:paraId="0734F994">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CD6E8DA">
            <w:pPr>
              <w:spacing w:line="240" w:lineRule="exact"/>
              <w:jc w:val="left"/>
              <w:rPr>
                <w:rFonts w:ascii="Times New Roman" w:hAnsi="Times New Roman" w:eastAsia="方正仿宋_GBK"/>
                <w:color w:val="000000" w:themeColor="text1"/>
                <w:spacing w:val="-2"/>
                <w:kern w:val="0"/>
                <w:szCs w:val="21"/>
              </w:rPr>
            </w:pPr>
          </w:p>
          <w:p w14:paraId="206CC2AB">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“互联网+”等创新手段一定程度上促进了政府相关部门联通和审批信息的共享，但作为基层政府一级，部分业务系统都是延用上级要求的国家级或市级系统，县级层面无技术支撑，部分系统对接暂无法实现。</w:t>
            </w:r>
          </w:p>
        </w:tc>
        <w:tc>
          <w:tcPr>
            <w:tcW w:w="3827" w:type="dxa"/>
            <w:vAlign w:val="center"/>
          </w:tcPr>
          <w:p w14:paraId="51AB9275">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积极按照市级部署要求，完成各系统整合对接任务，保障一体化政务服务平台进驻项目正常运行。</w:t>
            </w:r>
          </w:p>
        </w:tc>
      </w:tr>
      <w:tr w14:paraId="46BC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DDCB32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149</w:t>
            </w:r>
            <w:r>
              <w:rPr>
                <w:rFonts w:ascii="Times New Roman" w:hAnsi="Times New Roman" w:eastAsia="方正仿宋_GBK"/>
                <w:bCs/>
                <w:color w:val="000000" w:themeColor="text1"/>
                <w:spacing w:val="-2"/>
                <w:kern w:val="0"/>
                <w:szCs w:val="21"/>
              </w:rPr>
              <w:t>.持续推进</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枫桥经验</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重庆实践十项行动，健全新形势下人民内部矛盾有效处理机制，加强人民调解、行政调解、司法调解的联动对接，深化领导干部接访下访工作，完善社会矛盾纠纷多元预防调处化解综合机制，努力将矛盾化解在基层。</w:t>
            </w:r>
          </w:p>
        </w:tc>
        <w:tc>
          <w:tcPr>
            <w:tcW w:w="850" w:type="dxa"/>
            <w:vAlign w:val="center"/>
          </w:tcPr>
          <w:p w14:paraId="524AB37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1C511CC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680B482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p w14:paraId="46F6700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p w14:paraId="7F773A2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县信访办</w:t>
            </w:r>
          </w:p>
        </w:tc>
        <w:tc>
          <w:tcPr>
            <w:tcW w:w="1559" w:type="dxa"/>
            <w:vAlign w:val="center"/>
          </w:tcPr>
          <w:p w14:paraId="5C2805B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CB3576D">
            <w:pPr>
              <w:widowControl/>
              <w:spacing w:line="240" w:lineRule="exact"/>
              <w:jc w:val="left"/>
              <w:rPr>
                <w:rFonts w:ascii="Times New Roman" w:hAnsi="Times New Roman" w:eastAsia="方正仿宋_GBK"/>
                <w:color w:val="000000" w:themeColor="text1"/>
                <w:spacing w:val="-2"/>
                <w:kern w:val="0"/>
                <w:szCs w:val="21"/>
              </w:rPr>
            </w:pPr>
          </w:p>
          <w:p w14:paraId="5FEAE6C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一是深化领导干部接访下访工作，完善政法部门主要负责人定期接待群众制度，通过来信、来访、来电、网上投诉等不同形式搭建起多元化、立体式信访渠道。实现网上信访占总信访量60%以上。</w:t>
            </w:r>
          </w:p>
          <w:p w14:paraId="549F64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深化“枫桥经验”重庆实践十项行动，持续完善县、乡、村三级综合调处网络，人民调解、行政调解、司法调解“三调联动”，访调、诉调、警调、检调、律调等“多调对接”工作机制，发挥专业性、行业性调委会作用。实现全县90%以上的矛盾纠纷在乡村两级化解。</w:t>
            </w:r>
          </w:p>
        </w:tc>
        <w:tc>
          <w:tcPr>
            <w:tcW w:w="2576" w:type="dxa"/>
          </w:tcPr>
          <w:p w14:paraId="71E070D3">
            <w:pPr>
              <w:widowControl/>
              <w:spacing w:line="240" w:lineRule="exact"/>
              <w:jc w:val="left"/>
              <w:rPr>
                <w:rFonts w:ascii="Times New Roman" w:hAnsi="Times New Roman" w:eastAsia="方正仿宋_GBK"/>
                <w:color w:val="000000" w:themeColor="text1"/>
                <w:spacing w:val="-2"/>
                <w:kern w:val="0"/>
                <w:szCs w:val="21"/>
              </w:rPr>
            </w:pPr>
          </w:p>
          <w:p w14:paraId="62B98AC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在“三调联动”探索推进中，还存在资源整合不够、参与力度不强等问题。部分群众维权意识强烈但法治意识不强，存在重复信访现象。</w:t>
            </w:r>
          </w:p>
          <w:p w14:paraId="32D10745">
            <w:pPr>
              <w:widowControl/>
              <w:spacing w:line="240" w:lineRule="exact"/>
              <w:jc w:val="left"/>
              <w:rPr>
                <w:rFonts w:ascii="Times New Roman" w:hAnsi="Times New Roman" w:eastAsia="方正仿宋_GBK"/>
                <w:color w:val="000000" w:themeColor="text1"/>
                <w:spacing w:val="-2"/>
                <w:kern w:val="0"/>
                <w:szCs w:val="21"/>
              </w:rPr>
            </w:pPr>
          </w:p>
          <w:p w14:paraId="1BA8603E">
            <w:pPr>
              <w:widowControl/>
              <w:spacing w:line="240" w:lineRule="exact"/>
              <w:jc w:val="left"/>
              <w:rPr>
                <w:rFonts w:ascii="Times New Roman" w:hAnsi="Times New Roman" w:eastAsia="方正仿宋_GBK"/>
                <w:color w:val="000000" w:themeColor="text1"/>
                <w:spacing w:val="-2"/>
                <w:kern w:val="0"/>
                <w:szCs w:val="21"/>
              </w:rPr>
            </w:pPr>
          </w:p>
          <w:p w14:paraId="44138DB1">
            <w:pPr>
              <w:widowControl/>
              <w:spacing w:line="240" w:lineRule="exact"/>
              <w:jc w:val="left"/>
              <w:rPr>
                <w:rFonts w:ascii="Times New Roman" w:hAnsi="Times New Roman" w:eastAsia="方正仿宋_GBK"/>
                <w:color w:val="000000" w:themeColor="text1"/>
                <w:spacing w:val="-2"/>
                <w:kern w:val="0"/>
                <w:szCs w:val="21"/>
              </w:rPr>
            </w:pPr>
          </w:p>
          <w:p w14:paraId="55F2F8B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D2179EF">
            <w:pPr>
              <w:widowControl/>
              <w:spacing w:line="240" w:lineRule="exact"/>
              <w:jc w:val="left"/>
              <w:rPr>
                <w:rFonts w:ascii="Times New Roman" w:hAnsi="Times New Roman" w:eastAsia="方正仿宋_GBK"/>
                <w:color w:val="000000" w:themeColor="text1"/>
                <w:spacing w:val="-2"/>
                <w:kern w:val="0"/>
                <w:szCs w:val="21"/>
              </w:rPr>
            </w:pPr>
          </w:p>
          <w:p w14:paraId="5D9BDA8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推动信访工作高质量发展，深入推进信访工作制度改革，做到让群众“最多访一次”。二是加快推进县级综治中心、乡镇（街道）综治中心和村（社区）综合服务平台建设，切实发挥矛盾纠纷调解、信访代理、法治宣传、心理咨询、法律服务等功能，将矛盾化解在一线。</w:t>
            </w:r>
          </w:p>
          <w:p w14:paraId="1B0257AD">
            <w:pPr>
              <w:widowControl/>
              <w:spacing w:line="240" w:lineRule="exact"/>
              <w:jc w:val="left"/>
              <w:rPr>
                <w:rFonts w:ascii="Times New Roman" w:hAnsi="Times New Roman" w:eastAsia="方正仿宋_GBK"/>
                <w:color w:val="000000" w:themeColor="text1"/>
                <w:spacing w:val="-2"/>
                <w:kern w:val="0"/>
                <w:szCs w:val="21"/>
              </w:rPr>
            </w:pPr>
          </w:p>
          <w:p w14:paraId="2F4D41E2">
            <w:pPr>
              <w:widowControl/>
              <w:spacing w:line="240" w:lineRule="exact"/>
              <w:jc w:val="left"/>
              <w:rPr>
                <w:rFonts w:ascii="Times New Roman" w:hAnsi="Times New Roman" w:eastAsia="方正仿宋_GBK"/>
                <w:color w:val="000000" w:themeColor="text1"/>
                <w:spacing w:val="-2"/>
                <w:kern w:val="0"/>
                <w:szCs w:val="21"/>
              </w:rPr>
            </w:pPr>
          </w:p>
          <w:p w14:paraId="14FE6D76">
            <w:pPr>
              <w:widowControl/>
              <w:spacing w:line="240" w:lineRule="exact"/>
              <w:jc w:val="left"/>
              <w:rPr>
                <w:rFonts w:ascii="Times New Roman" w:hAnsi="Times New Roman" w:eastAsia="方正仿宋_GBK"/>
                <w:color w:val="000000" w:themeColor="text1"/>
                <w:spacing w:val="-2"/>
                <w:kern w:val="0"/>
                <w:szCs w:val="21"/>
              </w:rPr>
            </w:pPr>
          </w:p>
        </w:tc>
      </w:tr>
      <w:tr w14:paraId="67E9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01C91BF">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150</w:t>
            </w:r>
            <w:r>
              <w:rPr>
                <w:rFonts w:ascii="Times New Roman" w:hAnsi="Times New Roman" w:eastAsia="方正仿宋_GBK"/>
                <w:bCs/>
                <w:color w:val="000000" w:themeColor="text1"/>
                <w:spacing w:val="-2"/>
                <w:kern w:val="0"/>
                <w:szCs w:val="21"/>
              </w:rPr>
              <w:t>.完善群众参与基层社会治理的制度化渠道，健全党组织领导</w:t>
            </w:r>
            <w:r>
              <w:rPr>
                <w:rFonts w:hint="eastAsia" w:ascii="Times New Roman" w:hAnsi="Times New Roman" w:eastAsia="方正仿宋_GBK"/>
                <w:bCs/>
                <w:color w:val="000000" w:themeColor="text1"/>
                <w:spacing w:val="-2"/>
                <w:kern w:val="0"/>
                <w:szCs w:val="21"/>
              </w:rPr>
              <w:t>下</w:t>
            </w:r>
            <w:r>
              <w:rPr>
                <w:rFonts w:ascii="Times New Roman" w:hAnsi="Times New Roman" w:eastAsia="方正仿宋_GBK"/>
                <w:bCs/>
                <w:color w:val="000000" w:themeColor="text1"/>
                <w:spacing w:val="-2"/>
                <w:kern w:val="0"/>
                <w:szCs w:val="21"/>
              </w:rPr>
              <w:t>的自治、法治、德治相结合的城乡基层治理体系</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推行网格化管理服务和</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三事分流</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，发挥群团组织、社会组织作用，发挥行业协会自律功能，实现政府治理和社会调节、居民自治良性互动，夯实基层社会治理基础。</w:t>
            </w:r>
          </w:p>
        </w:tc>
        <w:tc>
          <w:tcPr>
            <w:tcW w:w="850" w:type="dxa"/>
            <w:vAlign w:val="center"/>
          </w:tcPr>
          <w:p w14:paraId="3EAFA19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0387680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27B55E1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tc>
        <w:tc>
          <w:tcPr>
            <w:tcW w:w="1559" w:type="dxa"/>
            <w:vAlign w:val="center"/>
          </w:tcPr>
          <w:p w14:paraId="481A45E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县委组织部、县民政局、县司法局等各乡镇（街道）</w:t>
            </w:r>
          </w:p>
        </w:tc>
        <w:tc>
          <w:tcPr>
            <w:tcW w:w="4111" w:type="dxa"/>
            <w:vAlign w:val="center"/>
          </w:tcPr>
          <w:p w14:paraId="39EED68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一是完成</w:t>
            </w:r>
            <w:r>
              <w:rPr>
                <w:rFonts w:ascii="Times New Roman" w:hAnsi="Times New Roman" w:eastAsia="方正仿宋_GBK"/>
                <w:color w:val="000000" w:themeColor="text1"/>
                <w:spacing w:val="-2"/>
                <w:kern w:val="0"/>
                <w:szCs w:val="21"/>
              </w:rPr>
              <w:t>12个“三治”协同示范村（社区）建设试点，大力培育了“三和三美”、“四亮四比”、“四育四尊”、 “</w:t>
            </w:r>
            <w:r>
              <w:rPr>
                <w:rFonts w:hint="eastAsia" w:ascii="Times New Roman" w:hAnsi="Times New Roman" w:eastAsia="方正仿宋_GBK"/>
                <w:color w:val="000000" w:themeColor="text1"/>
                <w:spacing w:val="-2"/>
                <w:kern w:val="0"/>
                <w:szCs w:val="21"/>
              </w:rPr>
              <w:t>周木文法律工作室</w:t>
            </w:r>
            <w:r>
              <w:rPr>
                <w:rFonts w:ascii="Times New Roman" w:hAnsi="Times New Roman" w:eastAsia="方正仿宋_GBK"/>
                <w:color w:val="000000" w:themeColor="text1"/>
                <w:spacing w:val="-2"/>
                <w:kern w:val="0"/>
                <w:szCs w:val="21"/>
              </w:rPr>
              <w:t>”等社会治理品牌，着力提升基层社会治理效能。</w:t>
            </w:r>
            <w:r>
              <w:rPr>
                <w:rFonts w:hint="eastAsia" w:ascii="Times New Roman" w:hAnsi="Times New Roman" w:eastAsia="方正仿宋_GBK"/>
                <w:color w:val="000000" w:themeColor="text1"/>
                <w:spacing w:val="-2"/>
                <w:kern w:val="0"/>
                <w:szCs w:val="21"/>
              </w:rPr>
              <w:t>二是制定出台《关于推进全县农村网格社区基层网格化管理的实施方案》，全县共划分</w:t>
            </w:r>
            <w:r>
              <w:rPr>
                <w:rFonts w:ascii="Times New Roman" w:hAnsi="Times New Roman" w:eastAsia="方正仿宋_GBK"/>
                <w:color w:val="000000" w:themeColor="text1"/>
                <w:spacing w:val="-2"/>
                <w:kern w:val="0"/>
                <w:szCs w:val="21"/>
              </w:rPr>
              <w:t>114</w:t>
            </w:r>
            <w:r>
              <w:rPr>
                <w:rFonts w:hint="eastAsia" w:ascii="Times New Roman" w:hAnsi="Times New Roman" w:eastAsia="方正仿宋_GBK"/>
                <w:color w:val="000000" w:themeColor="text1"/>
                <w:spacing w:val="-2"/>
                <w:kern w:val="0"/>
                <w:szCs w:val="21"/>
              </w:rPr>
              <w:t>个城市社区网格、</w:t>
            </w:r>
            <w:r>
              <w:rPr>
                <w:rFonts w:ascii="Times New Roman" w:hAnsi="Times New Roman" w:eastAsia="方正仿宋_GBK"/>
                <w:color w:val="000000" w:themeColor="text1"/>
                <w:spacing w:val="-2"/>
                <w:kern w:val="0"/>
                <w:szCs w:val="21"/>
              </w:rPr>
              <w:t>1130</w:t>
            </w:r>
            <w:r>
              <w:rPr>
                <w:rFonts w:hint="eastAsia" w:ascii="Times New Roman" w:hAnsi="Times New Roman" w:eastAsia="方正仿宋_GBK"/>
                <w:color w:val="000000" w:themeColor="text1"/>
                <w:spacing w:val="-2"/>
                <w:kern w:val="0"/>
                <w:szCs w:val="21"/>
              </w:rPr>
              <w:t>个农村社区网格，全部纳入县级统一管理，为群众提供精准有效的精细化服务。</w:t>
            </w:r>
          </w:p>
          <w:p w14:paraId="67382344">
            <w:pPr>
              <w:widowControl/>
              <w:spacing w:line="240" w:lineRule="exact"/>
              <w:jc w:val="left"/>
              <w:rPr>
                <w:rFonts w:ascii="Times New Roman" w:hAnsi="Times New Roman" w:eastAsia="方正仿宋_GBK"/>
                <w:color w:val="000000" w:themeColor="text1"/>
                <w:spacing w:val="-2"/>
                <w:kern w:val="0"/>
                <w:szCs w:val="21"/>
              </w:rPr>
            </w:pPr>
          </w:p>
          <w:p w14:paraId="5B422168">
            <w:pPr>
              <w:widowControl/>
              <w:spacing w:line="240" w:lineRule="exact"/>
              <w:jc w:val="left"/>
              <w:rPr>
                <w:rFonts w:ascii="Times New Roman" w:hAnsi="Times New Roman" w:eastAsia="方正仿宋_GBK"/>
                <w:color w:val="000000" w:themeColor="text1"/>
                <w:spacing w:val="-2"/>
                <w:kern w:val="0"/>
                <w:szCs w:val="21"/>
              </w:rPr>
            </w:pPr>
          </w:p>
          <w:p w14:paraId="2B4BB372">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0CF0103E">
            <w:pPr>
              <w:widowControl/>
              <w:spacing w:line="240" w:lineRule="exact"/>
              <w:jc w:val="left"/>
              <w:rPr>
                <w:rFonts w:ascii="Times New Roman" w:hAnsi="Times New Roman" w:eastAsia="方正仿宋_GBK"/>
                <w:color w:val="000000" w:themeColor="text1"/>
                <w:spacing w:val="-2"/>
                <w:kern w:val="0"/>
                <w:szCs w:val="21"/>
              </w:rPr>
            </w:pPr>
          </w:p>
          <w:p w14:paraId="6117D1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基层自治能力较为薄弱，群众</w:t>
            </w:r>
            <w:r>
              <w:rPr>
                <w:rFonts w:ascii="Times New Roman" w:hAnsi="Times New Roman" w:eastAsia="方正仿宋_GBK"/>
                <w:color w:val="000000" w:themeColor="text1"/>
                <w:spacing w:val="-2"/>
                <w:kern w:val="0"/>
                <w:szCs w:val="21"/>
              </w:rPr>
              <w:t>通过民主协商方式参与乡村治理的意识不</w:t>
            </w:r>
            <w:r>
              <w:rPr>
                <w:rFonts w:hint="eastAsia" w:ascii="Times New Roman" w:hAnsi="Times New Roman" w:eastAsia="方正仿宋_GBK"/>
                <w:color w:val="000000" w:themeColor="text1"/>
                <w:spacing w:val="-2"/>
                <w:kern w:val="0"/>
                <w:szCs w:val="21"/>
              </w:rPr>
              <w:t>足</w:t>
            </w:r>
            <w:r>
              <w:rPr>
                <w:rFonts w:ascii="Times New Roman" w:hAnsi="Times New Roman" w:eastAsia="方正仿宋_GBK"/>
                <w:color w:val="000000" w:themeColor="text1"/>
                <w:spacing w:val="-2"/>
                <w:kern w:val="0"/>
                <w:szCs w:val="21"/>
              </w:rPr>
              <w:t>。</w:t>
            </w:r>
          </w:p>
        </w:tc>
        <w:tc>
          <w:tcPr>
            <w:tcW w:w="3827" w:type="dxa"/>
          </w:tcPr>
          <w:p w14:paraId="60763B20">
            <w:pPr>
              <w:widowControl/>
              <w:spacing w:line="240" w:lineRule="exact"/>
              <w:jc w:val="left"/>
              <w:rPr>
                <w:rFonts w:ascii="Times New Roman" w:hAnsi="Times New Roman" w:eastAsia="方正仿宋_GBK"/>
                <w:color w:val="000000" w:themeColor="text1"/>
                <w:spacing w:val="-2"/>
                <w:kern w:val="0"/>
                <w:szCs w:val="21"/>
              </w:rPr>
            </w:pPr>
          </w:p>
          <w:p w14:paraId="1F48FB2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一是在2020年全面铺开“三治”协同村（社区）建设工作，深入结合</w:t>
            </w:r>
            <w:r>
              <w:rPr>
                <w:rFonts w:ascii="Times New Roman" w:hAnsi="Times New Roman" w:eastAsia="方正仿宋_GBK"/>
                <w:color w:val="000000" w:themeColor="text1"/>
                <w:spacing w:val="-2"/>
                <w:kern w:val="0"/>
                <w:szCs w:val="21"/>
              </w:rPr>
              <w:t>新时代文明实践中心</w:t>
            </w:r>
            <w:r>
              <w:rPr>
                <w:rFonts w:hint="eastAsia" w:ascii="Times New Roman" w:hAnsi="Times New Roman" w:eastAsia="方正仿宋_GBK"/>
                <w:color w:val="000000" w:themeColor="text1"/>
                <w:spacing w:val="-2"/>
                <w:kern w:val="0"/>
                <w:szCs w:val="21"/>
              </w:rPr>
              <w:t>建设，激发社会组织活力，完善党政主导、社会协同、公众参与、法治保障的基层社会治理体系。二是扎实开展基层网格化管理工作，全面落实《实施方案》，整合各类网格，建立健全“四网三包”机制，进一步明确网格管理员职责，加强工作保障</w:t>
            </w:r>
          </w:p>
        </w:tc>
      </w:tr>
      <w:tr w14:paraId="6213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1879E28">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151</w:t>
            </w:r>
            <w:r>
              <w:rPr>
                <w:rFonts w:ascii="Times New Roman" w:hAnsi="Times New Roman" w:eastAsia="方正仿宋_GBK"/>
                <w:bCs/>
                <w:color w:val="000000" w:themeColor="text1"/>
                <w:spacing w:val="-2"/>
                <w:kern w:val="0"/>
                <w:szCs w:val="21"/>
              </w:rPr>
              <w:t>.加强基层社会治理人才队伍建设，实施更加积极、更加开放的基层人才政策，鼓励和支持更多人才投身基层社会治理，强化基层人才队伍保障水平。</w:t>
            </w:r>
          </w:p>
        </w:tc>
        <w:tc>
          <w:tcPr>
            <w:tcW w:w="850" w:type="dxa"/>
            <w:vAlign w:val="center"/>
          </w:tcPr>
          <w:p w14:paraId="63CA140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0F3C663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李福科</w:t>
            </w:r>
          </w:p>
        </w:tc>
        <w:tc>
          <w:tcPr>
            <w:tcW w:w="1134" w:type="dxa"/>
            <w:vAlign w:val="center"/>
          </w:tcPr>
          <w:p w14:paraId="15BBC1D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县委组织部</w:t>
            </w:r>
          </w:p>
          <w:p w14:paraId="3D663E1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县人力社保局</w:t>
            </w:r>
          </w:p>
        </w:tc>
        <w:tc>
          <w:tcPr>
            <w:tcW w:w="1559" w:type="dxa"/>
            <w:vAlign w:val="center"/>
          </w:tcPr>
          <w:p w14:paraId="6C684BA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6F6BB7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一是已制定印发《城口县基层党组织建设提升年实施方案》，充分发挥基层党组织在基层治理中的领导作用。</w:t>
            </w:r>
          </w:p>
          <w:p w14:paraId="7DA9467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二是印发《关于在农村“网格化”管理中进一步发挥基层党组织和党员作用的通知》，发挥基层党组织战斗堡垒作用和党员先锋模范作用，切实提升基层社会治理水平。</w:t>
            </w:r>
          </w:p>
          <w:p w14:paraId="016CABB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三是已制定《城口县乡村本土人才培养计划》，逐步建立完善乡村两级人才培养体系，激发本土人才创新创业活力，推进基层社会治理创新。</w:t>
            </w:r>
          </w:p>
        </w:tc>
        <w:tc>
          <w:tcPr>
            <w:tcW w:w="2576" w:type="dxa"/>
          </w:tcPr>
          <w:p w14:paraId="696C1EC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一是进一步加强基层社会治理人才的创新思维；</w:t>
            </w:r>
          </w:p>
          <w:p w14:paraId="2A38F9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二是加强提升治理能力现代化。</w:t>
            </w:r>
          </w:p>
        </w:tc>
        <w:tc>
          <w:tcPr>
            <w:tcW w:w="3827" w:type="dxa"/>
          </w:tcPr>
          <w:p w14:paraId="5BBE0A6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行村（社区）网格化治理，持续推行机关企事业单位党员到社区报到制度，统筹帮扶单位、机关企事业单位党员、乡镇（街道）机关干部职工、村（社区）“两委”成员、群团组织、社会组织等力量，建立网格党小组，全面落实网格治理责任，强化基层社会治理效能。</w:t>
            </w:r>
          </w:p>
        </w:tc>
      </w:tr>
      <w:tr w14:paraId="1FD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043" w:type="dxa"/>
            <w:gridSpan w:val="7"/>
            <w:vAlign w:val="center"/>
          </w:tcPr>
          <w:p w14:paraId="639C12C0">
            <w:pPr>
              <w:widowControl/>
              <w:spacing w:line="300" w:lineRule="exact"/>
              <w:jc w:val="center"/>
              <w:rPr>
                <w:rFonts w:ascii="Times New Roman" w:hAnsi="Times New Roman" w:eastAsia="方正仿宋_GBK"/>
                <w:b/>
                <w:color w:val="000000" w:themeColor="text1"/>
                <w:spacing w:val="-2"/>
                <w:kern w:val="0"/>
                <w:szCs w:val="21"/>
              </w:rPr>
            </w:pPr>
            <w:r>
              <w:rPr>
                <w:rFonts w:ascii="Times New Roman" w:hAnsi="Times New Roman" w:eastAsia="方正黑体_GBK"/>
                <w:color w:val="000000" w:themeColor="text1"/>
                <w:spacing w:val="-2"/>
                <w:kern w:val="0"/>
                <w:sz w:val="28"/>
                <w:szCs w:val="28"/>
              </w:rPr>
              <w:t>三、政府自身建设任务</w:t>
            </w:r>
          </w:p>
        </w:tc>
      </w:tr>
      <w:tr w14:paraId="2994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043" w:type="dxa"/>
            <w:gridSpan w:val="7"/>
            <w:vAlign w:val="center"/>
          </w:tcPr>
          <w:p w14:paraId="427D6C49">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（一）始终坚持党的全面领导。</w:t>
            </w:r>
          </w:p>
        </w:tc>
      </w:tr>
      <w:tr w14:paraId="733C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B032D3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152</w:t>
            </w:r>
            <w:r>
              <w:rPr>
                <w:rFonts w:ascii="Times New Roman" w:hAnsi="Times New Roman" w:eastAsia="方正仿宋_GBK"/>
                <w:bCs/>
                <w:color w:val="000000" w:themeColor="text1"/>
                <w:spacing w:val="-2"/>
                <w:kern w:val="0"/>
                <w:szCs w:val="21"/>
              </w:rPr>
              <w:t>.深学笃用习近平新时代中国特色社会主义思想，坚决落实维护党中央权威和集中统一领导的各项制度，树牢</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四个意识</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，坚定</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四个自信</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，做到</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两个维护</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w:t>
            </w:r>
          </w:p>
        </w:tc>
        <w:tc>
          <w:tcPr>
            <w:tcW w:w="850" w:type="dxa"/>
            <w:vAlign w:val="center"/>
          </w:tcPr>
          <w:p w14:paraId="5BCD133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5F307E6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08CF486F">
            <w:pPr>
              <w:widowControl/>
              <w:spacing w:line="240" w:lineRule="exact"/>
              <w:jc w:val="center"/>
              <w:rPr>
                <w:rFonts w:ascii="Times New Roman" w:hAnsi="Times New Roman" w:eastAsia="方正仿宋_GBK"/>
                <w:color w:val="000000" w:themeColor="text1"/>
                <w:spacing w:val="-2"/>
                <w:kern w:val="0"/>
                <w:szCs w:val="21"/>
              </w:rPr>
            </w:pPr>
          </w:p>
          <w:p w14:paraId="1306ED5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A75445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3E32DE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5071451">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不断增强自身政治意识，严守党的各项纪律和规矩，不断自我净化、自我完善、自我革新、自我提高，理想信念更加坚</w:t>
            </w:r>
            <w:r>
              <w:rPr>
                <w:rFonts w:hint="eastAsia" w:ascii="Times New Roman" w:hAnsi="Times New Roman" w:eastAsia="方正仿宋_GBK"/>
                <w:color w:val="000000" w:themeColor="text1"/>
                <w:spacing w:val="-2"/>
                <w:kern w:val="0"/>
                <w:szCs w:val="21"/>
              </w:rPr>
              <w:t>定</w:t>
            </w:r>
            <w:r>
              <w:rPr>
                <w:rFonts w:ascii="Times New Roman" w:hAnsi="Times New Roman" w:eastAsia="方正仿宋_GBK"/>
                <w:color w:val="000000" w:themeColor="text1"/>
                <w:spacing w:val="-2"/>
                <w:kern w:val="0"/>
                <w:szCs w:val="21"/>
              </w:rPr>
              <w:t>，与党同心情感更加深厚，听党指挥行动更加有力。</w:t>
            </w:r>
          </w:p>
        </w:tc>
        <w:tc>
          <w:tcPr>
            <w:tcW w:w="2576" w:type="dxa"/>
          </w:tcPr>
          <w:p w14:paraId="37F3B52E">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282352D">
            <w:pPr>
              <w:widowControl/>
              <w:spacing w:line="240" w:lineRule="exact"/>
              <w:jc w:val="left"/>
              <w:rPr>
                <w:rFonts w:ascii="Times New Roman" w:hAnsi="Times New Roman" w:eastAsia="方正仿宋_GBK"/>
                <w:color w:val="000000" w:themeColor="text1"/>
                <w:spacing w:val="-2"/>
                <w:kern w:val="0"/>
                <w:szCs w:val="21"/>
              </w:rPr>
            </w:pPr>
          </w:p>
          <w:p w14:paraId="12F3EC8F">
            <w:pPr>
              <w:widowControl/>
              <w:spacing w:line="240" w:lineRule="exact"/>
              <w:jc w:val="left"/>
              <w:rPr>
                <w:rFonts w:ascii="Times New Roman" w:hAnsi="Times New Roman" w:eastAsia="方正仿宋_GBK"/>
                <w:color w:val="000000" w:themeColor="text1"/>
                <w:spacing w:val="-2"/>
                <w:kern w:val="0"/>
                <w:szCs w:val="21"/>
              </w:rPr>
            </w:pPr>
          </w:p>
          <w:p w14:paraId="480FAD3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68E1FE52">
            <w:pPr>
              <w:widowControl/>
              <w:spacing w:line="240" w:lineRule="exact"/>
              <w:jc w:val="left"/>
              <w:rPr>
                <w:rFonts w:ascii="Times New Roman" w:hAnsi="Times New Roman" w:eastAsia="方正仿宋_GBK"/>
                <w:color w:val="000000" w:themeColor="text1"/>
                <w:spacing w:val="-2"/>
                <w:kern w:val="0"/>
                <w:szCs w:val="21"/>
              </w:rPr>
            </w:pPr>
          </w:p>
          <w:p w14:paraId="1475D820">
            <w:pPr>
              <w:widowControl/>
              <w:spacing w:line="240" w:lineRule="exact"/>
              <w:jc w:val="left"/>
              <w:rPr>
                <w:rFonts w:ascii="Times New Roman" w:hAnsi="Times New Roman" w:eastAsia="方正仿宋_GBK"/>
                <w:color w:val="000000" w:themeColor="text1"/>
                <w:spacing w:val="-2"/>
                <w:kern w:val="0"/>
                <w:szCs w:val="21"/>
              </w:rPr>
            </w:pPr>
          </w:p>
          <w:p w14:paraId="40867C01">
            <w:pPr>
              <w:widowControl/>
              <w:spacing w:line="240" w:lineRule="exact"/>
              <w:jc w:val="left"/>
              <w:rPr>
                <w:rFonts w:ascii="Times New Roman" w:hAnsi="Times New Roman" w:eastAsia="方正仿宋_GBK"/>
                <w:color w:val="000000" w:themeColor="text1"/>
                <w:spacing w:val="-2"/>
                <w:kern w:val="0"/>
                <w:szCs w:val="21"/>
              </w:rPr>
            </w:pPr>
          </w:p>
        </w:tc>
      </w:tr>
      <w:tr w14:paraId="5E63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0232102">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153</w:t>
            </w:r>
            <w:r>
              <w:rPr>
                <w:rFonts w:ascii="Times New Roman" w:hAnsi="Times New Roman" w:eastAsia="方正仿宋_GBK"/>
                <w:bCs/>
                <w:color w:val="000000" w:themeColor="text1"/>
                <w:spacing w:val="-2"/>
                <w:kern w:val="0"/>
                <w:szCs w:val="21"/>
              </w:rPr>
              <w:t>.贯彻落实习近平总书记对重庆所作重要讲话和系列重要指示批示</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回头看</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制度，不折不扣贯彻中央大政方针和市委</w:t>
            </w:r>
            <w:r>
              <w:rPr>
                <w:rFonts w:hint="eastAsia" w:ascii="Times New Roman" w:hAnsi="Times New Roman" w:eastAsia="方正仿宋_GBK"/>
                <w:bCs/>
                <w:color w:val="000000" w:themeColor="text1"/>
                <w:spacing w:val="-2"/>
                <w:kern w:val="0"/>
                <w:szCs w:val="21"/>
              </w:rPr>
              <w:t>、县委</w:t>
            </w:r>
            <w:r>
              <w:rPr>
                <w:rFonts w:ascii="Times New Roman" w:hAnsi="Times New Roman" w:eastAsia="方正仿宋_GBK"/>
                <w:bCs/>
                <w:color w:val="000000" w:themeColor="text1"/>
                <w:spacing w:val="-2"/>
                <w:kern w:val="0"/>
                <w:szCs w:val="21"/>
              </w:rPr>
              <w:t>决策部署，以实际行动兑现市委</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三个确保</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政治承诺。</w:t>
            </w:r>
          </w:p>
        </w:tc>
        <w:tc>
          <w:tcPr>
            <w:tcW w:w="850" w:type="dxa"/>
            <w:vAlign w:val="center"/>
          </w:tcPr>
          <w:p w14:paraId="3FFCEE0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F4728D8">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465C4DD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78BDD2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7AAAF34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441478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认真落实“回头看”制度要求，</w:t>
            </w:r>
            <w:r>
              <w:rPr>
                <w:rFonts w:ascii="Times New Roman" w:hAnsi="Times New Roman" w:eastAsia="方正仿宋_GBK"/>
                <w:color w:val="000000" w:themeColor="text1"/>
                <w:spacing w:val="-2"/>
                <w:kern w:val="0"/>
                <w:szCs w:val="21"/>
              </w:rPr>
              <w:t>始终把思想政治建设摆在突出位置，</w:t>
            </w:r>
            <w:r>
              <w:rPr>
                <w:rFonts w:hint="eastAsia" w:ascii="Times New Roman" w:hAnsi="Times New Roman" w:eastAsia="方正仿宋_GBK"/>
                <w:color w:val="000000" w:themeColor="text1"/>
                <w:spacing w:val="-2"/>
                <w:kern w:val="0"/>
                <w:szCs w:val="21"/>
              </w:rPr>
              <w:t>定期研究部署，</w:t>
            </w:r>
            <w:r>
              <w:rPr>
                <w:rFonts w:ascii="Times New Roman" w:hAnsi="Times New Roman" w:eastAsia="方正仿宋_GBK"/>
                <w:color w:val="000000" w:themeColor="text1"/>
                <w:spacing w:val="-2"/>
                <w:kern w:val="0"/>
                <w:szCs w:val="21"/>
              </w:rPr>
              <w:t>时时处处事事坚决维护以习近平同志为核心的党中央权威和集中统一领导，自觉在思想上政治上行动上同党中央保持高度一致，始终忠诚于党、忠诚于人民。</w:t>
            </w:r>
          </w:p>
        </w:tc>
        <w:tc>
          <w:tcPr>
            <w:tcW w:w="2576" w:type="dxa"/>
          </w:tcPr>
          <w:p w14:paraId="409B9C8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D536F0B">
            <w:pPr>
              <w:widowControl/>
              <w:spacing w:line="240" w:lineRule="exact"/>
              <w:jc w:val="left"/>
              <w:rPr>
                <w:rFonts w:ascii="Times New Roman" w:hAnsi="Times New Roman" w:eastAsia="方正仿宋_GBK"/>
                <w:color w:val="000000" w:themeColor="text1"/>
                <w:spacing w:val="-2"/>
                <w:kern w:val="0"/>
                <w:szCs w:val="21"/>
              </w:rPr>
            </w:pPr>
          </w:p>
          <w:p w14:paraId="69580E5E">
            <w:pPr>
              <w:widowControl/>
              <w:spacing w:line="240" w:lineRule="exact"/>
              <w:jc w:val="left"/>
              <w:rPr>
                <w:rFonts w:ascii="Times New Roman" w:hAnsi="Times New Roman" w:eastAsia="方正仿宋_GBK"/>
                <w:color w:val="000000" w:themeColor="text1"/>
                <w:spacing w:val="-2"/>
                <w:kern w:val="0"/>
                <w:szCs w:val="21"/>
              </w:rPr>
            </w:pPr>
          </w:p>
          <w:p w14:paraId="43FE02C8">
            <w:pPr>
              <w:widowControl/>
              <w:spacing w:line="240" w:lineRule="exact"/>
              <w:jc w:val="left"/>
              <w:rPr>
                <w:rFonts w:ascii="Times New Roman" w:hAnsi="Times New Roman" w:eastAsia="方正仿宋_GBK"/>
                <w:color w:val="000000" w:themeColor="text1"/>
                <w:spacing w:val="-2"/>
                <w:kern w:val="0"/>
                <w:szCs w:val="21"/>
              </w:rPr>
            </w:pPr>
          </w:p>
          <w:p w14:paraId="321726FA">
            <w:pPr>
              <w:widowControl/>
              <w:spacing w:line="240" w:lineRule="exact"/>
              <w:jc w:val="left"/>
              <w:rPr>
                <w:rFonts w:ascii="Times New Roman" w:hAnsi="Times New Roman" w:eastAsia="方正仿宋_GBK"/>
                <w:color w:val="000000" w:themeColor="text1"/>
                <w:spacing w:val="-2"/>
                <w:kern w:val="0"/>
                <w:szCs w:val="21"/>
              </w:rPr>
            </w:pPr>
          </w:p>
          <w:p w14:paraId="37E0A5C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B47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00CFB7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154</w:t>
            </w:r>
            <w:r>
              <w:rPr>
                <w:rFonts w:ascii="Times New Roman" w:hAnsi="Times New Roman" w:eastAsia="方正仿宋_GBK"/>
                <w:color w:val="000000" w:themeColor="text1"/>
                <w:spacing w:val="-2"/>
                <w:kern w:val="0"/>
                <w:szCs w:val="21"/>
              </w:rPr>
              <w:t>.把</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不忘初心、牢记使命</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主题教育作为加强党的建设的永恒课题和全体党员、干部的终身课题，严格遵守党章党规，恪守党的性质和宗旨，锤炼党员干部忠诚干净担当的政治品格。</w:t>
            </w:r>
          </w:p>
        </w:tc>
        <w:tc>
          <w:tcPr>
            <w:tcW w:w="850" w:type="dxa"/>
            <w:vAlign w:val="center"/>
          </w:tcPr>
          <w:p w14:paraId="6C2FDFF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53C7C4A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10D4293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6289065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7605507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5A769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持把深学笃用习近平新时代中国特色社会主义思想作为做好一切工作的根本遵循，深化“不忘初心、牢记使命”主题教育，落实党组理论学习中心组等学习制度，召开县政府党组会4次，认真学习了《习近平谈治国理政》《习近平新时代中国特色社会主义思想学习纲要》、习近平总书记系列专题文集和论述摘编。始终坚持一手抓学习、一手抓工作，积极通过“学习强国”APP、干部网络学院等学习平台，增加个人的自学时间，强化知识的广泛涉猎，推动学习往深里走、往实里走、往心里走。</w:t>
            </w:r>
          </w:p>
        </w:tc>
        <w:tc>
          <w:tcPr>
            <w:tcW w:w="2576" w:type="dxa"/>
          </w:tcPr>
          <w:p w14:paraId="6C0C968C">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ABB531F">
            <w:pPr>
              <w:widowControl/>
              <w:spacing w:line="240" w:lineRule="exact"/>
              <w:jc w:val="left"/>
              <w:rPr>
                <w:rFonts w:ascii="Times New Roman" w:hAnsi="Times New Roman" w:eastAsia="方正仿宋_GBK"/>
                <w:color w:val="000000" w:themeColor="text1"/>
                <w:spacing w:val="-2"/>
                <w:kern w:val="0"/>
                <w:szCs w:val="21"/>
              </w:rPr>
            </w:pPr>
          </w:p>
          <w:p w14:paraId="1C9BE6C6">
            <w:pPr>
              <w:widowControl/>
              <w:spacing w:line="240" w:lineRule="exact"/>
              <w:jc w:val="left"/>
              <w:rPr>
                <w:rFonts w:ascii="Times New Roman" w:hAnsi="Times New Roman" w:eastAsia="方正仿宋_GBK"/>
                <w:color w:val="000000" w:themeColor="text1"/>
                <w:spacing w:val="-2"/>
                <w:kern w:val="0"/>
                <w:szCs w:val="21"/>
              </w:rPr>
            </w:pPr>
          </w:p>
          <w:p w14:paraId="08A317FD">
            <w:pPr>
              <w:widowControl/>
              <w:spacing w:line="240" w:lineRule="exact"/>
              <w:jc w:val="left"/>
              <w:rPr>
                <w:rFonts w:ascii="Times New Roman" w:hAnsi="Times New Roman" w:eastAsia="方正仿宋_GBK"/>
                <w:color w:val="000000" w:themeColor="text1"/>
                <w:spacing w:val="-2"/>
                <w:kern w:val="0"/>
                <w:szCs w:val="21"/>
              </w:rPr>
            </w:pPr>
          </w:p>
          <w:p w14:paraId="718DF1DD">
            <w:pPr>
              <w:widowControl/>
              <w:spacing w:line="240" w:lineRule="exact"/>
              <w:jc w:val="left"/>
              <w:rPr>
                <w:rFonts w:ascii="Times New Roman" w:hAnsi="Times New Roman" w:eastAsia="方正仿宋_GBK"/>
                <w:color w:val="000000" w:themeColor="text1"/>
                <w:spacing w:val="-2"/>
                <w:kern w:val="0"/>
                <w:szCs w:val="21"/>
              </w:rPr>
            </w:pPr>
          </w:p>
          <w:p w14:paraId="5A2B0D5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07FC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608661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155</w:t>
            </w:r>
            <w:r>
              <w:rPr>
                <w:rFonts w:ascii="Times New Roman" w:hAnsi="Times New Roman" w:eastAsia="方正仿宋_GBK"/>
                <w:color w:val="000000" w:themeColor="text1"/>
                <w:spacing w:val="-2"/>
                <w:kern w:val="0"/>
                <w:szCs w:val="21"/>
              </w:rPr>
              <w:t>.坚决落实党的全面领导制度，严格执行政府工作规则和党组工作规则，落实民主集中制，严格执行请示报告制度。坚决肃清孙政才恶劣影响和薄熙来、王立军流毒，</w:t>
            </w:r>
            <w:r>
              <w:rPr>
                <w:rFonts w:hint="eastAsia" w:ascii="Times New Roman" w:hAnsi="Times New Roman" w:eastAsia="方正仿宋_GBK"/>
                <w:color w:val="000000" w:themeColor="text1"/>
                <w:spacing w:val="-2"/>
                <w:kern w:val="0"/>
                <w:szCs w:val="21"/>
              </w:rPr>
              <w:t>持续巩固良好的</w:t>
            </w:r>
            <w:r>
              <w:rPr>
                <w:rFonts w:ascii="Times New Roman" w:hAnsi="Times New Roman" w:eastAsia="方正仿宋_GBK"/>
                <w:color w:val="000000" w:themeColor="text1"/>
                <w:spacing w:val="-2"/>
                <w:kern w:val="0"/>
                <w:szCs w:val="21"/>
              </w:rPr>
              <w:t>政治生态。</w:t>
            </w:r>
          </w:p>
        </w:tc>
        <w:tc>
          <w:tcPr>
            <w:tcW w:w="850" w:type="dxa"/>
            <w:vAlign w:val="center"/>
          </w:tcPr>
          <w:p w14:paraId="6292B4A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6A9DB5A">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4463675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AA741A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365DA0B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859714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县政府班子成员带头</w:t>
            </w:r>
            <w:r>
              <w:rPr>
                <w:rFonts w:ascii="Times New Roman" w:hAnsi="Times New Roman" w:eastAsia="方正仿宋_GBK"/>
                <w:color w:val="000000" w:themeColor="text1"/>
                <w:spacing w:val="-2"/>
                <w:kern w:val="0"/>
                <w:szCs w:val="21"/>
              </w:rPr>
              <w:t>坚决肃清孙政才恶劣影响和薄熙来、王立军流毒，</w:t>
            </w:r>
            <w:r>
              <w:rPr>
                <w:rFonts w:hint="eastAsia" w:ascii="Times New Roman" w:hAnsi="Times New Roman" w:eastAsia="方正仿宋_GBK"/>
                <w:color w:val="000000" w:themeColor="text1"/>
                <w:spacing w:val="-2"/>
                <w:kern w:val="0"/>
                <w:szCs w:val="21"/>
              </w:rPr>
              <w:t>严格贯彻民主集中制，培养民主素养，既充分发挥民主，又善于集中统一，真正把民主集中制的优势变为政治优势、组织优势、制度优势、工作优势。坚持以整风精神开展批评和自我批评。发挥好示范引领作用，带头不忘初心、牢记使命，带头做到忠诚干净担当，从严管好家属子女和身边工作人员，坚决防止和反对特权思想、特权现象，形成“头雁效应”。</w:t>
            </w:r>
          </w:p>
        </w:tc>
        <w:tc>
          <w:tcPr>
            <w:tcW w:w="2576" w:type="dxa"/>
          </w:tcPr>
          <w:p w14:paraId="6121642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1EBD067">
            <w:pPr>
              <w:widowControl/>
              <w:spacing w:line="240" w:lineRule="exact"/>
              <w:jc w:val="left"/>
              <w:rPr>
                <w:rFonts w:ascii="Times New Roman" w:hAnsi="Times New Roman" w:eastAsia="方正仿宋_GBK"/>
                <w:color w:val="000000" w:themeColor="text1"/>
                <w:spacing w:val="-2"/>
                <w:kern w:val="0"/>
                <w:szCs w:val="21"/>
              </w:rPr>
            </w:pPr>
          </w:p>
          <w:p w14:paraId="647500DC">
            <w:pPr>
              <w:widowControl/>
              <w:spacing w:line="240" w:lineRule="exact"/>
              <w:jc w:val="left"/>
              <w:rPr>
                <w:rFonts w:ascii="Times New Roman" w:hAnsi="Times New Roman" w:eastAsia="方正仿宋_GBK"/>
                <w:color w:val="000000" w:themeColor="text1"/>
                <w:spacing w:val="-2"/>
                <w:kern w:val="0"/>
                <w:szCs w:val="21"/>
              </w:rPr>
            </w:pPr>
          </w:p>
          <w:p w14:paraId="49ED09FC">
            <w:pPr>
              <w:widowControl/>
              <w:spacing w:line="240" w:lineRule="exact"/>
              <w:jc w:val="left"/>
              <w:rPr>
                <w:rFonts w:ascii="Times New Roman" w:hAnsi="Times New Roman" w:eastAsia="方正仿宋_GBK"/>
                <w:color w:val="000000" w:themeColor="text1"/>
                <w:spacing w:val="-2"/>
                <w:kern w:val="0"/>
                <w:szCs w:val="21"/>
              </w:rPr>
            </w:pPr>
          </w:p>
          <w:p w14:paraId="7FF9E1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4B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043" w:type="dxa"/>
            <w:gridSpan w:val="7"/>
            <w:vAlign w:val="center"/>
          </w:tcPr>
          <w:p w14:paraId="2C4FD838">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（二）全面推进法治政府建设。</w:t>
            </w:r>
          </w:p>
        </w:tc>
      </w:tr>
      <w:tr w14:paraId="4013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986" w:type="dxa"/>
            <w:vAlign w:val="center"/>
          </w:tcPr>
          <w:p w14:paraId="37B0F24D">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56</w:t>
            </w:r>
            <w:r>
              <w:rPr>
                <w:rFonts w:ascii="Times New Roman" w:hAnsi="Times New Roman" w:eastAsia="方正仿宋_GBK"/>
                <w:color w:val="000000" w:themeColor="text1"/>
                <w:spacing w:val="-2"/>
                <w:kern w:val="0"/>
                <w:szCs w:val="21"/>
              </w:rPr>
              <w:t>.落实保证宪法全面实施的体制机制，加强宪法实施和监督，</w:t>
            </w:r>
            <w:r>
              <w:rPr>
                <w:rFonts w:hint="eastAsia" w:ascii="Times New Roman" w:hAnsi="Times New Roman" w:eastAsia="方正仿宋_GBK"/>
                <w:color w:val="000000" w:themeColor="text1"/>
                <w:spacing w:val="-2"/>
                <w:kern w:val="0"/>
                <w:szCs w:val="21"/>
              </w:rPr>
              <w:t>完善政府规范性文件合法性审查、备案审查和定期清理机制，</w:t>
            </w:r>
            <w:r>
              <w:rPr>
                <w:rFonts w:ascii="Times New Roman" w:hAnsi="Times New Roman" w:eastAsia="方正仿宋_GBK"/>
                <w:color w:val="000000" w:themeColor="text1"/>
                <w:spacing w:val="-2"/>
                <w:kern w:val="0"/>
                <w:szCs w:val="21"/>
              </w:rPr>
              <w:t>坚决维护国家法制统一、尊严</w:t>
            </w:r>
            <w:r>
              <w:rPr>
                <w:rFonts w:hint="eastAsia" w:ascii="Times New Roman" w:hAnsi="Times New Roman" w:eastAsia="方正仿宋_GBK"/>
                <w:color w:val="000000" w:themeColor="text1"/>
                <w:spacing w:val="-2"/>
                <w:kern w:val="0"/>
                <w:szCs w:val="21"/>
              </w:rPr>
              <w:t>和</w:t>
            </w:r>
            <w:r>
              <w:rPr>
                <w:rFonts w:ascii="Times New Roman" w:hAnsi="Times New Roman" w:eastAsia="方正仿宋_GBK"/>
                <w:color w:val="000000" w:themeColor="text1"/>
                <w:spacing w:val="-2"/>
                <w:kern w:val="0"/>
                <w:szCs w:val="21"/>
              </w:rPr>
              <w:t>权威。</w:t>
            </w:r>
          </w:p>
        </w:tc>
        <w:tc>
          <w:tcPr>
            <w:tcW w:w="850" w:type="dxa"/>
            <w:vAlign w:val="center"/>
          </w:tcPr>
          <w:p w14:paraId="14D64F2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1F009AC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县司法局</w:t>
            </w:r>
          </w:p>
        </w:tc>
        <w:tc>
          <w:tcPr>
            <w:tcW w:w="1559" w:type="dxa"/>
            <w:vAlign w:val="center"/>
          </w:tcPr>
          <w:p w14:paraId="22E1666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684F11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0331C85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9FAE09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出台《城口县行政规范性文件管理办法》，对行政规范性文件的起草、合法性审核、备案和清理作了明确规定。二是废止行政规范性文件9件。</w:t>
            </w:r>
          </w:p>
        </w:tc>
        <w:tc>
          <w:tcPr>
            <w:tcW w:w="2576" w:type="dxa"/>
            <w:vAlign w:val="center"/>
          </w:tcPr>
          <w:p w14:paraId="119EDAD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少数单位对规范性文件合法性审核认识不足，无专人负责规范性文件清理工作。</w:t>
            </w:r>
          </w:p>
        </w:tc>
        <w:tc>
          <w:tcPr>
            <w:tcW w:w="3827" w:type="dxa"/>
            <w:vAlign w:val="center"/>
          </w:tcPr>
          <w:p w14:paraId="56D3941D">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全面推行行政规范性文件合法性审核机制，编制规范性文件制定主体清单；进一步强化规范性文件备案审查，健全规范性文件备案监督制度。</w:t>
            </w:r>
          </w:p>
          <w:p w14:paraId="7D6CF35D">
            <w:pPr>
              <w:widowControl/>
              <w:spacing w:line="240" w:lineRule="exact"/>
              <w:jc w:val="left"/>
              <w:rPr>
                <w:rFonts w:ascii="Times New Roman" w:hAnsi="Times New Roman" w:eastAsia="方正仿宋_GBK"/>
                <w:color w:val="000000" w:themeColor="text1"/>
                <w:spacing w:val="-2"/>
                <w:kern w:val="0"/>
                <w:szCs w:val="21"/>
              </w:rPr>
            </w:pPr>
          </w:p>
        </w:tc>
      </w:tr>
      <w:tr w14:paraId="6C02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986" w:type="dxa"/>
            <w:vAlign w:val="center"/>
          </w:tcPr>
          <w:p w14:paraId="1F6016F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157</w:t>
            </w:r>
            <w:r>
              <w:rPr>
                <w:rFonts w:ascii="Times New Roman" w:hAnsi="Times New Roman" w:eastAsia="方正仿宋_GBK"/>
                <w:color w:val="000000" w:themeColor="text1"/>
                <w:spacing w:val="-2"/>
                <w:kern w:val="0"/>
                <w:szCs w:val="21"/>
              </w:rPr>
              <w:t>.依法接受人大及其常委会法律监督和工作监督，主动接受政协民主监督，自觉接受司法监督、</w:t>
            </w:r>
            <w:r>
              <w:rPr>
                <w:rFonts w:hint="eastAsia" w:ascii="Times New Roman" w:hAnsi="Times New Roman" w:eastAsia="方正仿宋_GBK"/>
                <w:color w:val="000000" w:themeColor="text1"/>
                <w:spacing w:val="-2"/>
                <w:kern w:val="0"/>
                <w:szCs w:val="21"/>
              </w:rPr>
              <w:t>新闻舆论监督和社会各界监督。</w:t>
            </w:r>
          </w:p>
        </w:tc>
        <w:tc>
          <w:tcPr>
            <w:tcW w:w="850" w:type="dxa"/>
            <w:vAlign w:val="center"/>
          </w:tcPr>
          <w:p w14:paraId="1B2BA14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60507D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D27C053">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02192F9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9517D9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E15BA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坚持把全面从严治党要求贯穿政府工作全过程、全领域，严格执行“三重一大”集体决策制度，坚持重大事项向县委报告，</w:t>
            </w:r>
            <w:r>
              <w:rPr>
                <w:rFonts w:ascii="Times New Roman" w:hAnsi="Times New Roman" w:eastAsia="方正仿宋_GBK"/>
                <w:color w:val="000000" w:themeColor="text1"/>
                <w:spacing w:val="-2"/>
                <w:kern w:val="0"/>
                <w:szCs w:val="21"/>
              </w:rPr>
              <w:t>自觉接受县人大及其常委会的法律监督、工作监督，县政协的民主监督和社会各界监督，</w:t>
            </w:r>
          </w:p>
        </w:tc>
        <w:tc>
          <w:tcPr>
            <w:tcW w:w="2576" w:type="dxa"/>
          </w:tcPr>
          <w:p w14:paraId="38534AEA">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282B1818">
            <w:pPr>
              <w:widowControl/>
              <w:spacing w:line="240" w:lineRule="exact"/>
              <w:jc w:val="left"/>
              <w:rPr>
                <w:rFonts w:ascii="Times New Roman" w:hAnsi="Times New Roman" w:eastAsia="方正仿宋_GBK"/>
                <w:color w:val="000000" w:themeColor="text1"/>
                <w:spacing w:val="-2"/>
                <w:kern w:val="0"/>
                <w:szCs w:val="21"/>
              </w:rPr>
            </w:pPr>
          </w:p>
          <w:p w14:paraId="5934B1F9">
            <w:pPr>
              <w:widowControl/>
              <w:spacing w:line="240" w:lineRule="exact"/>
              <w:jc w:val="left"/>
              <w:rPr>
                <w:rFonts w:ascii="Times New Roman" w:hAnsi="Times New Roman" w:eastAsia="方正仿宋_GBK"/>
                <w:color w:val="000000" w:themeColor="text1"/>
                <w:spacing w:val="-2"/>
                <w:kern w:val="0"/>
                <w:szCs w:val="21"/>
              </w:rPr>
            </w:pPr>
          </w:p>
          <w:p w14:paraId="66685909">
            <w:pPr>
              <w:widowControl/>
              <w:spacing w:line="240" w:lineRule="exact"/>
              <w:jc w:val="left"/>
              <w:rPr>
                <w:rFonts w:ascii="Times New Roman" w:hAnsi="Times New Roman" w:eastAsia="方正仿宋_GBK"/>
                <w:color w:val="000000" w:themeColor="text1"/>
                <w:spacing w:val="-2"/>
                <w:kern w:val="0"/>
                <w:szCs w:val="21"/>
              </w:rPr>
            </w:pPr>
          </w:p>
          <w:p w14:paraId="1D8FCF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5327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86" w:type="dxa"/>
            <w:vAlign w:val="center"/>
          </w:tcPr>
          <w:p w14:paraId="26965A2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158</w:t>
            </w:r>
            <w:r>
              <w:rPr>
                <w:rFonts w:ascii="Times New Roman" w:hAnsi="Times New Roman" w:eastAsia="方正仿宋_GBK"/>
                <w:color w:val="000000" w:themeColor="text1"/>
                <w:spacing w:val="-2"/>
                <w:kern w:val="0"/>
                <w:szCs w:val="21"/>
              </w:rPr>
              <w:t>.健全人大代表议案建议和政协提案办理工作机制，提高办理质量和水平。</w:t>
            </w:r>
          </w:p>
        </w:tc>
        <w:tc>
          <w:tcPr>
            <w:tcW w:w="850" w:type="dxa"/>
            <w:vAlign w:val="center"/>
          </w:tcPr>
          <w:p w14:paraId="6CA9181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EEB93F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18C2A68">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2E6A13C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85EEBC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45D5585D">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2020</w:t>
            </w:r>
            <w:r>
              <w:rPr>
                <w:rFonts w:hint="eastAsia" w:ascii="Times New Roman" w:hAnsi="Times New Roman" w:eastAsia="方正仿宋_GBK"/>
                <w:color w:val="000000" w:themeColor="text1"/>
                <w:spacing w:val="-2"/>
                <w:kern w:val="0"/>
                <w:szCs w:val="21"/>
              </w:rPr>
              <w:t>年县政府共需办理人大代表建议、政协提案</w:t>
            </w:r>
            <w:r>
              <w:rPr>
                <w:rFonts w:ascii="Times New Roman" w:hAnsi="Times New Roman" w:eastAsia="方正仿宋_GBK"/>
                <w:color w:val="000000" w:themeColor="text1"/>
                <w:spacing w:val="-2"/>
                <w:kern w:val="0"/>
                <w:szCs w:val="21"/>
              </w:rPr>
              <w:t>387</w:t>
            </w:r>
            <w:r>
              <w:rPr>
                <w:rFonts w:hint="eastAsia" w:ascii="Times New Roman" w:hAnsi="Times New Roman" w:eastAsia="方正仿宋_GBK"/>
                <w:color w:val="000000" w:themeColor="text1"/>
                <w:spacing w:val="-2"/>
                <w:kern w:val="0"/>
                <w:szCs w:val="21"/>
              </w:rPr>
              <w:t>件。目前，已分解下发办理任务分工，组织召开交办工作专题会，明确了办理时限和质量要求。</w:t>
            </w:r>
          </w:p>
        </w:tc>
        <w:tc>
          <w:tcPr>
            <w:tcW w:w="2576" w:type="dxa"/>
          </w:tcPr>
          <w:p w14:paraId="1A62AA3E">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551475C">
            <w:pPr>
              <w:widowControl/>
              <w:spacing w:line="240" w:lineRule="exact"/>
              <w:jc w:val="left"/>
              <w:rPr>
                <w:rFonts w:ascii="Times New Roman" w:hAnsi="Times New Roman" w:eastAsia="方正仿宋_GBK"/>
                <w:color w:val="000000" w:themeColor="text1"/>
                <w:spacing w:val="-2"/>
                <w:kern w:val="0"/>
                <w:szCs w:val="21"/>
              </w:rPr>
            </w:pPr>
          </w:p>
          <w:p w14:paraId="5F784E3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656B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986" w:type="dxa"/>
            <w:vAlign w:val="center"/>
          </w:tcPr>
          <w:p w14:paraId="0E20A9D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159</w:t>
            </w:r>
            <w:r>
              <w:rPr>
                <w:rFonts w:ascii="Times New Roman" w:hAnsi="Times New Roman" w:eastAsia="方正仿宋_GBK"/>
                <w:color w:val="000000" w:themeColor="text1"/>
                <w:spacing w:val="-2"/>
                <w:kern w:val="0"/>
                <w:szCs w:val="21"/>
              </w:rPr>
              <w:t>.健全行政执法与刑事司法衔接机制，改进行政复议和行政应诉工作</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完善公共法律服务体系和律师制度。持续开展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七五普法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，落实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谁执法谁普法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责任，加强干部群众普法培训和教育，增强全民尊法学法守法用法观念。</w:t>
            </w:r>
          </w:p>
        </w:tc>
        <w:tc>
          <w:tcPr>
            <w:tcW w:w="850" w:type="dxa"/>
            <w:vAlign w:val="center"/>
          </w:tcPr>
          <w:p w14:paraId="023A424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312297C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司法局</w:t>
            </w:r>
          </w:p>
        </w:tc>
        <w:tc>
          <w:tcPr>
            <w:tcW w:w="1559" w:type="dxa"/>
            <w:vAlign w:val="center"/>
          </w:tcPr>
          <w:p w14:paraId="2EF708D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5037FB0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198497E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C0446E8">
            <w:pPr>
              <w:widowControl/>
              <w:spacing w:line="240" w:lineRule="exact"/>
              <w:jc w:val="left"/>
              <w:rPr>
                <w:rFonts w:ascii="Times New Roman" w:hAnsi="Times New Roman" w:eastAsia="方正仿宋_GBK"/>
                <w:color w:val="000000" w:themeColor="text1"/>
                <w:spacing w:val="-2"/>
                <w:kern w:val="0"/>
                <w:szCs w:val="21"/>
              </w:rPr>
            </w:pPr>
          </w:p>
          <w:p w14:paraId="4841431A">
            <w:pPr>
              <w:widowControl/>
              <w:spacing w:line="240" w:lineRule="exact"/>
              <w:jc w:val="left"/>
              <w:rPr>
                <w:rFonts w:ascii="Times New Roman" w:hAnsi="Times New Roman" w:eastAsia="方正仿宋_GBK"/>
                <w:color w:val="000000" w:themeColor="text1"/>
                <w:spacing w:val="-2"/>
                <w:kern w:val="0"/>
                <w:szCs w:val="21"/>
              </w:rPr>
            </w:pPr>
          </w:p>
          <w:p w14:paraId="6CB53308">
            <w:pPr>
              <w:widowControl/>
              <w:spacing w:line="240" w:lineRule="exact"/>
              <w:jc w:val="left"/>
              <w:rPr>
                <w:rFonts w:ascii="Times New Roman" w:hAnsi="Times New Roman" w:eastAsia="方正仿宋_GBK"/>
                <w:color w:val="000000" w:themeColor="text1"/>
                <w:spacing w:val="-2"/>
                <w:kern w:val="0"/>
                <w:szCs w:val="21"/>
              </w:rPr>
            </w:pPr>
          </w:p>
          <w:p w14:paraId="425BE3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制发了《2020年“谁执法谁普法”主题宣传活动重点任务分解表》。明确了2020年重要时间节点的法治宣传重点任务。督促全县各级各部门报送《2020年度普法计划申报表》。</w:t>
            </w:r>
          </w:p>
          <w:p w14:paraId="0F11AB41">
            <w:pPr>
              <w:widowControl/>
              <w:spacing w:line="240" w:lineRule="exact"/>
              <w:jc w:val="left"/>
              <w:rPr>
                <w:rFonts w:ascii="Times New Roman" w:hAnsi="Times New Roman" w:eastAsia="方正仿宋_GBK"/>
                <w:color w:val="000000" w:themeColor="text1"/>
                <w:spacing w:val="-2"/>
                <w:kern w:val="0"/>
                <w:szCs w:val="21"/>
              </w:rPr>
            </w:pPr>
          </w:p>
          <w:p w14:paraId="78C6CC86">
            <w:pPr>
              <w:widowControl/>
              <w:spacing w:line="240" w:lineRule="exact"/>
              <w:jc w:val="left"/>
              <w:rPr>
                <w:rFonts w:ascii="Times New Roman" w:hAnsi="Times New Roman" w:eastAsia="方正仿宋_GBK"/>
                <w:color w:val="000000" w:themeColor="text1"/>
                <w:spacing w:val="-2"/>
                <w:kern w:val="0"/>
                <w:szCs w:val="21"/>
              </w:rPr>
            </w:pPr>
          </w:p>
          <w:p w14:paraId="3A07C04B">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ED6D12C">
            <w:pPr>
              <w:widowControl/>
              <w:spacing w:line="240" w:lineRule="exact"/>
              <w:jc w:val="left"/>
              <w:rPr>
                <w:rFonts w:ascii="Times New Roman" w:hAnsi="Times New Roman" w:eastAsia="方正仿宋_GBK"/>
                <w:color w:val="000000" w:themeColor="text1"/>
                <w:spacing w:val="-2"/>
                <w:kern w:val="0"/>
                <w:szCs w:val="21"/>
              </w:rPr>
            </w:pPr>
          </w:p>
          <w:p w14:paraId="1A5E67B7">
            <w:pPr>
              <w:widowControl/>
              <w:spacing w:line="240" w:lineRule="exact"/>
              <w:jc w:val="left"/>
              <w:rPr>
                <w:rFonts w:ascii="Times New Roman" w:hAnsi="Times New Roman" w:eastAsia="方正仿宋_GBK"/>
                <w:color w:val="000000" w:themeColor="text1"/>
                <w:spacing w:val="-2"/>
                <w:kern w:val="0"/>
                <w:szCs w:val="21"/>
              </w:rPr>
            </w:pPr>
          </w:p>
          <w:p w14:paraId="37DAA09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少数单位对“谁执法谁普法”责任制认识不足。普法宣传方式创新不足</w:t>
            </w:r>
          </w:p>
          <w:p w14:paraId="6DD0B4DA">
            <w:pPr>
              <w:widowControl/>
              <w:spacing w:line="240" w:lineRule="exact"/>
              <w:jc w:val="left"/>
              <w:rPr>
                <w:rFonts w:ascii="Times New Roman" w:hAnsi="Times New Roman" w:eastAsia="方正仿宋_GBK"/>
                <w:color w:val="000000" w:themeColor="text1"/>
                <w:spacing w:val="-2"/>
                <w:kern w:val="0"/>
                <w:szCs w:val="21"/>
              </w:rPr>
            </w:pPr>
          </w:p>
          <w:p w14:paraId="7D07E49C">
            <w:pPr>
              <w:widowControl/>
              <w:spacing w:line="240" w:lineRule="exact"/>
              <w:jc w:val="left"/>
              <w:rPr>
                <w:rFonts w:ascii="Times New Roman" w:hAnsi="Times New Roman" w:eastAsia="方正仿宋_GBK"/>
                <w:color w:val="000000" w:themeColor="text1"/>
                <w:spacing w:val="-2"/>
                <w:kern w:val="0"/>
                <w:szCs w:val="21"/>
              </w:rPr>
            </w:pPr>
          </w:p>
          <w:p w14:paraId="4327907F">
            <w:pPr>
              <w:widowControl/>
              <w:spacing w:line="240" w:lineRule="exact"/>
              <w:jc w:val="left"/>
              <w:rPr>
                <w:rFonts w:ascii="Times New Roman" w:hAnsi="Times New Roman" w:eastAsia="方正仿宋_GBK"/>
                <w:color w:val="000000" w:themeColor="text1"/>
                <w:spacing w:val="-2"/>
                <w:kern w:val="0"/>
                <w:szCs w:val="21"/>
              </w:rPr>
            </w:pPr>
          </w:p>
          <w:p w14:paraId="59FCC66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w:t>
            </w:r>
          </w:p>
        </w:tc>
        <w:tc>
          <w:tcPr>
            <w:tcW w:w="3827" w:type="dxa"/>
            <w:vAlign w:val="center"/>
          </w:tcPr>
          <w:p w14:paraId="6BB4FADE">
            <w:pPr>
              <w:widowControl/>
              <w:spacing w:line="240" w:lineRule="exact"/>
              <w:jc w:val="left"/>
              <w:rPr>
                <w:rFonts w:ascii="Times New Roman" w:hAnsi="Times New Roman" w:eastAsia="方正仿宋_GBK"/>
                <w:color w:val="000000" w:themeColor="text1"/>
                <w:spacing w:val="-2"/>
                <w:kern w:val="0"/>
                <w:szCs w:val="21"/>
              </w:rPr>
            </w:pPr>
          </w:p>
          <w:p w14:paraId="63A5EDF8">
            <w:pPr>
              <w:widowControl/>
              <w:spacing w:line="240" w:lineRule="exact"/>
              <w:jc w:val="left"/>
              <w:rPr>
                <w:rFonts w:ascii="Times New Roman" w:hAnsi="Times New Roman" w:eastAsia="方正仿宋_GBK"/>
                <w:color w:val="000000" w:themeColor="text1"/>
                <w:spacing w:val="-2"/>
                <w:kern w:val="0"/>
                <w:szCs w:val="21"/>
              </w:rPr>
            </w:pPr>
          </w:p>
          <w:p w14:paraId="2387633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做好“七五”普法总结验收和“八五”普法谋划工作。持续强化“谁执法谁普法”工作责任制。严格落实领导干部尊法学法守法用法各项制度。</w:t>
            </w:r>
          </w:p>
          <w:p w14:paraId="1B3D5BF7">
            <w:pPr>
              <w:widowControl/>
              <w:spacing w:line="240" w:lineRule="exact"/>
              <w:jc w:val="left"/>
              <w:rPr>
                <w:rFonts w:ascii="Times New Roman" w:hAnsi="Times New Roman" w:eastAsia="方正仿宋_GBK"/>
                <w:color w:val="000000" w:themeColor="text1"/>
                <w:spacing w:val="-2"/>
                <w:kern w:val="0"/>
                <w:szCs w:val="21"/>
              </w:rPr>
            </w:pPr>
          </w:p>
          <w:p w14:paraId="27F90D20">
            <w:pPr>
              <w:widowControl/>
              <w:spacing w:line="240" w:lineRule="exact"/>
              <w:jc w:val="left"/>
              <w:rPr>
                <w:rFonts w:ascii="Times New Roman" w:hAnsi="Times New Roman" w:eastAsia="方正仿宋_GBK"/>
                <w:color w:val="000000" w:themeColor="text1"/>
                <w:spacing w:val="-2"/>
                <w:kern w:val="0"/>
                <w:szCs w:val="21"/>
              </w:rPr>
            </w:pPr>
          </w:p>
          <w:p w14:paraId="6E97861B">
            <w:pPr>
              <w:widowControl/>
              <w:spacing w:line="240" w:lineRule="exact"/>
              <w:jc w:val="left"/>
              <w:rPr>
                <w:rFonts w:ascii="Times New Roman" w:hAnsi="Times New Roman" w:eastAsia="方正仿宋_GBK"/>
                <w:color w:val="000000" w:themeColor="text1"/>
                <w:spacing w:val="-2"/>
                <w:kern w:val="0"/>
                <w:szCs w:val="21"/>
              </w:rPr>
            </w:pPr>
          </w:p>
        </w:tc>
      </w:tr>
      <w:tr w14:paraId="0D3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043" w:type="dxa"/>
            <w:gridSpan w:val="7"/>
            <w:vAlign w:val="center"/>
          </w:tcPr>
          <w:p w14:paraId="3300225C">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（三）着力加强权力运行监督。</w:t>
            </w:r>
          </w:p>
        </w:tc>
      </w:tr>
      <w:tr w14:paraId="3992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86" w:type="dxa"/>
            <w:vAlign w:val="center"/>
          </w:tcPr>
          <w:p w14:paraId="49981E0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160</w:t>
            </w:r>
            <w:r>
              <w:rPr>
                <w:rFonts w:ascii="Times New Roman" w:hAnsi="Times New Roman" w:eastAsia="方正仿宋_GBK"/>
                <w:color w:val="000000" w:themeColor="text1"/>
                <w:spacing w:val="-2"/>
                <w:kern w:val="0"/>
                <w:szCs w:val="21"/>
              </w:rPr>
              <w:t>.落实党内监督体系，完善政府内部监督制度，落实巡视巡察整改、督察落实情况报告制度。</w:t>
            </w:r>
          </w:p>
        </w:tc>
        <w:tc>
          <w:tcPr>
            <w:tcW w:w="850" w:type="dxa"/>
            <w:vAlign w:val="center"/>
          </w:tcPr>
          <w:p w14:paraId="6628906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0837643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511D1AD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4874D1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1EC30D9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B39BE1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一是突出党内监督政治属性，增强政治敏锐性和政治鉴别力，推进政治监督具体化和常态化。二是全面贯彻中央巡视工作方针，深化政治巡视。三是完成督查落实情况报告制度，提高发现和处置问题能力。</w:t>
            </w:r>
          </w:p>
        </w:tc>
        <w:tc>
          <w:tcPr>
            <w:tcW w:w="2576" w:type="dxa"/>
          </w:tcPr>
          <w:p w14:paraId="6845442A">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2B2D646">
            <w:pPr>
              <w:widowControl/>
              <w:spacing w:line="240" w:lineRule="exact"/>
              <w:jc w:val="left"/>
              <w:rPr>
                <w:rFonts w:ascii="Times New Roman" w:hAnsi="Times New Roman" w:eastAsia="方正仿宋_GBK"/>
                <w:color w:val="000000" w:themeColor="text1"/>
                <w:spacing w:val="-2"/>
                <w:kern w:val="0"/>
                <w:szCs w:val="21"/>
              </w:rPr>
            </w:pPr>
          </w:p>
          <w:p w14:paraId="03B49368">
            <w:pPr>
              <w:widowControl/>
              <w:spacing w:line="240" w:lineRule="exact"/>
              <w:jc w:val="left"/>
              <w:rPr>
                <w:rFonts w:ascii="Times New Roman" w:hAnsi="Times New Roman" w:eastAsia="方正仿宋_GBK"/>
                <w:color w:val="000000" w:themeColor="text1"/>
                <w:spacing w:val="-2"/>
                <w:kern w:val="0"/>
                <w:szCs w:val="21"/>
              </w:rPr>
            </w:pPr>
          </w:p>
          <w:p w14:paraId="19AC0D3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33BF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986" w:type="dxa"/>
            <w:vAlign w:val="center"/>
          </w:tcPr>
          <w:p w14:paraId="705CB140">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161</w:t>
            </w:r>
            <w:r>
              <w:rPr>
                <w:rFonts w:ascii="Times New Roman" w:hAnsi="Times New Roman" w:eastAsia="方正仿宋_GBK"/>
                <w:spacing w:val="-2"/>
                <w:kern w:val="0"/>
                <w:szCs w:val="21"/>
              </w:rPr>
              <w:t>.完善权力配置和运行制约机制，深化政务公开制度，建立权力运行可查、可追溯的反馈机制，完善发现问题、纠正偏差机制，压减权力设租寻租空间。</w:t>
            </w:r>
          </w:p>
        </w:tc>
        <w:tc>
          <w:tcPr>
            <w:tcW w:w="850" w:type="dxa"/>
            <w:vAlign w:val="center"/>
          </w:tcPr>
          <w:p w14:paraId="0384571D">
            <w:pPr>
              <w:widowControl/>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县政府班子成员</w:t>
            </w:r>
          </w:p>
        </w:tc>
        <w:tc>
          <w:tcPr>
            <w:tcW w:w="1134" w:type="dxa"/>
            <w:vAlign w:val="center"/>
          </w:tcPr>
          <w:p w14:paraId="4A32CDE0">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县政府办公室</w:t>
            </w:r>
          </w:p>
        </w:tc>
        <w:tc>
          <w:tcPr>
            <w:tcW w:w="1559" w:type="dxa"/>
            <w:vAlign w:val="center"/>
          </w:tcPr>
          <w:p w14:paraId="2483F46F">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县政府各部门、</w:t>
            </w:r>
          </w:p>
          <w:p w14:paraId="5C9CF5A2">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各单位</w:t>
            </w:r>
          </w:p>
          <w:p w14:paraId="2D6E710F">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各乡镇（街道）</w:t>
            </w:r>
          </w:p>
        </w:tc>
        <w:tc>
          <w:tcPr>
            <w:tcW w:w="4111" w:type="dxa"/>
            <w:vAlign w:val="center"/>
          </w:tcPr>
          <w:p w14:paraId="14F66F9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一是完善权力配置和运行制约机制。二是</w:t>
            </w:r>
            <w:r>
              <w:rPr>
                <w:rFonts w:ascii="Times New Roman" w:hAnsi="Times New Roman" w:eastAsia="方正仿宋_GBK"/>
                <w:color w:val="000000" w:themeColor="text1"/>
                <w:spacing w:val="-2"/>
                <w:kern w:val="0"/>
                <w:szCs w:val="21"/>
              </w:rPr>
              <w:t>提升政务公开质量为主线，着力抓好政策解读，及时回应社会关切，深化重点领域信息公开，完善政务公开制度规范</w:t>
            </w:r>
            <w:r>
              <w:rPr>
                <w:rFonts w:hint="eastAsia" w:ascii="Times New Roman" w:hAnsi="Times New Roman" w:eastAsia="方正仿宋_GBK"/>
                <w:color w:val="000000" w:themeColor="text1"/>
                <w:spacing w:val="-2"/>
                <w:kern w:val="0"/>
                <w:szCs w:val="21"/>
              </w:rPr>
              <w:t>。印发了《城口县政务公开工作要点》</w:t>
            </w:r>
          </w:p>
        </w:tc>
        <w:tc>
          <w:tcPr>
            <w:tcW w:w="2576" w:type="dxa"/>
          </w:tcPr>
          <w:p w14:paraId="0713B89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10AFFF9">
            <w:pPr>
              <w:widowControl/>
              <w:spacing w:line="240" w:lineRule="exact"/>
              <w:jc w:val="left"/>
              <w:rPr>
                <w:rFonts w:ascii="Times New Roman" w:hAnsi="Times New Roman" w:eastAsia="方正仿宋_GBK"/>
                <w:color w:val="000000" w:themeColor="text1"/>
                <w:spacing w:val="-2"/>
                <w:kern w:val="0"/>
                <w:szCs w:val="21"/>
              </w:rPr>
            </w:pPr>
          </w:p>
          <w:p w14:paraId="400D2155">
            <w:pPr>
              <w:widowControl/>
              <w:spacing w:line="240" w:lineRule="exact"/>
              <w:jc w:val="left"/>
              <w:rPr>
                <w:rFonts w:ascii="Times New Roman" w:hAnsi="Times New Roman" w:eastAsia="方正仿宋_GBK"/>
                <w:color w:val="000000" w:themeColor="text1"/>
                <w:spacing w:val="-2"/>
                <w:kern w:val="0"/>
                <w:szCs w:val="21"/>
              </w:rPr>
            </w:pPr>
          </w:p>
          <w:p w14:paraId="5BE8900B">
            <w:pPr>
              <w:widowControl/>
              <w:spacing w:line="240" w:lineRule="exact"/>
              <w:jc w:val="left"/>
              <w:rPr>
                <w:rFonts w:ascii="Times New Roman" w:hAnsi="Times New Roman" w:eastAsia="方正仿宋_GBK"/>
                <w:color w:val="000000" w:themeColor="text1"/>
                <w:spacing w:val="-2"/>
                <w:kern w:val="0"/>
                <w:szCs w:val="21"/>
              </w:rPr>
            </w:pPr>
          </w:p>
          <w:p w14:paraId="7C8121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BD4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986" w:type="dxa"/>
            <w:vAlign w:val="center"/>
          </w:tcPr>
          <w:p w14:paraId="0D79AA0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162</w:t>
            </w:r>
            <w:r>
              <w:rPr>
                <w:rFonts w:ascii="Times New Roman" w:hAnsi="Times New Roman" w:eastAsia="方正仿宋_GBK"/>
                <w:color w:val="000000" w:themeColor="text1"/>
                <w:spacing w:val="-2"/>
                <w:kern w:val="0"/>
                <w:szCs w:val="21"/>
              </w:rPr>
              <w:t>.强化</w:t>
            </w:r>
            <w:r>
              <w:rPr>
                <w:rFonts w:hint="eastAsia" w:ascii="Times New Roman" w:hAnsi="Times New Roman" w:eastAsia="方正仿宋_GBK"/>
                <w:color w:val="000000" w:themeColor="text1"/>
                <w:spacing w:val="-2"/>
                <w:kern w:val="0"/>
                <w:szCs w:val="21"/>
              </w:rPr>
              <w:t>行政</w:t>
            </w:r>
            <w:r>
              <w:rPr>
                <w:rFonts w:ascii="Times New Roman" w:hAnsi="Times New Roman" w:eastAsia="方正仿宋_GBK"/>
                <w:color w:val="000000" w:themeColor="text1"/>
                <w:spacing w:val="-2"/>
                <w:kern w:val="0"/>
                <w:szCs w:val="21"/>
              </w:rPr>
              <w:t>审批、工程招投标、公共资源配置、财政补贴等行政行为的监督约束，充分发挥审计监督作用，加快实现公共资金、国有资产资源和领导干部履行经济责任审计全覆盖。</w:t>
            </w:r>
          </w:p>
        </w:tc>
        <w:tc>
          <w:tcPr>
            <w:tcW w:w="850" w:type="dxa"/>
            <w:vAlign w:val="center"/>
          </w:tcPr>
          <w:p w14:paraId="15CC85B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7C832A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p w14:paraId="0D90173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县审计局</w:t>
            </w:r>
          </w:p>
        </w:tc>
        <w:tc>
          <w:tcPr>
            <w:tcW w:w="1559" w:type="dxa"/>
            <w:vAlign w:val="center"/>
          </w:tcPr>
          <w:p w14:paraId="09F020D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30BD0F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D902DF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8328F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应进必进。凡是财政出资的工程项目、政府采购，包括国有企业的项目，必须全面纳入招投标统一的平台交易管理。二是加强工程项目招投标监管。规范评标行为，进一步规范专家管理及抽取，强化评标过程监管。按照“强化法人主体责任为重点，以合同管理为核心”原则，切实解决招标投标合同管理不严谨等问题，三是不断强化投资项目在线审批，要求所有项目实行线上接件、线上审批，不断压缩审批时间，所有事项审批时限全部压缩到法定时间的50%，进一步压缩审批时间，提高审批效率。</w:t>
            </w:r>
          </w:p>
        </w:tc>
        <w:tc>
          <w:tcPr>
            <w:tcW w:w="2576" w:type="dxa"/>
          </w:tcPr>
          <w:p w14:paraId="68B6CAC6">
            <w:pPr>
              <w:widowControl/>
              <w:spacing w:line="240" w:lineRule="exact"/>
              <w:jc w:val="left"/>
              <w:rPr>
                <w:rFonts w:ascii="Times New Roman" w:hAnsi="Times New Roman" w:eastAsia="方正仿宋_GBK"/>
                <w:color w:val="000000" w:themeColor="text1"/>
                <w:spacing w:val="-2"/>
                <w:kern w:val="0"/>
                <w:szCs w:val="21"/>
              </w:rPr>
            </w:pPr>
          </w:p>
          <w:p w14:paraId="2332C6BC">
            <w:pPr>
              <w:widowControl/>
              <w:spacing w:line="240" w:lineRule="exact"/>
              <w:jc w:val="left"/>
              <w:rPr>
                <w:rFonts w:ascii="Times New Roman" w:hAnsi="Times New Roman" w:eastAsia="方正仿宋_GBK"/>
                <w:color w:val="000000" w:themeColor="text1"/>
                <w:spacing w:val="-2"/>
                <w:kern w:val="0"/>
                <w:szCs w:val="21"/>
              </w:rPr>
            </w:pPr>
          </w:p>
          <w:p w14:paraId="3B83142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一是目前市级公共资源交易目录目前还未印发，我县未出台最新目录。二是部分单位、企业在具体操作中，对网上审批程序不规范，网上操作不熟练，指导时间要多于审批时间。</w:t>
            </w:r>
          </w:p>
        </w:tc>
        <w:tc>
          <w:tcPr>
            <w:tcW w:w="3827" w:type="dxa"/>
          </w:tcPr>
          <w:p w14:paraId="0EA89657">
            <w:pPr>
              <w:widowControl/>
              <w:spacing w:line="240" w:lineRule="exact"/>
              <w:jc w:val="left"/>
              <w:rPr>
                <w:rFonts w:ascii="Times New Roman" w:hAnsi="Times New Roman" w:eastAsia="方正仿宋_GBK"/>
                <w:color w:val="000000" w:themeColor="text1"/>
                <w:spacing w:val="-2"/>
                <w:kern w:val="0"/>
                <w:szCs w:val="21"/>
              </w:rPr>
            </w:pPr>
          </w:p>
          <w:p w14:paraId="714A63EB">
            <w:pPr>
              <w:widowControl/>
              <w:spacing w:line="240" w:lineRule="exact"/>
              <w:jc w:val="left"/>
              <w:rPr>
                <w:rFonts w:ascii="Times New Roman" w:hAnsi="Times New Roman" w:eastAsia="方正仿宋_GBK"/>
                <w:color w:val="000000" w:themeColor="text1"/>
                <w:spacing w:val="-2"/>
                <w:kern w:val="0"/>
                <w:szCs w:val="21"/>
              </w:rPr>
            </w:pPr>
          </w:p>
          <w:p w14:paraId="377055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对照市级目录，制定我县公共资源交易目录。二是对标对表执行《重庆市人民办公厅关于深化公共资源交易监督管理改革的意见（试行）》（渝府办发〔2019〕114号）》文件。三是进一步提高行政审批效率，严格按照放管服要求，加大对审批对象的服务力度，同时落实专人加大宣传引导力度。</w:t>
            </w:r>
          </w:p>
        </w:tc>
      </w:tr>
      <w:tr w14:paraId="16C9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986" w:type="dxa"/>
            <w:vAlign w:val="center"/>
          </w:tcPr>
          <w:p w14:paraId="4CCA2462">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163</w:t>
            </w:r>
            <w:r>
              <w:rPr>
                <w:rFonts w:ascii="Times New Roman" w:hAnsi="Times New Roman" w:eastAsia="方正仿宋_GBK"/>
                <w:spacing w:val="-2"/>
                <w:kern w:val="0"/>
                <w:szCs w:val="21"/>
              </w:rPr>
              <w:t>.落实新闻发布和突发事件信息发布制度，及时回应社会关切。</w:t>
            </w:r>
          </w:p>
        </w:tc>
        <w:tc>
          <w:tcPr>
            <w:tcW w:w="850" w:type="dxa"/>
            <w:vAlign w:val="center"/>
          </w:tcPr>
          <w:p w14:paraId="2AC9B88C">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王文宇</w:t>
            </w:r>
          </w:p>
        </w:tc>
        <w:tc>
          <w:tcPr>
            <w:tcW w:w="1134" w:type="dxa"/>
            <w:vAlign w:val="center"/>
          </w:tcPr>
          <w:p w14:paraId="6C5FD510">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县政府办公室</w:t>
            </w:r>
          </w:p>
        </w:tc>
        <w:tc>
          <w:tcPr>
            <w:tcW w:w="1559" w:type="dxa"/>
            <w:vAlign w:val="center"/>
          </w:tcPr>
          <w:p w14:paraId="6D4615B0">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县政府各部门、</w:t>
            </w:r>
          </w:p>
          <w:p w14:paraId="17349F68">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各单位</w:t>
            </w:r>
          </w:p>
          <w:p w14:paraId="3C7B46D6">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各乡镇（街道）</w:t>
            </w:r>
          </w:p>
        </w:tc>
        <w:tc>
          <w:tcPr>
            <w:tcW w:w="4111" w:type="dxa"/>
            <w:vAlign w:val="center"/>
          </w:tcPr>
          <w:p w14:paraId="7D1CA2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程序及时发布权威信息，讲清事实真相，政策措施以及处置结果等。依法依规明确回应主体、落实责任，确保在应对重大突发事件及社会热点时不失声、不缺位。一季度，累计发布疫情防控快讯45期，及时回应社会关切。</w:t>
            </w:r>
          </w:p>
        </w:tc>
        <w:tc>
          <w:tcPr>
            <w:tcW w:w="2576" w:type="dxa"/>
          </w:tcPr>
          <w:p w14:paraId="730B546C">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BEFC0C9">
            <w:pPr>
              <w:widowControl/>
              <w:spacing w:line="240" w:lineRule="exact"/>
              <w:jc w:val="left"/>
              <w:rPr>
                <w:rFonts w:ascii="Times New Roman" w:hAnsi="Times New Roman" w:eastAsia="方正仿宋_GBK"/>
                <w:color w:val="000000" w:themeColor="text1"/>
                <w:spacing w:val="-2"/>
                <w:kern w:val="0"/>
                <w:szCs w:val="21"/>
              </w:rPr>
            </w:pPr>
          </w:p>
          <w:p w14:paraId="644A8E9A">
            <w:pPr>
              <w:widowControl/>
              <w:spacing w:line="240" w:lineRule="exact"/>
              <w:jc w:val="left"/>
              <w:rPr>
                <w:rFonts w:ascii="Times New Roman" w:hAnsi="Times New Roman" w:eastAsia="方正仿宋_GBK"/>
                <w:color w:val="000000" w:themeColor="text1"/>
                <w:spacing w:val="-2"/>
                <w:kern w:val="0"/>
                <w:szCs w:val="21"/>
              </w:rPr>
            </w:pPr>
          </w:p>
          <w:p w14:paraId="6CA76C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67AA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043" w:type="dxa"/>
            <w:gridSpan w:val="7"/>
            <w:vAlign w:val="center"/>
          </w:tcPr>
          <w:p w14:paraId="40D20F10">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（四）持续正风肃纪。持续提升干部队伍过硬本领。</w:t>
            </w:r>
          </w:p>
        </w:tc>
      </w:tr>
      <w:tr w14:paraId="053C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6A05A650">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64</w:t>
            </w:r>
            <w:r>
              <w:rPr>
                <w:rFonts w:ascii="Times New Roman" w:hAnsi="Times New Roman" w:eastAsia="方正仿宋_GBK"/>
                <w:color w:val="000000" w:themeColor="text1"/>
                <w:spacing w:val="-2"/>
                <w:kern w:val="0"/>
                <w:szCs w:val="21"/>
              </w:rPr>
              <w:t>.加强知识更新、能力培训、实践锻炼，争当各领域行家里手。</w:t>
            </w:r>
          </w:p>
        </w:tc>
        <w:tc>
          <w:tcPr>
            <w:tcW w:w="850" w:type="dxa"/>
            <w:vAlign w:val="center"/>
          </w:tcPr>
          <w:p w14:paraId="724B86C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75630D26">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621EF87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2F1AA88">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8D950C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BB77F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县政府班子成员带头参加县委理论学习中心组学习，积极开展县政府党组理论学习中心学习，学用结合，工作能力不断增强。</w:t>
            </w:r>
          </w:p>
        </w:tc>
        <w:tc>
          <w:tcPr>
            <w:tcW w:w="2576" w:type="dxa"/>
          </w:tcPr>
          <w:p w14:paraId="6D65018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611ABE6">
            <w:pPr>
              <w:spacing w:line="240" w:lineRule="exact"/>
              <w:jc w:val="left"/>
              <w:rPr>
                <w:rFonts w:ascii="Times New Roman" w:hAnsi="Times New Roman" w:eastAsia="方正仿宋_GBK"/>
                <w:color w:val="000000" w:themeColor="text1"/>
                <w:spacing w:val="-2"/>
                <w:kern w:val="0"/>
                <w:szCs w:val="21"/>
              </w:rPr>
            </w:pPr>
          </w:p>
          <w:p w14:paraId="49EDDFE3">
            <w:pPr>
              <w:spacing w:line="240" w:lineRule="exact"/>
              <w:jc w:val="left"/>
              <w:rPr>
                <w:rFonts w:ascii="Times New Roman" w:hAnsi="Times New Roman" w:eastAsia="方正仿宋_GBK"/>
                <w:color w:val="000000" w:themeColor="text1"/>
                <w:spacing w:val="-2"/>
                <w:kern w:val="0"/>
                <w:szCs w:val="21"/>
              </w:rPr>
            </w:pPr>
          </w:p>
          <w:p w14:paraId="38378208">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55E5882F">
            <w:pPr>
              <w:tabs>
                <w:tab w:val="left" w:pos="1260"/>
              </w:tabs>
              <w:spacing w:line="240" w:lineRule="exact"/>
              <w:jc w:val="left"/>
              <w:rPr>
                <w:rFonts w:ascii="Times New Roman" w:hAnsi="Times New Roman" w:eastAsia="方正仿宋_GBK"/>
                <w:color w:val="000000" w:themeColor="text1"/>
                <w:spacing w:val="-2"/>
                <w:kern w:val="0"/>
                <w:szCs w:val="21"/>
              </w:rPr>
            </w:pPr>
          </w:p>
        </w:tc>
      </w:tr>
      <w:tr w14:paraId="61A9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3B2577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165</w:t>
            </w:r>
            <w:r>
              <w:rPr>
                <w:rFonts w:ascii="Times New Roman" w:hAnsi="Times New Roman" w:eastAsia="方正仿宋_GBK"/>
                <w:color w:val="000000" w:themeColor="text1"/>
                <w:spacing w:val="-2"/>
                <w:kern w:val="0"/>
                <w:szCs w:val="21"/>
              </w:rPr>
              <w:t>.提升治理能力，把制度执行和治理能力作为干部队伍建设重大任务，推动广大干部严格按照制度履行职责、行使权力、开展工作。</w:t>
            </w:r>
          </w:p>
        </w:tc>
        <w:tc>
          <w:tcPr>
            <w:tcW w:w="850" w:type="dxa"/>
            <w:vAlign w:val="center"/>
          </w:tcPr>
          <w:p w14:paraId="201F3FC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05E3C78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58CE97E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4C28AAE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52557A9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9296EC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班子成员带头强化组织观念、纪律观念、责任意识，严格坚持才能与岗位相统一、职责与权力相统一、考核与奖惩相一致，扎实开展督查检查，鼓励担当作为，鞭策渎职不为，进一步推动干部队伍全面正确履职。</w:t>
            </w:r>
          </w:p>
        </w:tc>
        <w:tc>
          <w:tcPr>
            <w:tcW w:w="2576" w:type="dxa"/>
          </w:tcPr>
          <w:p w14:paraId="4092F19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417B9C5">
            <w:pPr>
              <w:widowControl/>
              <w:spacing w:line="240" w:lineRule="exact"/>
              <w:jc w:val="left"/>
              <w:rPr>
                <w:rFonts w:ascii="Times New Roman" w:hAnsi="Times New Roman" w:eastAsia="方正仿宋_GBK"/>
                <w:color w:val="000000" w:themeColor="text1"/>
                <w:spacing w:val="-2"/>
                <w:kern w:val="0"/>
                <w:szCs w:val="21"/>
              </w:rPr>
            </w:pPr>
          </w:p>
          <w:p w14:paraId="3E7FD83F">
            <w:pPr>
              <w:widowControl/>
              <w:spacing w:line="240" w:lineRule="exact"/>
              <w:jc w:val="left"/>
              <w:rPr>
                <w:rFonts w:ascii="Times New Roman" w:hAnsi="Times New Roman" w:eastAsia="方正仿宋_GBK"/>
                <w:color w:val="000000" w:themeColor="text1"/>
                <w:spacing w:val="-2"/>
                <w:kern w:val="0"/>
                <w:szCs w:val="21"/>
              </w:rPr>
            </w:pPr>
          </w:p>
          <w:p w14:paraId="7138CF30">
            <w:pPr>
              <w:widowControl/>
              <w:spacing w:line="240" w:lineRule="exact"/>
              <w:jc w:val="left"/>
              <w:rPr>
                <w:rFonts w:ascii="Times New Roman" w:hAnsi="Times New Roman" w:eastAsia="方正仿宋_GBK"/>
                <w:color w:val="000000" w:themeColor="text1"/>
                <w:spacing w:val="-2"/>
                <w:kern w:val="0"/>
                <w:szCs w:val="21"/>
              </w:rPr>
            </w:pPr>
          </w:p>
          <w:p w14:paraId="2BD251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E24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56494FD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166.</w:t>
            </w:r>
            <w:r>
              <w:rPr>
                <w:rFonts w:ascii="Times New Roman" w:hAnsi="Times New Roman" w:eastAsia="方正仿宋_GBK"/>
                <w:color w:val="000000" w:themeColor="text1"/>
                <w:spacing w:val="-2"/>
                <w:kern w:val="0"/>
                <w:szCs w:val="21"/>
              </w:rPr>
              <w:t>提升学习能力，养成坚持学习、深入调研的习惯，在学习和实践中增强本领。</w:t>
            </w:r>
          </w:p>
        </w:tc>
        <w:tc>
          <w:tcPr>
            <w:tcW w:w="850" w:type="dxa"/>
            <w:vAlign w:val="center"/>
          </w:tcPr>
          <w:p w14:paraId="770B1E6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032A955C">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B5FC39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748409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5241AE6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6E4D174">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县政府班子</w:t>
            </w:r>
            <w:r>
              <w:rPr>
                <w:rFonts w:hint="eastAsia" w:ascii="Times New Roman" w:hAnsi="Times New Roman" w:eastAsia="方正仿宋_GBK"/>
                <w:color w:val="000000" w:themeColor="text1"/>
                <w:spacing w:val="-2"/>
                <w:kern w:val="0"/>
                <w:szCs w:val="21"/>
              </w:rPr>
              <w:t>成员带头</w:t>
            </w:r>
            <w:r>
              <w:rPr>
                <w:rFonts w:ascii="Times New Roman" w:hAnsi="Times New Roman" w:eastAsia="方正仿宋_GBK"/>
                <w:color w:val="000000" w:themeColor="text1"/>
                <w:spacing w:val="-2"/>
                <w:kern w:val="0"/>
                <w:szCs w:val="21"/>
              </w:rPr>
              <w:t>原原本本、全面系统地对习近平新时代中国特色社会主义思想、习近平关于扶贫工作重要论述、习近平总书记关于重庆工作的重要讲话和指示精神以及习近平总书记近期重要讲话精神和</w:t>
            </w:r>
            <w:r>
              <w:rPr>
                <w:rFonts w:hint="eastAsia" w:ascii="Times New Roman" w:hAnsi="Times New Roman" w:eastAsia="方正仿宋_GBK"/>
                <w:color w:val="000000" w:themeColor="text1"/>
                <w:spacing w:val="-2"/>
                <w:kern w:val="0"/>
                <w:szCs w:val="21"/>
                <w:lang w:eastAsia="zh-CN"/>
              </w:rPr>
              <w:t>党的十九届四中全会精神</w:t>
            </w:r>
            <w:r>
              <w:rPr>
                <w:rFonts w:ascii="Times New Roman" w:hAnsi="Times New Roman" w:eastAsia="方正仿宋_GBK"/>
                <w:color w:val="000000" w:themeColor="text1"/>
                <w:spacing w:val="-2"/>
                <w:kern w:val="0"/>
                <w:szCs w:val="21"/>
              </w:rPr>
              <w:t>进行研讨学习，对习近平新时代中国特色社会主义思想理解认识更加深刻、笃行笃用更加坚决，用党的创新理论武装头脑、指导实践、推动工作的能力进一步提高</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学思用贯通、知信行统一的能力和水平进一步增强。</w:t>
            </w:r>
          </w:p>
        </w:tc>
        <w:tc>
          <w:tcPr>
            <w:tcW w:w="2576" w:type="dxa"/>
          </w:tcPr>
          <w:p w14:paraId="0FEA0A91">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667A2DF">
            <w:pPr>
              <w:widowControl/>
              <w:spacing w:line="240" w:lineRule="exact"/>
              <w:jc w:val="left"/>
              <w:rPr>
                <w:rFonts w:ascii="Times New Roman" w:hAnsi="Times New Roman" w:eastAsia="方正仿宋_GBK"/>
                <w:color w:val="000000" w:themeColor="text1"/>
                <w:spacing w:val="-2"/>
                <w:kern w:val="0"/>
                <w:szCs w:val="21"/>
              </w:rPr>
            </w:pPr>
          </w:p>
          <w:p w14:paraId="45BD9CA2">
            <w:pPr>
              <w:widowControl/>
              <w:spacing w:line="240" w:lineRule="exact"/>
              <w:jc w:val="left"/>
              <w:rPr>
                <w:rFonts w:ascii="Times New Roman" w:hAnsi="Times New Roman" w:eastAsia="方正仿宋_GBK"/>
                <w:color w:val="000000" w:themeColor="text1"/>
                <w:spacing w:val="-2"/>
                <w:kern w:val="0"/>
                <w:szCs w:val="21"/>
              </w:rPr>
            </w:pPr>
          </w:p>
          <w:p w14:paraId="13CFF079">
            <w:pPr>
              <w:widowControl/>
              <w:spacing w:line="240" w:lineRule="exact"/>
              <w:jc w:val="left"/>
              <w:rPr>
                <w:rFonts w:ascii="Times New Roman" w:hAnsi="Times New Roman" w:eastAsia="方正仿宋_GBK"/>
                <w:color w:val="000000" w:themeColor="text1"/>
                <w:spacing w:val="-2"/>
                <w:kern w:val="0"/>
                <w:szCs w:val="21"/>
              </w:rPr>
            </w:pPr>
          </w:p>
          <w:p w14:paraId="6966331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E8F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86" w:type="dxa"/>
            <w:vAlign w:val="center"/>
          </w:tcPr>
          <w:p w14:paraId="1D0EDCE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167</w:t>
            </w:r>
            <w:r>
              <w:rPr>
                <w:rFonts w:ascii="Times New Roman" w:hAnsi="Times New Roman" w:eastAsia="方正仿宋_GBK"/>
                <w:color w:val="000000" w:themeColor="text1"/>
                <w:spacing w:val="-2"/>
                <w:kern w:val="0"/>
                <w:szCs w:val="21"/>
              </w:rPr>
              <w:t>.提升执行能力，凡是承诺的事情，都清单化管理、项目化推进、精细化落实。</w:t>
            </w:r>
          </w:p>
        </w:tc>
        <w:tc>
          <w:tcPr>
            <w:tcW w:w="850" w:type="dxa"/>
            <w:vAlign w:val="center"/>
          </w:tcPr>
          <w:p w14:paraId="53D032D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3028F32F">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3DEDAB5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48DD159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3A9FB8F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E77D2C7">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县政府班子</w:t>
            </w:r>
            <w:r>
              <w:rPr>
                <w:rFonts w:hint="eastAsia" w:ascii="Times New Roman" w:hAnsi="Times New Roman" w:eastAsia="方正仿宋_GBK"/>
                <w:color w:val="000000" w:themeColor="text1"/>
                <w:spacing w:val="-2"/>
                <w:kern w:val="0"/>
                <w:szCs w:val="21"/>
              </w:rPr>
              <w:t>成员带头</w:t>
            </w:r>
            <w:r>
              <w:rPr>
                <w:rFonts w:ascii="Times New Roman" w:hAnsi="Times New Roman" w:eastAsia="方正仿宋_GBK"/>
                <w:color w:val="000000" w:themeColor="text1"/>
                <w:spacing w:val="-2"/>
                <w:kern w:val="0"/>
                <w:szCs w:val="21"/>
              </w:rPr>
              <w:t>把带领城口人民实现高质量脱贫摘帽的作为工作动力，积极推动高质量发展、创造高品质生活，扎实攻坚克难，以上率下在全县掀起干事创业良好风气</w:t>
            </w:r>
            <w:r>
              <w:rPr>
                <w:rFonts w:hint="eastAsia" w:ascii="Times New Roman" w:hAnsi="Times New Roman" w:eastAsia="方正仿宋_GBK"/>
                <w:color w:val="000000" w:themeColor="text1"/>
                <w:spacing w:val="-2"/>
                <w:kern w:val="0"/>
                <w:szCs w:val="21"/>
              </w:rPr>
              <w:t>。</w:t>
            </w:r>
          </w:p>
        </w:tc>
        <w:tc>
          <w:tcPr>
            <w:tcW w:w="2576" w:type="dxa"/>
          </w:tcPr>
          <w:p w14:paraId="2342642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2F5494D9">
            <w:pPr>
              <w:widowControl/>
              <w:spacing w:line="240" w:lineRule="exact"/>
              <w:jc w:val="left"/>
              <w:rPr>
                <w:rFonts w:ascii="Times New Roman" w:hAnsi="Times New Roman" w:eastAsia="方正仿宋_GBK"/>
                <w:color w:val="000000" w:themeColor="text1"/>
                <w:spacing w:val="-2"/>
                <w:kern w:val="0"/>
                <w:szCs w:val="21"/>
              </w:rPr>
            </w:pPr>
          </w:p>
          <w:p w14:paraId="7E798F6E">
            <w:pPr>
              <w:widowControl/>
              <w:spacing w:line="240" w:lineRule="exact"/>
              <w:jc w:val="left"/>
              <w:rPr>
                <w:rFonts w:ascii="Times New Roman" w:hAnsi="Times New Roman" w:eastAsia="方正仿宋_GBK"/>
                <w:color w:val="000000" w:themeColor="text1"/>
                <w:spacing w:val="-2"/>
                <w:kern w:val="0"/>
                <w:szCs w:val="21"/>
              </w:rPr>
            </w:pPr>
          </w:p>
          <w:p w14:paraId="17339F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B7F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746FC0F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168</w:t>
            </w:r>
            <w:r>
              <w:rPr>
                <w:rFonts w:ascii="Times New Roman" w:hAnsi="Times New Roman" w:eastAsia="方正仿宋_GBK"/>
                <w:color w:val="000000" w:themeColor="text1"/>
                <w:spacing w:val="-2"/>
                <w:kern w:val="0"/>
                <w:szCs w:val="21"/>
              </w:rPr>
              <w:t>.提升创新能力，善于用大数据智能化改进政府服务、用改革创新思维破解发展难题。</w:t>
            </w:r>
          </w:p>
        </w:tc>
        <w:tc>
          <w:tcPr>
            <w:tcW w:w="850" w:type="dxa"/>
            <w:vAlign w:val="center"/>
          </w:tcPr>
          <w:p w14:paraId="2FBBBE1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26138342">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76F890E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08D427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B8423B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3D110A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贯彻供给侧结构性改革“巩固、增强、提升、畅通”八字方针，逐步构建市场机制有效、微观主体有活力、宏观调控有度的经济体制，增强县域经济创新力和竞争力。增强创新潜力，加强科技人才培育，加快推动5G、云计算、大数据、人工智能技术应用，加强众创空间能力建设，加强与高校、科研院所合作共建各类研发机构，增强协同创新能力。扩大开放动力，加强与成渝城市群、渝东北三峡库区城镇群的协调联动，推动形成产业发展错位协同、基础设施互联互通、公共服务共建共享的开放大平台，推进产业、教育、卫生、文化等领域的开发合作，提升开放经济水平。</w:t>
            </w:r>
          </w:p>
        </w:tc>
        <w:tc>
          <w:tcPr>
            <w:tcW w:w="2576" w:type="dxa"/>
          </w:tcPr>
          <w:p w14:paraId="3531DBC6">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8F30CFA">
            <w:pPr>
              <w:widowControl/>
              <w:spacing w:line="240" w:lineRule="exact"/>
              <w:jc w:val="left"/>
              <w:rPr>
                <w:rFonts w:ascii="Times New Roman" w:hAnsi="Times New Roman" w:eastAsia="方正仿宋_GBK"/>
                <w:color w:val="000000" w:themeColor="text1"/>
                <w:spacing w:val="-2"/>
                <w:kern w:val="0"/>
                <w:szCs w:val="21"/>
              </w:rPr>
            </w:pPr>
          </w:p>
          <w:p w14:paraId="1DF1FC74">
            <w:pPr>
              <w:widowControl/>
              <w:spacing w:line="240" w:lineRule="exact"/>
              <w:jc w:val="left"/>
              <w:rPr>
                <w:rFonts w:ascii="Times New Roman" w:hAnsi="Times New Roman" w:eastAsia="方正仿宋_GBK"/>
                <w:color w:val="000000" w:themeColor="text1"/>
                <w:spacing w:val="-2"/>
                <w:kern w:val="0"/>
                <w:szCs w:val="21"/>
              </w:rPr>
            </w:pPr>
          </w:p>
          <w:p w14:paraId="298CF2F6">
            <w:pPr>
              <w:widowControl/>
              <w:spacing w:line="240" w:lineRule="exact"/>
              <w:jc w:val="left"/>
              <w:rPr>
                <w:rFonts w:ascii="Times New Roman" w:hAnsi="Times New Roman" w:eastAsia="方正仿宋_GBK"/>
                <w:color w:val="000000" w:themeColor="text1"/>
                <w:spacing w:val="-2"/>
                <w:kern w:val="0"/>
                <w:szCs w:val="21"/>
              </w:rPr>
            </w:pPr>
          </w:p>
          <w:p w14:paraId="6EFC865F">
            <w:pPr>
              <w:widowControl/>
              <w:spacing w:line="240" w:lineRule="exact"/>
              <w:jc w:val="left"/>
              <w:rPr>
                <w:rFonts w:ascii="Times New Roman" w:hAnsi="Times New Roman" w:eastAsia="方正仿宋_GBK"/>
                <w:color w:val="000000" w:themeColor="text1"/>
                <w:spacing w:val="-2"/>
                <w:kern w:val="0"/>
                <w:szCs w:val="21"/>
              </w:rPr>
            </w:pPr>
          </w:p>
          <w:p w14:paraId="0316AE2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68356CCB">
            <w:pPr>
              <w:widowControl/>
              <w:spacing w:line="240" w:lineRule="exact"/>
              <w:jc w:val="left"/>
              <w:rPr>
                <w:rFonts w:ascii="Times New Roman" w:hAnsi="Times New Roman" w:eastAsia="方正仿宋_GBK"/>
                <w:color w:val="000000" w:themeColor="text1"/>
                <w:spacing w:val="-2"/>
                <w:kern w:val="0"/>
                <w:szCs w:val="21"/>
              </w:rPr>
            </w:pPr>
          </w:p>
          <w:p w14:paraId="614CAE7C">
            <w:pPr>
              <w:widowControl/>
              <w:spacing w:line="240" w:lineRule="exact"/>
              <w:jc w:val="left"/>
              <w:rPr>
                <w:rFonts w:ascii="Times New Roman" w:hAnsi="Times New Roman" w:eastAsia="方正仿宋_GBK"/>
                <w:color w:val="000000" w:themeColor="text1"/>
                <w:spacing w:val="-2"/>
                <w:kern w:val="0"/>
                <w:szCs w:val="21"/>
              </w:rPr>
            </w:pPr>
          </w:p>
        </w:tc>
      </w:tr>
      <w:tr w14:paraId="1D74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CF8F81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169.</w:t>
            </w:r>
            <w:r>
              <w:rPr>
                <w:rFonts w:ascii="Times New Roman" w:hAnsi="Times New Roman" w:eastAsia="方正仿宋_GBK"/>
                <w:color w:val="000000" w:themeColor="text1"/>
                <w:spacing w:val="-2"/>
                <w:kern w:val="0"/>
                <w:szCs w:val="21"/>
              </w:rPr>
              <w:t>保持斗争精神，提升斗争本领，敏于发现问题，敢于面对问题，善于化解问题，成于解决问题。</w:t>
            </w:r>
          </w:p>
        </w:tc>
        <w:tc>
          <w:tcPr>
            <w:tcW w:w="850" w:type="dxa"/>
            <w:vAlign w:val="center"/>
          </w:tcPr>
          <w:p w14:paraId="438E682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24C7ED38">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A307F0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25508E3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6BB9636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791DE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大兴调查研究之风，制定年度调研计划，带头深入基层、深入一线发现问题，积极推动问题解决。</w:t>
            </w:r>
          </w:p>
        </w:tc>
        <w:tc>
          <w:tcPr>
            <w:tcW w:w="2576" w:type="dxa"/>
          </w:tcPr>
          <w:p w14:paraId="5A204C07">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8631EDF">
            <w:pPr>
              <w:widowControl/>
              <w:spacing w:line="240" w:lineRule="exact"/>
              <w:jc w:val="left"/>
              <w:rPr>
                <w:rFonts w:ascii="Times New Roman" w:hAnsi="Times New Roman" w:eastAsia="方正仿宋_GBK"/>
                <w:color w:val="000000" w:themeColor="text1"/>
                <w:spacing w:val="-2"/>
                <w:kern w:val="0"/>
                <w:szCs w:val="21"/>
              </w:rPr>
            </w:pPr>
          </w:p>
          <w:p w14:paraId="5F2FD8F0">
            <w:pPr>
              <w:widowControl/>
              <w:spacing w:line="240" w:lineRule="exact"/>
              <w:jc w:val="left"/>
              <w:rPr>
                <w:rFonts w:ascii="Times New Roman" w:hAnsi="Times New Roman" w:eastAsia="方正仿宋_GBK"/>
                <w:color w:val="000000" w:themeColor="text1"/>
                <w:spacing w:val="-2"/>
                <w:kern w:val="0"/>
                <w:szCs w:val="21"/>
              </w:rPr>
            </w:pPr>
          </w:p>
          <w:p w14:paraId="3313BC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079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043" w:type="dxa"/>
            <w:gridSpan w:val="7"/>
            <w:vAlign w:val="center"/>
          </w:tcPr>
          <w:p w14:paraId="23C27F8A">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w:t>
            </w:r>
            <w:r>
              <w:rPr>
                <w:rFonts w:hint="eastAsia" w:ascii="Times New Roman" w:hAnsi="Times New Roman" w:eastAsia="方正仿宋_GBK"/>
                <w:b/>
                <w:color w:val="000000" w:themeColor="text1"/>
                <w:spacing w:val="-2"/>
                <w:kern w:val="0"/>
                <w:szCs w:val="21"/>
              </w:rPr>
              <w:t>五</w:t>
            </w:r>
            <w:r>
              <w:rPr>
                <w:rFonts w:ascii="Times New Roman" w:hAnsi="Times New Roman" w:eastAsia="方正仿宋_GBK"/>
                <w:b/>
                <w:color w:val="000000" w:themeColor="text1"/>
                <w:spacing w:val="-2"/>
                <w:kern w:val="0"/>
                <w:szCs w:val="21"/>
              </w:rPr>
              <w:t>）纵深推进全面从严治党。</w:t>
            </w:r>
          </w:p>
        </w:tc>
      </w:tr>
      <w:tr w14:paraId="08F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F39D64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170.</w:t>
            </w:r>
            <w:r>
              <w:rPr>
                <w:rFonts w:ascii="Times New Roman" w:hAnsi="Times New Roman" w:eastAsia="方正仿宋_GBK"/>
                <w:color w:val="000000" w:themeColor="text1"/>
                <w:spacing w:val="-2"/>
                <w:kern w:val="0"/>
                <w:szCs w:val="21"/>
              </w:rPr>
              <w:t>严格落实全面从严治党主体责任，着力完善一体推进不敢腐、不能腐、不想腐的体制机制，健全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三重一大</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全程监管工作流程，对行权部门和岗位实行分事行权、分岗设权、分级授权、定期轮岗，从源头上遏制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四风</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和腐败问题发生，强化违纪惩处震慑作用，严肃查处违纪违法案件。</w:t>
            </w:r>
          </w:p>
        </w:tc>
        <w:tc>
          <w:tcPr>
            <w:tcW w:w="850" w:type="dxa"/>
            <w:vAlign w:val="center"/>
          </w:tcPr>
          <w:p w14:paraId="56F1185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560E98FE">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627BF85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2EAC57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A9AF98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A6C79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拟修订县政府党组工作规则，严格执行党组班子议事决策规则、完善并落实“三重一大”决策监督机制，实行集体领导和个人分工负责相结合，服从组织决定和组织分工，按照党中央精神和集体决策在职责范围内履行职责。积极支持县纪委监委依法依规查处“四风”和腐败问题，</w:t>
            </w:r>
            <w:r>
              <w:rPr>
                <w:rFonts w:ascii="Times New Roman" w:hAnsi="Times New Roman" w:eastAsia="方正仿宋_GBK"/>
                <w:color w:val="000000" w:themeColor="text1"/>
                <w:spacing w:val="-2"/>
                <w:kern w:val="0"/>
                <w:szCs w:val="21"/>
              </w:rPr>
              <w:t>2020</w:t>
            </w:r>
            <w:r>
              <w:rPr>
                <w:rFonts w:hint="eastAsia" w:ascii="Times New Roman" w:hAnsi="Times New Roman" w:eastAsia="方正仿宋_GBK"/>
                <w:color w:val="000000" w:themeColor="text1"/>
                <w:spacing w:val="-2"/>
                <w:kern w:val="0"/>
                <w:szCs w:val="21"/>
              </w:rPr>
              <w:t>年共立案</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件，结案</w:t>
            </w:r>
            <w:r>
              <w:rPr>
                <w:rFonts w:ascii="Times New Roman" w:hAnsi="Times New Roman" w:eastAsia="方正仿宋_GBK"/>
                <w:color w:val="000000" w:themeColor="text1"/>
                <w:spacing w:val="-2"/>
                <w:kern w:val="0"/>
                <w:szCs w:val="21"/>
              </w:rPr>
              <w:t>2</w:t>
            </w:r>
            <w:r>
              <w:rPr>
                <w:rFonts w:hint="eastAsia" w:ascii="Times New Roman" w:hAnsi="Times New Roman" w:eastAsia="方正仿宋_GBK"/>
                <w:color w:val="000000" w:themeColor="text1"/>
                <w:spacing w:val="-2"/>
                <w:kern w:val="0"/>
                <w:szCs w:val="21"/>
              </w:rPr>
              <w:t>件（含</w:t>
            </w:r>
            <w:r>
              <w:rPr>
                <w:rFonts w:ascii="Times New Roman" w:hAnsi="Times New Roman" w:eastAsia="方正仿宋_GBK"/>
                <w:color w:val="000000" w:themeColor="text1"/>
                <w:spacing w:val="-2"/>
                <w:kern w:val="0"/>
                <w:szCs w:val="21"/>
              </w:rPr>
              <w:t>2019</w:t>
            </w:r>
            <w:r>
              <w:rPr>
                <w:rFonts w:hint="eastAsia" w:ascii="Times New Roman" w:hAnsi="Times New Roman" w:eastAsia="方正仿宋_GBK"/>
                <w:color w:val="000000" w:themeColor="text1"/>
                <w:spacing w:val="-2"/>
                <w:kern w:val="0"/>
                <w:szCs w:val="21"/>
              </w:rPr>
              <w:t>年遗留</w:t>
            </w: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件），给予党纪政务处分</w:t>
            </w:r>
            <w:r>
              <w:rPr>
                <w:rFonts w:ascii="Times New Roman" w:hAnsi="Times New Roman" w:eastAsia="方正仿宋_GBK"/>
                <w:color w:val="000000" w:themeColor="text1"/>
                <w:spacing w:val="-2"/>
                <w:kern w:val="0"/>
                <w:szCs w:val="21"/>
              </w:rPr>
              <w:t>2</w:t>
            </w:r>
            <w:r>
              <w:rPr>
                <w:rFonts w:hint="eastAsia" w:ascii="Times New Roman" w:hAnsi="Times New Roman" w:eastAsia="方正仿宋_GBK"/>
                <w:color w:val="000000" w:themeColor="text1"/>
                <w:spacing w:val="-2"/>
                <w:kern w:val="0"/>
                <w:szCs w:val="21"/>
              </w:rPr>
              <w:t>人。</w:t>
            </w:r>
          </w:p>
        </w:tc>
        <w:tc>
          <w:tcPr>
            <w:tcW w:w="2576" w:type="dxa"/>
          </w:tcPr>
          <w:p w14:paraId="2AC50BC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3F6D2AA">
            <w:pPr>
              <w:widowControl/>
              <w:spacing w:line="240" w:lineRule="exact"/>
              <w:jc w:val="left"/>
              <w:rPr>
                <w:rFonts w:ascii="Times New Roman" w:hAnsi="Times New Roman" w:eastAsia="方正仿宋_GBK"/>
                <w:color w:val="000000" w:themeColor="text1"/>
                <w:spacing w:val="-2"/>
                <w:kern w:val="0"/>
                <w:szCs w:val="21"/>
              </w:rPr>
            </w:pPr>
          </w:p>
          <w:p w14:paraId="083A156D">
            <w:pPr>
              <w:widowControl/>
              <w:spacing w:line="240" w:lineRule="exact"/>
              <w:jc w:val="left"/>
              <w:rPr>
                <w:rFonts w:ascii="Times New Roman" w:hAnsi="Times New Roman" w:eastAsia="方正仿宋_GBK"/>
                <w:color w:val="000000" w:themeColor="text1"/>
                <w:spacing w:val="-2"/>
                <w:kern w:val="0"/>
                <w:szCs w:val="21"/>
              </w:rPr>
            </w:pPr>
          </w:p>
          <w:p w14:paraId="5901632C">
            <w:pPr>
              <w:widowControl/>
              <w:spacing w:line="240" w:lineRule="exact"/>
              <w:jc w:val="left"/>
              <w:rPr>
                <w:rFonts w:ascii="Times New Roman" w:hAnsi="Times New Roman" w:eastAsia="方正仿宋_GBK"/>
                <w:color w:val="000000" w:themeColor="text1"/>
                <w:spacing w:val="-2"/>
                <w:kern w:val="0"/>
                <w:szCs w:val="21"/>
              </w:rPr>
            </w:pPr>
          </w:p>
          <w:p w14:paraId="49BBEDB5">
            <w:pPr>
              <w:widowControl/>
              <w:spacing w:line="240" w:lineRule="exact"/>
              <w:jc w:val="left"/>
              <w:rPr>
                <w:rFonts w:ascii="Times New Roman" w:hAnsi="Times New Roman" w:eastAsia="方正仿宋_GBK"/>
                <w:color w:val="000000" w:themeColor="text1"/>
                <w:spacing w:val="-2"/>
                <w:kern w:val="0"/>
                <w:szCs w:val="21"/>
              </w:rPr>
            </w:pPr>
          </w:p>
          <w:p w14:paraId="0382328C">
            <w:pPr>
              <w:widowControl/>
              <w:spacing w:line="240" w:lineRule="exact"/>
              <w:jc w:val="left"/>
              <w:rPr>
                <w:rFonts w:ascii="Times New Roman" w:hAnsi="Times New Roman" w:eastAsia="方正仿宋_GBK"/>
                <w:color w:val="000000" w:themeColor="text1"/>
                <w:spacing w:val="-2"/>
                <w:kern w:val="0"/>
                <w:szCs w:val="21"/>
              </w:rPr>
            </w:pPr>
          </w:p>
          <w:p w14:paraId="301F14FF">
            <w:pPr>
              <w:widowControl/>
              <w:spacing w:line="240" w:lineRule="exact"/>
              <w:jc w:val="left"/>
              <w:rPr>
                <w:rFonts w:ascii="Times New Roman" w:hAnsi="Times New Roman" w:eastAsia="方正仿宋_GBK"/>
                <w:color w:val="000000" w:themeColor="text1"/>
                <w:spacing w:val="-2"/>
                <w:kern w:val="0"/>
                <w:szCs w:val="21"/>
              </w:rPr>
            </w:pPr>
          </w:p>
          <w:p w14:paraId="6EA62A8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80B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9109BD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171.</w:t>
            </w:r>
            <w:r>
              <w:rPr>
                <w:rFonts w:ascii="Times New Roman" w:hAnsi="Times New Roman" w:eastAsia="方正仿宋_GBK"/>
                <w:color w:val="000000" w:themeColor="text1"/>
                <w:spacing w:val="-2"/>
                <w:kern w:val="0"/>
                <w:szCs w:val="21"/>
              </w:rPr>
              <w:t>加强思想道德和党纪国法教育，深入开展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以案四说</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警示教育，筑牢拒腐防变的思想道德防线，永葆为民务实清廉的政治本色。</w:t>
            </w:r>
          </w:p>
        </w:tc>
        <w:tc>
          <w:tcPr>
            <w:tcW w:w="850" w:type="dxa"/>
            <w:vAlign w:val="center"/>
          </w:tcPr>
          <w:p w14:paraId="58250FE2">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232928C">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73E5C5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46F26E0">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C4488B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48808F7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全力支持县纪委监委履行职责，县政府班子成员带头落实</w:t>
            </w:r>
            <w:r>
              <w:rPr>
                <w:rFonts w:hint="default" w:ascii="Times New Roman" w:hAnsi="Times New Roman" w:eastAsia="方正仿宋_GBK"/>
                <w:color w:val="000000" w:themeColor="text1"/>
                <w:spacing w:val="-2"/>
                <w:kern w:val="0"/>
                <w:szCs w:val="21"/>
                <w:lang w:val="en-US"/>
              </w:rPr>
              <w:t>全面从严治党主体责任</w:t>
            </w:r>
            <w:r>
              <w:rPr>
                <w:rFonts w:hint="eastAsia" w:ascii="Times New Roman" w:hAnsi="Times New Roman" w:eastAsia="方正仿宋_GBK"/>
                <w:color w:val="000000" w:themeColor="text1"/>
                <w:spacing w:val="-2"/>
                <w:kern w:val="0"/>
                <w:szCs w:val="21"/>
              </w:rPr>
              <w:t>，继续推进“以案四说”，县政府班子成员带头讲党课正在序时推进。</w:t>
            </w:r>
          </w:p>
        </w:tc>
        <w:tc>
          <w:tcPr>
            <w:tcW w:w="2576" w:type="dxa"/>
          </w:tcPr>
          <w:p w14:paraId="58A8CA15">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2E5215E4">
            <w:pPr>
              <w:widowControl/>
              <w:spacing w:line="240" w:lineRule="exact"/>
              <w:jc w:val="left"/>
              <w:rPr>
                <w:rFonts w:ascii="Times New Roman" w:hAnsi="Times New Roman" w:eastAsia="方正仿宋_GBK"/>
                <w:color w:val="000000" w:themeColor="text1"/>
                <w:spacing w:val="-2"/>
                <w:kern w:val="0"/>
                <w:szCs w:val="21"/>
              </w:rPr>
            </w:pPr>
          </w:p>
          <w:p w14:paraId="04CEA1D7">
            <w:pPr>
              <w:widowControl/>
              <w:spacing w:line="240" w:lineRule="exact"/>
              <w:jc w:val="left"/>
              <w:rPr>
                <w:rFonts w:ascii="Times New Roman" w:hAnsi="Times New Roman" w:eastAsia="方正仿宋_GBK"/>
                <w:color w:val="000000" w:themeColor="text1"/>
                <w:spacing w:val="-2"/>
                <w:kern w:val="0"/>
                <w:szCs w:val="21"/>
              </w:rPr>
            </w:pPr>
          </w:p>
          <w:p w14:paraId="19FFB18D">
            <w:pPr>
              <w:widowControl/>
              <w:spacing w:line="240" w:lineRule="exact"/>
              <w:jc w:val="left"/>
              <w:rPr>
                <w:rFonts w:ascii="Times New Roman" w:hAnsi="Times New Roman" w:eastAsia="方正仿宋_GBK"/>
                <w:color w:val="000000" w:themeColor="text1"/>
                <w:spacing w:val="-2"/>
                <w:kern w:val="0"/>
                <w:szCs w:val="21"/>
              </w:rPr>
            </w:pPr>
          </w:p>
          <w:p w14:paraId="662D251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49A6BDDD">
            <w:pPr>
              <w:widowControl/>
              <w:spacing w:line="240" w:lineRule="exact"/>
              <w:jc w:val="left"/>
              <w:rPr>
                <w:rFonts w:ascii="Times New Roman" w:hAnsi="Times New Roman" w:eastAsia="方正仿宋_GBK"/>
                <w:color w:val="000000" w:themeColor="text1"/>
                <w:spacing w:val="-2"/>
                <w:kern w:val="0"/>
                <w:szCs w:val="21"/>
              </w:rPr>
            </w:pPr>
          </w:p>
          <w:p w14:paraId="0D53D8D0">
            <w:pPr>
              <w:widowControl/>
              <w:spacing w:line="240" w:lineRule="exact"/>
              <w:jc w:val="left"/>
              <w:rPr>
                <w:rFonts w:ascii="Times New Roman" w:hAnsi="Times New Roman" w:eastAsia="方正仿宋_GBK"/>
                <w:color w:val="000000" w:themeColor="text1"/>
                <w:spacing w:val="-2"/>
                <w:kern w:val="0"/>
                <w:szCs w:val="21"/>
              </w:rPr>
            </w:pPr>
          </w:p>
        </w:tc>
      </w:tr>
      <w:tr w14:paraId="314B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204A55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172.</w:t>
            </w:r>
            <w:r>
              <w:rPr>
                <w:rFonts w:ascii="Times New Roman" w:hAnsi="Times New Roman" w:eastAsia="方正仿宋_GBK"/>
                <w:color w:val="000000" w:themeColor="text1"/>
                <w:spacing w:val="-2"/>
                <w:kern w:val="0"/>
                <w:szCs w:val="21"/>
              </w:rPr>
              <w:t>严格落实中央八项规定精神和市委、县委实施意见，集中整治形式主义、官僚主义，坚决纠正表态多调门高、行动少落实差的行为，坚决整肃不作为、慢作为。</w:t>
            </w:r>
          </w:p>
        </w:tc>
        <w:tc>
          <w:tcPr>
            <w:tcW w:w="850" w:type="dxa"/>
            <w:vAlign w:val="center"/>
          </w:tcPr>
          <w:p w14:paraId="140218C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45EA4E2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369331B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D05479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A016C6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410392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深入学习领会习近平总书记关于力戒形式主义、官僚主义重要论述，严格落实中央八项规定精神和市委、县委实施意见，认真推动“基层减负年”工作，“精文简会”力度持续加大，发文数量、会议次数较去年同期明显下降。</w:t>
            </w:r>
          </w:p>
        </w:tc>
        <w:tc>
          <w:tcPr>
            <w:tcW w:w="2576" w:type="dxa"/>
          </w:tcPr>
          <w:p w14:paraId="6E0B430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40F5889">
            <w:pPr>
              <w:widowControl/>
              <w:spacing w:line="240" w:lineRule="exact"/>
              <w:jc w:val="left"/>
              <w:rPr>
                <w:rFonts w:ascii="Times New Roman" w:hAnsi="Times New Roman" w:eastAsia="方正仿宋_GBK"/>
                <w:color w:val="000000" w:themeColor="text1"/>
                <w:spacing w:val="-2"/>
                <w:kern w:val="0"/>
                <w:szCs w:val="21"/>
              </w:rPr>
            </w:pPr>
          </w:p>
          <w:p w14:paraId="5C425F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2BD247A5">
            <w:pPr>
              <w:widowControl/>
              <w:spacing w:line="240" w:lineRule="exact"/>
              <w:jc w:val="left"/>
              <w:rPr>
                <w:rFonts w:ascii="Times New Roman" w:hAnsi="Times New Roman" w:eastAsia="方正仿宋_GBK"/>
                <w:color w:val="000000" w:themeColor="text1"/>
                <w:spacing w:val="-2"/>
                <w:kern w:val="0"/>
                <w:szCs w:val="21"/>
              </w:rPr>
            </w:pPr>
          </w:p>
          <w:p w14:paraId="1D0B908E">
            <w:pPr>
              <w:widowControl/>
              <w:spacing w:line="240" w:lineRule="exact"/>
              <w:jc w:val="left"/>
              <w:rPr>
                <w:rFonts w:ascii="Times New Roman" w:hAnsi="Times New Roman" w:eastAsia="方正仿宋_GBK"/>
                <w:color w:val="000000" w:themeColor="text1"/>
                <w:spacing w:val="-2"/>
                <w:kern w:val="0"/>
                <w:szCs w:val="21"/>
              </w:rPr>
            </w:pPr>
          </w:p>
          <w:p w14:paraId="452C839F">
            <w:pPr>
              <w:widowControl/>
              <w:spacing w:line="240" w:lineRule="exact"/>
              <w:jc w:val="left"/>
              <w:rPr>
                <w:rFonts w:ascii="Times New Roman" w:hAnsi="Times New Roman" w:eastAsia="方正仿宋_GBK"/>
                <w:color w:val="000000" w:themeColor="text1"/>
                <w:spacing w:val="-2"/>
                <w:kern w:val="0"/>
                <w:szCs w:val="21"/>
              </w:rPr>
            </w:pPr>
          </w:p>
          <w:p w14:paraId="65A702DE">
            <w:pPr>
              <w:widowControl/>
              <w:spacing w:line="240" w:lineRule="exact"/>
              <w:jc w:val="left"/>
              <w:rPr>
                <w:rFonts w:ascii="Times New Roman" w:hAnsi="Times New Roman" w:eastAsia="方正仿宋_GBK"/>
                <w:color w:val="000000" w:themeColor="text1"/>
                <w:spacing w:val="-2"/>
                <w:kern w:val="0"/>
                <w:szCs w:val="21"/>
              </w:rPr>
            </w:pPr>
          </w:p>
          <w:p w14:paraId="61A69330">
            <w:pPr>
              <w:widowControl/>
              <w:spacing w:line="240" w:lineRule="exact"/>
              <w:jc w:val="left"/>
              <w:rPr>
                <w:rFonts w:ascii="Times New Roman" w:hAnsi="Times New Roman" w:eastAsia="方正仿宋_GBK"/>
                <w:color w:val="000000" w:themeColor="text1"/>
                <w:spacing w:val="-2"/>
                <w:kern w:val="0"/>
                <w:szCs w:val="21"/>
              </w:rPr>
            </w:pPr>
          </w:p>
          <w:p w14:paraId="14C8971A">
            <w:pPr>
              <w:widowControl/>
              <w:spacing w:line="240" w:lineRule="exact"/>
              <w:jc w:val="left"/>
              <w:rPr>
                <w:rFonts w:ascii="Times New Roman" w:hAnsi="Times New Roman" w:eastAsia="方正仿宋_GBK"/>
                <w:color w:val="000000" w:themeColor="text1"/>
                <w:spacing w:val="-2"/>
                <w:kern w:val="0"/>
                <w:szCs w:val="21"/>
              </w:rPr>
            </w:pPr>
          </w:p>
          <w:p w14:paraId="13B8ACEB">
            <w:pPr>
              <w:widowControl/>
              <w:spacing w:line="240" w:lineRule="exact"/>
              <w:jc w:val="left"/>
              <w:rPr>
                <w:rFonts w:ascii="Times New Roman" w:hAnsi="Times New Roman" w:eastAsia="方正仿宋_GBK"/>
                <w:color w:val="000000" w:themeColor="text1"/>
                <w:spacing w:val="-2"/>
                <w:kern w:val="0"/>
                <w:szCs w:val="21"/>
              </w:rPr>
            </w:pPr>
          </w:p>
        </w:tc>
      </w:tr>
      <w:tr w14:paraId="7877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4C7FD6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173.</w:t>
            </w:r>
            <w:r>
              <w:rPr>
                <w:rFonts w:ascii="Times New Roman" w:hAnsi="Times New Roman" w:eastAsia="方正仿宋_GBK"/>
                <w:color w:val="000000" w:themeColor="text1"/>
                <w:spacing w:val="-2"/>
                <w:kern w:val="0"/>
                <w:szCs w:val="21"/>
              </w:rPr>
              <w:t>建立健全正向激励和容错纠错机制，鼓励创造性贯彻落实。</w:t>
            </w:r>
          </w:p>
        </w:tc>
        <w:tc>
          <w:tcPr>
            <w:tcW w:w="850" w:type="dxa"/>
            <w:vAlign w:val="center"/>
          </w:tcPr>
          <w:p w14:paraId="48A4E8F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87A69F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5C0782B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F4D713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01BFEE13">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670C1633">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坚持严管与厚爱结合、激励与约束并重，</w:t>
            </w:r>
            <w:r>
              <w:rPr>
                <w:rFonts w:hint="eastAsia" w:ascii="Times New Roman" w:hAnsi="Times New Roman" w:eastAsia="方正仿宋_GBK"/>
                <w:color w:val="000000" w:themeColor="text1"/>
                <w:spacing w:val="-2"/>
                <w:kern w:val="0"/>
                <w:szCs w:val="21"/>
              </w:rPr>
              <w:t>严格落实</w:t>
            </w:r>
            <w:r>
              <w:rPr>
                <w:rFonts w:ascii="Times New Roman" w:hAnsi="Times New Roman" w:eastAsia="方正仿宋_GBK"/>
                <w:color w:val="000000" w:themeColor="text1"/>
                <w:spacing w:val="-2"/>
                <w:kern w:val="0"/>
                <w:szCs w:val="21"/>
              </w:rPr>
              <w:t>城口县党员干部干事创业容错纠错实施办法，积极营造了党员干部改革创新、敢于担当的良好政治生态环境</w:t>
            </w:r>
            <w:r>
              <w:rPr>
                <w:rFonts w:hint="eastAsia" w:ascii="Times New Roman" w:hAnsi="Times New Roman" w:eastAsia="方正仿宋_GBK"/>
                <w:color w:val="000000" w:themeColor="text1"/>
                <w:spacing w:val="-2"/>
                <w:kern w:val="0"/>
                <w:szCs w:val="21"/>
              </w:rPr>
              <w:t>。</w:t>
            </w:r>
          </w:p>
        </w:tc>
        <w:tc>
          <w:tcPr>
            <w:tcW w:w="2576" w:type="dxa"/>
          </w:tcPr>
          <w:p w14:paraId="74A92940">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5F720C6">
            <w:pPr>
              <w:widowControl/>
              <w:spacing w:line="240" w:lineRule="exact"/>
              <w:jc w:val="left"/>
              <w:rPr>
                <w:rFonts w:ascii="Times New Roman" w:hAnsi="Times New Roman" w:eastAsia="方正仿宋_GBK"/>
                <w:color w:val="000000" w:themeColor="text1"/>
                <w:spacing w:val="-2"/>
                <w:kern w:val="0"/>
                <w:szCs w:val="21"/>
              </w:rPr>
            </w:pPr>
          </w:p>
          <w:p w14:paraId="674A73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463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149202E">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174.</w:t>
            </w:r>
            <w:r>
              <w:rPr>
                <w:rFonts w:ascii="Times New Roman" w:hAnsi="Times New Roman" w:eastAsia="方正仿宋_GBK"/>
                <w:spacing w:val="-2"/>
                <w:kern w:val="0"/>
                <w:szCs w:val="21"/>
              </w:rPr>
              <w:t>建设节约型机关，牢固树立过</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紧日子</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思想，严格财政支出预算管理，严控</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三公</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经费，</w:t>
            </w:r>
            <w:r>
              <w:rPr>
                <w:rFonts w:hint="eastAsia" w:ascii="Times New Roman" w:hAnsi="Times New Roman" w:eastAsia="方正仿宋_GBK"/>
                <w:spacing w:val="-2"/>
                <w:kern w:val="0"/>
                <w:szCs w:val="21"/>
              </w:rPr>
              <w:t>全力履行“三保”支出兜底责任</w:t>
            </w:r>
            <w:r>
              <w:rPr>
                <w:rFonts w:ascii="Times New Roman" w:hAnsi="Times New Roman" w:eastAsia="方正仿宋_GBK"/>
                <w:spacing w:val="-2"/>
                <w:kern w:val="0"/>
                <w:szCs w:val="21"/>
              </w:rPr>
              <w:t>。</w:t>
            </w:r>
          </w:p>
        </w:tc>
        <w:tc>
          <w:tcPr>
            <w:tcW w:w="850" w:type="dxa"/>
            <w:vAlign w:val="center"/>
          </w:tcPr>
          <w:p w14:paraId="7E4B7AF8">
            <w:pPr>
              <w:widowControl/>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县政府班子成员</w:t>
            </w:r>
          </w:p>
        </w:tc>
        <w:tc>
          <w:tcPr>
            <w:tcW w:w="1134" w:type="dxa"/>
            <w:vAlign w:val="center"/>
          </w:tcPr>
          <w:p w14:paraId="44D78AFF">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县政府办公室</w:t>
            </w:r>
          </w:p>
        </w:tc>
        <w:tc>
          <w:tcPr>
            <w:tcW w:w="1559" w:type="dxa"/>
            <w:vAlign w:val="center"/>
          </w:tcPr>
          <w:p w14:paraId="469E9FA8">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县政府各部门、各单位</w:t>
            </w:r>
          </w:p>
          <w:p w14:paraId="570CCD91">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各乡镇（街道）</w:t>
            </w:r>
          </w:p>
        </w:tc>
        <w:tc>
          <w:tcPr>
            <w:tcW w:w="4111" w:type="dxa"/>
            <w:vAlign w:val="center"/>
          </w:tcPr>
          <w:p w14:paraId="71E708C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一是严格执行预算管理。进一步优化调整支出结构，努力节约开支，降低运行成本。二是三公经费同比下降10%。三是严格控制公务用车费用，规范加油、维修等费用。</w:t>
            </w:r>
          </w:p>
        </w:tc>
        <w:tc>
          <w:tcPr>
            <w:tcW w:w="2576" w:type="dxa"/>
          </w:tcPr>
          <w:p w14:paraId="0F30AC85">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134BE51">
            <w:pPr>
              <w:widowControl/>
              <w:spacing w:line="240" w:lineRule="exact"/>
              <w:jc w:val="left"/>
              <w:rPr>
                <w:rFonts w:ascii="Times New Roman" w:hAnsi="Times New Roman" w:eastAsia="方正仿宋_GBK"/>
                <w:color w:val="000000" w:themeColor="text1"/>
                <w:spacing w:val="-2"/>
                <w:kern w:val="0"/>
                <w:szCs w:val="21"/>
              </w:rPr>
            </w:pPr>
          </w:p>
          <w:p w14:paraId="361AE5B3">
            <w:pPr>
              <w:widowControl/>
              <w:spacing w:line="240" w:lineRule="exact"/>
              <w:jc w:val="left"/>
              <w:rPr>
                <w:rFonts w:ascii="Times New Roman" w:hAnsi="Times New Roman" w:eastAsia="方正仿宋_GBK"/>
                <w:color w:val="000000" w:themeColor="text1"/>
                <w:spacing w:val="-2"/>
                <w:kern w:val="0"/>
                <w:szCs w:val="21"/>
              </w:rPr>
            </w:pPr>
          </w:p>
          <w:p w14:paraId="5B79F8F7">
            <w:pPr>
              <w:widowControl/>
              <w:spacing w:line="240" w:lineRule="exact"/>
              <w:jc w:val="left"/>
              <w:rPr>
                <w:rFonts w:ascii="Times New Roman" w:hAnsi="Times New Roman" w:eastAsia="方正仿宋_GBK"/>
                <w:color w:val="000000" w:themeColor="text1"/>
                <w:spacing w:val="-2"/>
                <w:kern w:val="0"/>
                <w:szCs w:val="21"/>
              </w:rPr>
            </w:pPr>
          </w:p>
          <w:p w14:paraId="6444D9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6639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3F2560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175.</w:t>
            </w:r>
            <w:r>
              <w:rPr>
                <w:rFonts w:ascii="Times New Roman" w:hAnsi="Times New Roman" w:eastAsia="方正仿宋_GBK"/>
                <w:color w:val="000000" w:themeColor="text1"/>
                <w:spacing w:val="-2"/>
                <w:kern w:val="0"/>
                <w:szCs w:val="21"/>
              </w:rPr>
              <w:t>加强政府诚信建设。</w:t>
            </w:r>
          </w:p>
        </w:tc>
        <w:tc>
          <w:tcPr>
            <w:tcW w:w="850" w:type="dxa"/>
            <w:vAlign w:val="center"/>
          </w:tcPr>
          <w:p w14:paraId="3BE79D7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73E5A901">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3DEF038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62571BA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6A79927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5F8F4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一是坚持依法行政，坚持政务公开，重大决策、重要事项及时向社会公开，自觉接受社会监督。二是全力推进民生实事，各项民生实事正在积极推进。</w:t>
            </w:r>
          </w:p>
        </w:tc>
        <w:tc>
          <w:tcPr>
            <w:tcW w:w="2576" w:type="dxa"/>
          </w:tcPr>
          <w:p w14:paraId="72E44E9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FFDFAE4">
            <w:pPr>
              <w:widowControl/>
              <w:spacing w:line="240" w:lineRule="exact"/>
              <w:jc w:val="left"/>
              <w:rPr>
                <w:rFonts w:ascii="Times New Roman" w:hAnsi="Times New Roman" w:eastAsia="方正仿宋_GBK"/>
                <w:color w:val="000000" w:themeColor="text1"/>
                <w:spacing w:val="-2"/>
                <w:kern w:val="0"/>
                <w:szCs w:val="21"/>
              </w:rPr>
            </w:pPr>
          </w:p>
          <w:p w14:paraId="49DC06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3F2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B1DE58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176.</w:t>
            </w:r>
            <w:r>
              <w:rPr>
                <w:rFonts w:ascii="Times New Roman" w:hAnsi="Times New Roman" w:eastAsia="方正仿宋_GBK"/>
                <w:color w:val="000000" w:themeColor="text1"/>
                <w:spacing w:val="-2"/>
                <w:kern w:val="0"/>
                <w:szCs w:val="21"/>
              </w:rPr>
              <w:t>强化对标管理，改进督查工作，倡导比学赶超，让勇于担当成为习惯，让奋勇争先成为常态。</w:t>
            </w:r>
          </w:p>
        </w:tc>
        <w:tc>
          <w:tcPr>
            <w:tcW w:w="850" w:type="dxa"/>
            <w:vAlign w:val="center"/>
          </w:tcPr>
          <w:p w14:paraId="5AB77A9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7151F91E">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85B28D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C65E490">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02A3C63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0E20B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一是改进督查方式方法，转变督查人员的思维，多到一线走访调研。二是合理确定督查频次，明确督查工作和督查内容。三是强化对标管理，科学制定考核标准。</w:t>
            </w:r>
          </w:p>
        </w:tc>
        <w:tc>
          <w:tcPr>
            <w:tcW w:w="2576" w:type="dxa"/>
          </w:tcPr>
          <w:p w14:paraId="1FBC1A18">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0C8F743">
            <w:pPr>
              <w:widowControl/>
              <w:spacing w:line="240" w:lineRule="exact"/>
              <w:jc w:val="left"/>
              <w:rPr>
                <w:rFonts w:ascii="Times New Roman" w:hAnsi="Times New Roman" w:eastAsia="方正仿宋_GBK"/>
                <w:color w:val="000000" w:themeColor="text1"/>
                <w:spacing w:val="-2"/>
                <w:kern w:val="0"/>
                <w:szCs w:val="21"/>
              </w:rPr>
            </w:pPr>
          </w:p>
          <w:p w14:paraId="20350545">
            <w:pPr>
              <w:widowControl/>
              <w:spacing w:line="240" w:lineRule="exact"/>
              <w:jc w:val="left"/>
              <w:rPr>
                <w:rFonts w:ascii="Times New Roman" w:hAnsi="Times New Roman" w:eastAsia="方正仿宋_GBK"/>
                <w:color w:val="000000" w:themeColor="text1"/>
                <w:spacing w:val="-2"/>
                <w:kern w:val="0"/>
                <w:szCs w:val="21"/>
              </w:rPr>
            </w:pPr>
          </w:p>
          <w:p w14:paraId="7C2FFB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bl>
    <w:p w14:paraId="443B58A7">
      <w:pPr>
        <w:rPr>
          <w:rFonts w:ascii="Times New Roman" w:hAnsi="Times New Roman" w:eastAsia="方正小标宋_GBK"/>
          <w:color w:val="000000" w:themeColor="text1"/>
          <w:kern w:val="0"/>
          <w:szCs w:val="21"/>
        </w:rPr>
        <w:sectPr>
          <w:pgSz w:w="16839" w:h="11907" w:orient="landscape"/>
          <w:pgMar w:top="1531" w:right="2098" w:bottom="1417" w:left="1985" w:header="851" w:footer="992" w:gutter="0"/>
          <w:pgNumType w:fmt="numberInDash"/>
          <w:cols w:space="425" w:num="1"/>
          <w:docGrid w:type="linesAndChars" w:linePitch="312" w:charSpace="0"/>
        </w:sectPr>
      </w:pPr>
    </w:p>
    <w:p w14:paraId="540E1F06">
      <w:pPr>
        <w:rPr>
          <w:rFonts w:ascii="Times New Roman" w:hAnsi="Times New Roman" w:eastAsia="方正仿宋_GBK"/>
          <w:color w:val="000000" w:themeColor="text1"/>
          <w:szCs w:val="21"/>
        </w:rPr>
      </w:pPr>
    </w:p>
    <w:sectPr>
      <w:pgSz w:w="16838" w:h="11906" w:orient="landscape"/>
      <w:pgMar w:top="1531" w:right="2098" w:bottom="1417"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E6035">
    <w:pPr>
      <w:pStyle w:val="6"/>
    </w:pPr>
    <w:r>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3BE6303B">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- 30 -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WJkNTFlN2ZhMzIwMzk5Zjc5YmRkMDRhMDUyNDYifQ=="/>
  </w:docVars>
  <w:rsids>
    <w:rsidRoot w:val="008332C3"/>
    <w:rsid w:val="000042CE"/>
    <w:rsid w:val="00010E92"/>
    <w:rsid w:val="00011C84"/>
    <w:rsid w:val="00011D56"/>
    <w:rsid w:val="00015487"/>
    <w:rsid w:val="000156D4"/>
    <w:rsid w:val="000159F4"/>
    <w:rsid w:val="00017D20"/>
    <w:rsid w:val="00020FDB"/>
    <w:rsid w:val="00021673"/>
    <w:rsid w:val="00025F2B"/>
    <w:rsid w:val="00032479"/>
    <w:rsid w:val="000400CB"/>
    <w:rsid w:val="00040185"/>
    <w:rsid w:val="000402D3"/>
    <w:rsid w:val="00044579"/>
    <w:rsid w:val="0004499C"/>
    <w:rsid w:val="0005617E"/>
    <w:rsid w:val="000618B8"/>
    <w:rsid w:val="0006634D"/>
    <w:rsid w:val="00077737"/>
    <w:rsid w:val="00083E14"/>
    <w:rsid w:val="0008436E"/>
    <w:rsid w:val="00092011"/>
    <w:rsid w:val="00093AF3"/>
    <w:rsid w:val="000943C0"/>
    <w:rsid w:val="000A29B7"/>
    <w:rsid w:val="000A6A11"/>
    <w:rsid w:val="000B3553"/>
    <w:rsid w:val="000D46A3"/>
    <w:rsid w:val="000D4F5A"/>
    <w:rsid w:val="000E496A"/>
    <w:rsid w:val="000F2EBC"/>
    <w:rsid w:val="000F54C3"/>
    <w:rsid w:val="00104AD9"/>
    <w:rsid w:val="00104D7A"/>
    <w:rsid w:val="001064F9"/>
    <w:rsid w:val="0011032C"/>
    <w:rsid w:val="00115F05"/>
    <w:rsid w:val="001207AC"/>
    <w:rsid w:val="00121696"/>
    <w:rsid w:val="00135096"/>
    <w:rsid w:val="001451D2"/>
    <w:rsid w:val="00145682"/>
    <w:rsid w:val="00151F00"/>
    <w:rsid w:val="00155750"/>
    <w:rsid w:val="001559B5"/>
    <w:rsid w:val="00161625"/>
    <w:rsid w:val="001637FB"/>
    <w:rsid w:val="00163F71"/>
    <w:rsid w:val="001661ED"/>
    <w:rsid w:val="001679FA"/>
    <w:rsid w:val="00177645"/>
    <w:rsid w:val="0019262E"/>
    <w:rsid w:val="00195520"/>
    <w:rsid w:val="001A447C"/>
    <w:rsid w:val="001A6F46"/>
    <w:rsid w:val="001C0B43"/>
    <w:rsid w:val="001C4193"/>
    <w:rsid w:val="001C4C2C"/>
    <w:rsid w:val="001C556D"/>
    <w:rsid w:val="001C7DD6"/>
    <w:rsid w:val="001E2425"/>
    <w:rsid w:val="001E398C"/>
    <w:rsid w:val="001E554B"/>
    <w:rsid w:val="001E5FF0"/>
    <w:rsid w:val="001F1CDD"/>
    <w:rsid w:val="00202000"/>
    <w:rsid w:val="00203D63"/>
    <w:rsid w:val="00205B32"/>
    <w:rsid w:val="00206658"/>
    <w:rsid w:val="0021098C"/>
    <w:rsid w:val="00212AF3"/>
    <w:rsid w:val="00213E40"/>
    <w:rsid w:val="00233F0F"/>
    <w:rsid w:val="00243219"/>
    <w:rsid w:val="002454A8"/>
    <w:rsid w:val="002529A3"/>
    <w:rsid w:val="00253974"/>
    <w:rsid w:val="00256B1A"/>
    <w:rsid w:val="002578A3"/>
    <w:rsid w:val="00262076"/>
    <w:rsid w:val="00267D24"/>
    <w:rsid w:val="002722F7"/>
    <w:rsid w:val="0027511C"/>
    <w:rsid w:val="00275785"/>
    <w:rsid w:val="00276930"/>
    <w:rsid w:val="0028558F"/>
    <w:rsid w:val="00287B36"/>
    <w:rsid w:val="00293AF2"/>
    <w:rsid w:val="0029526C"/>
    <w:rsid w:val="002A0674"/>
    <w:rsid w:val="002A6CE4"/>
    <w:rsid w:val="002B0410"/>
    <w:rsid w:val="002B3475"/>
    <w:rsid w:val="002C1125"/>
    <w:rsid w:val="002D0E18"/>
    <w:rsid w:val="002D1A74"/>
    <w:rsid w:val="002D4DB1"/>
    <w:rsid w:val="002D5283"/>
    <w:rsid w:val="002D6E9B"/>
    <w:rsid w:val="002D7F3C"/>
    <w:rsid w:val="002E0588"/>
    <w:rsid w:val="002E34CA"/>
    <w:rsid w:val="002E4F4E"/>
    <w:rsid w:val="002F0B75"/>
    <w:rsid w:val="002F0D02"/>
    <w:rsid w:val="002F4466"/>
    <w:rsid w:val="002F4E3E"/>
    <w:rsid w:val="002F6A46"/>
    <w:rsid w:val="00302101"/>
    <w:rsid w:val="003023BA"/>
    <w:rsid w:val="00305765"/>
    <w:rsid w:val="00305B7F"/>
    <w:rsid w:val="00311555"/>
    <w:rsid w:val="00321274"/>
    <w:rsid w:val="00321A35"/>
    <w:rsid w:val="003273A2"/>
    <w:rsid w:val="00332DA2"/>
    <w:rsid w:val="00333558"/>
    <w:rsid w:val="00335B6B"/>
    <w:rsid w:val="00336FC2"/>
    <w:rsid w:val="0034170F"/>
    <w:rsid w:val="00354E4F"/>
    <w:rsid w:val="0036198A"/>
    <w:rsid w:val="00372B50"/>
    <w:rsid w:val="00380E13"/>
    <w:rsid w:val="003923BE"/>
    <w:rsid w:val="00394FBD"/>
    <w:rsid w:val="003A480C"/>
    <w:rsid w:val="003A511E"/>
    <w:rsid w:val="003C3BE9"/>
    <w:rsid w:val="003C4D91"/>
    <w:rsid w:val="003C66B4"/>
    <w:rsid w:val="003C7879"/>
    <w:rsid w:val="003D035A"/>
    <w:rsid w:val="003D18FA"/>
    <w:rsid w:val="003D1C18"/>
    <w:rsid w:val="003D3D70"/>
    <w:rsid w:val="003D77B6"/>
    <w:rsid w:val="003E1A17"/>
    <w:rsid w:val="003E629B"/>
    <w:rsid w:val="003E773A"/>
    <w:rsid w:val="003F5F2C"/>
    <w:rsid w:val="00407005"/>
    <w:rsid w:val="004119E8"/>
    <w:rsid w:val="00416F57"/>
    <w:rsid w:val="004202BF"/>
    <w:rsid w:val="00422543"/>
    <w:rsid w:val="00443FAE"/>
    <w:rsid w:val="00445BFA"/>
    <w:rsid w:val="0045116D"/>
    <w:rsid w:val="004519F4"/>
    <w:rsid w:val="00455D32"/>
    <w:rsid w:val="00460A01"/>
    <w:rsid w:val="00463690"/>
    <w:rsid w:val="00470B44"/>
    <w:rsid w:val="004710D9"/>
    <w:rsid w:val="004765A7"/>
    <w:rsid w:val="00477A9E"/>
    <w:rsid w:val="00481077"/>
    <w:rsid w:val="00487F93"/>
    <w:rsid w:val="004A37C0"/>
    <w:rsid w:val="004C4696"/>
    <w:rsid w:val="004E140B"/>
    <w:rsid w:val="004E1B5A"/>
    <w:rsid w:val="004E593B"/>
    <w:rsid w:val="00504426"/>
    <w:rsid w:val="00520D8C"/>
    <w:rsid w:val="00523CEB"/>
    <w:rsid w:val="00525C9A"/>
    <w:rsid w:val="00531FDB"/>
    <w:rsid w:val="005353AC"/>
    <w:rsid w:val="0053557C"/>
    <w:rsid w:val="005357B0"/>
    <w:rsid w:val="005407E5"/>
    <w:rsid w:val="005415E5"/>
    <w:rsid w:val="0054241A"/>
    <w:rsid w:val="00546BE8"/>
    <w:rsid w:val="005518E0"/>
    <w:rsid w:val="00553F55"/>
    <w:rsid w:val="0055602F"/>
    <w:rsid w:val="00557569"/>
    <w:rsid w:val="00561DF6"/>
    <w:rsid w:val="00566FF7"/>
    <w:rsid w:val="0057398B"/>
    <w:rsid w:val="00592F8E"/>
    <w:rsid w:val="00597FA7"/>
    <w:rsid w:val="005A319D"/>
    <w:rsid w:val="005A40F7"/>
    <w:rsid w:val="005A79CE"/>
    <w:rsid w:val="005B0BD2"/>
    <w:rsid w:val="005B67B7"/>
    <w:rsid w:val="005C2479"/>
    <w:rsid w:val="005C2DAF"/>
    <w:rsid w:val="005D190F"/>
    <w:rsid w:val="005E6933"/>
    <w:rsid w:val="005E6FDB"/>
    <w:rsid w:val="005F3FD1"/>
    <w:rsid w:val="005F5F16"/>
    <w:rsid w:val="00602D33"/>
    <w:rsid w:val="006065C1"/>
    <w:rsid w:val="00612530"/>
    <w:rsid w:val="00615DFE"/>
    <w:rsid w:val="00620041"/>
    <w:rsid w:val="00623FF3"/>
    <w:rsid w:val="00625DC3"/>
    <w:rsid w:val="00625E05"/>
    <w:rsid w:val="00632762"/>
    <w:rsid w:val="00636603"/>
    <w:rsid w:val="00640B65"/>
    <w:rsid w:val="006473B9"/>
    <w:rsid w:val="00647D67"/>
    <w:rsid w:val="00652088"/>
    <w:rsid w:val="00656F32"/>
    <w:rsid w:val="00664408"/>
    <w:rsid w:val="00665607"/>
    <w:rsid w:val="00667C13"/>
    <w:rsid w:val="006778CB"/>
    <w:rsid w:val="00684C70"/>
    <w:rsid w:val="00690EDE"/>
    <w:rsid w:val="00694019"/>
    <w:rsid w:val="0069552C"/>
    <w:rsid w:val="006970EF"/>
    <w:rsid w:val="00697D7B"/>
    <w:rsid w:val="006A2E63"/>
    <w:rsid w:val="006B6667"/>
    <w:rsid w:val="006D0F0E"/>
    <w:rsid w:val="006D2D8F"/>
    <w:rsid w:val="006E0397"/>
    <w:rsid w:val="006E73A9"/>
    <w:rsid w:val="00703507"/>
    <w:rsid w:val="00703CCD"/>
    <w:rsid w:val="00706360"/>
    <w:rsid w:val="0070665B"/>
    <w:rsid w:val="00710182"/>
    <w:rsid w:val="00711CB6"/>
    <w:rsid w:val="00721075"/>
    <w:rsid w:val="007216F8"/>
    <w:rsid w:val="00721B5F"/>
    <w:rsid w:val="00731E0F"/>
    <w:rsid w:val="00732077"/>
    <w:rsid w:val="00732B38"/>
    <w:rsid w:val="00741784"/>
    <w:rsid w:val="00743232"/>
    <w:rsid w:val="007433B5"/>
    <w:rsid w:val="00751792"/>
    <w:rsid w:val="007532AC"/>
    <w:rsid w:val="00761361"/>
    <w:rsid w:val="0076150B"/>
    <w:rsid w:val="00771C52"/>
    <w:rsid w:val="007744EF"/>
    <w:rsid w:val="00775DFD"/>
    <w:rsid w:val="00782931"/>
    <w:rsid w:val="00791286"/>
    <w:rsid w:val="0079686B"/>
    <w:rsid w:val="007B0785"/>
    <w:rsid w:val="007B0E83"/>
    <w:rsid w:val="007B1986"/>
    <w:rsid w:val="007B3815"/>
    <w:rsid w:val="007B6373"/>
    <w:rsid w:val="007C183F"/>
    <w:rsid w:val="007C55D8"/>
    <w:rsid w:val="007C5738"/>
    <w:rsid w:val="007D184E"/>
    <w:rsid w:val="007D292C"/>
    <w:rsid w:val="007E0F1B"/>
    <w:rsid w:val="007E4458"/>
    <w:rsid w:val="007F1BEB"/>
    <w:rsid w:val="007F24FB"/>
    <w:rsid w:val="008005DB"/>
    <w:rsid w:val="0080352D"/>
    <w:rsid w:val="00803C6A"/>
    <w:rsid w:val="008221E8"/>
    <w:rsid w:val="008332C3"/>
    <w:rsid w:val="00842C50"/>
    <w:rsid w:val="00844093"/>
    <w:rsid w:val="00854552"/>
    <w:rsid w:val="00856036"/>
    <w:rsid w:val="00866EDB"/>
    <w:rsid w:val="0087128F"/>
    <w:rsid w:val="00877FB7"/>
    <w:rsid w:val="00881E61"/>
    <w:rsid w:val="00886530"/>
    <w:rsid w:val="008868B9"/>
    <w:rsid w:val="00887224"/>
    <w:rsid w:val="008978EE"/>
    <w:rsid w:val="008A28F8"/>
    <w:rsid w:val="008B23B8"/>
    <w:rsid w:val="008B6EDA"/>
    <w:rsid w:val="008C212F"/>
    <w:rsid w:val="008C2D69"/>
    <w:rsid w:val="008C77A9"/>
    <w:rsid w:val="008E12FA"/>
    <w:rsid w:val="008F06CD"/>
    <w:rsid w:val="008F5B5F"/>
    <w:rsid w:val="009016D2"/>
    <w:rsid w:val="009048F5"/>
    <w:rsid w:val="00907E64"/>
    <w:rsid w:val="0091268D"/>
    <w:rsid w:val="009142CB"/>
    <w:rsid w:val="00915084"/>
    <w:rsid w:val="00920EF2"/>
    <w:rsid w:val="009236E7"/>
    <w:rsid w:val="00926AE3"/>
    <w:rsid w:val="00930461"/>
    <w:rsid w:val="00934F6D"/>
    <w:rsid w:val="0093540E"/>
    <w:rsid w:val="009368C6"/>
    <w:rsid w:val="0093796A"/>
    <w:rsid w:val="0094010A"/>
    <w:rsid w:val="00941F5F"/>
    <w:rsid w:val="00946148"/>
    <w:rsid w:val="0095577B"/>
    <w:rsid w:val="009577F4"/>
    <w:rsid w:val="00963828"/>
    <w:rsid w:val="00963860"/>
    <w:rsid w:val="009679BA"/>
    <w:rsid w:val="00973100"/>
    <w:rsid w:val="00974719"/>
    <w:rsid w:val="00983C2C"/>
    <w:rsid w:val="00990568"/>
    <w:rsid w:val="009940CB"/>
    <w:rsid w:val="009945DB"/>
    <w:rsid w:val="00997262"/>
    <w:rsid w:val="009A0077"/>
    <w:rsid w:val="009A270E"/>
    <w:rsid w:val="009A509C"/>
    <w:rsid w:val="009A6F49"/>
    <w:rsid w:val="009A7BCB"/>
    <w:rsid w:val="009B0074"/>
    <w:rsid w:val="009C0E1A"/>
    <w:rsid w:val="009C14C9"/>
    <w:rsid w:val="009C5427"/>
    <w:rsid w:val="009D70B9"/>
    <w:rsid w:val="009E1423"/>
    <w:rsid w:val="009E3F8C"/>
    <w:rsid w:val="00A060A0"/>
    <w:rsid w:val="00A16557"/>
    <w:rsid w:val="00A2297B"/>
    <w:rsid w:val="00A26188"/>
    <w:rsid w:val="00A36324"/>
    <w:rsid w:val="00A436E0"/>
    <w:rsid w:val="00A4431F"/>
    <w:rsid w:val="00A50299"/>
    <w:rsid w:val="00A55135"/>
    <w:rsid w:val="00A57C32"/>
    <w:rsid w:val="00A64486"/>
    <w:rsid w:val="00A711FF"/>
    <w:rsid w:val="00A77BC9"/>
    <w:rsid w:val="00A87931"/>
    <w:rsid w:val="00A9356B"/>
    <w:rsid w:val="00AA2231"/>
    <w:rsid w:val="00AA3994"/>
    <w:rsid w:val="00AB05F6"/>
    <w:rsid w:val="00AB22D8"/>
    <w:rsid w:val="00AB53FF"/>
    <w:rsid w:val="00AB7F41"/>
    <w:rsid w:val="00AC795B"/>
    <w:rsid w:val="00AC7A66"/>
    <w:rsid w:val="00AE0872"/>
    <w:rsid w:val="00AE5892"/>
    <w:rsid w:val="00AF56CF"/>
    <w:rsid w:val="00B00C31"/>
    <w:rsid w:val="00B028A4"/>
    <w:rsid w:val="00B07452"/>
    <w:rsid w:val="00B076C5"/>
    <w:rsid w:val="00B076EC"/>
    <w:rsid w:val="00B21572"/>
    <w:rsid w:val="00B25B24"/>
    <w:rsid w:val="00B33774"/>
    <w:rsid w:val="00B479EF"/>
    <w:rsid w:val="00B507D5"/>
    <w:rsid w:val="00B60913"/>
    <w:rsid w:val="00B62009"/>
    <w:rsid w:val="00B703E9"/>
    <w:rsid w:val="00B70E05"/>
    <w:rsid w:val="00B72A87"/>
    <w:rsid w:val="00BA2D10"/>
    <w:rsid w:val="00BB43F6"/>
    <w:rsid w:val="00BC49CD"/>
    <w:rsid w:val="00BD166C"/>
    <w:rsid w:val="00BD4DF7"/>
    <w:rsid w:val="00BE2D37"/>
    <w:rsid w:val="00BF03B1"/>
    <w:rsid w:val="00BF1548"/>
    <w:rsid w:val="00C05734"/>
    <w:rsid w:val="00C0649C"/>
    <w:rsid w:val="00C10875"/>
    <w:rsid w:val="00C11874"/>
    <w:rsid w:val="00C11B8B"/>
    <w:rsid w:val="00C12605"/>
    <w:rsid w:val="00C21034"/>
    <w:rsid w:val="00C22C7F"/>
    <w:rsid w:val="00C242BA"/>
    <w:rsid w:val="00C24384"/>
    <w:rsid w:val="00C24DA6"/>
    <w:rsid w:val="00C35382"/>
    <w:rsid w:val="00C41948"/>
    <w:rsid w:val="00C41EA2"/>
    <w:rsid w:val="00C55F8D"/>
    <w:rsid w:val="00C6063B"/>
    <w:rsid w:val="00C62203"/>
    <w:rsid w:val="00C63990"/>
    <w:rsid w:val="00C66C98"/>
    <w:rsid w:val="00C80A82"/>
    <w:rsid w:val="00C943F5"/>
    <w:rsid w:val="00C973FC"/>
    <w:rsid w:val="00CA6F2B"/>
    <w:rsid w:val="00CA723B"/>
    <w:rsid w:val="00CB2A94"/>
    <w:rsid w:val="00CB67D8"/>
    <w:rsid w:val="00CC3EE2"/>
    <w:rsid w:val="00CC4073"/>
    <w:rsid w:val="00CC4A68"/>
    <w:rsid w:val="00CD2DD5"/>
    <w:rsid w:val="00CD3CDF"/>
    <w:rsid w:val="00CD5CE5"/>
    <w:rsid w:val="00CE2B9D"/>
    <w:rsid w:val="00CE3BF3"/>
    <w:rsid w:val="00CF1CC6"/>
    <w:rsid w:val="00D02361"/>
    <w:rsid w:val="00D023C1"/>
    <w:rsid w:val="00D075A9"/>
    <w:rsid w:val="00D13054"/>
    <w:rsid w:val="00D150F0"/>
    <w:rsid w:val="00D17C1F"/>
    <w:rsid w:val="00D3350F"/>
    <w:rsid w:val="00D33B93"/>
    <w:rsid w:val="00D33C98"/>
    <w:rsid w:val="00D4013B"/>
    <w:rsid w:val="00D437DD"/>
    <w:rsid w:val="00D43D2C"/>
    <w:rsid w:val="00D50087"/>
    <w:rsid w:val="00D50A80"/>
    <w:rsid w:val="00D519AE"/>
    <w:rsid w:val="00D538F3"/>
    <w:rsid w:val="00D53E32"/>
    <w:rsid w:val="00D5439F"/>
    <w:rsid w:val="00D560C3"/>
    <w:rsid w:val="00D57F8F"/>
    <w:rsid w:val="00D6164F"/>
    <w:rsid w:val="00D6502C"/>
    <w:rsid w:val="00D717E7"/>
    <w:rsid w:val="00D74D5A"/>
    <w:rsid w:val="00D82803"/>
    <w:rsid w:val="00D83AEA"/>
    <w:rsid w:val="00D87119"/>
    <w:rsid w:val="00D90DD5"/>
    <w:rsid w:val="00DA1365"/>
    <w:rsid w:val="00DA24AE"/>
    <w:rsid w:val="00DA25DC"/>
    <w:rsid w:val="00DA6664"/>
    <w:rsid w:val="00DB4DEA"/>
    <w:rsid w:val="00DB652C"/>
    <w:rsid w:val="00DB6D16"/>
    <w:rsid w:val="00DC4277"/>
    <w:rsid w:val="00DC4B0F"/>
    <w:rsid w:val="00DC4B9B"/>
    <w:rsid w:val="00DD091B"/>
    <w:rsid w:val="00DD3C8F"/>
    <w:rsid w:val="00DD3E87"/>
    <w:rsid w:val="00DD4767"/>
    <w:rsid w:val="00DE57ED"/>
    <w:rsid w:val="00DE77C3"/>
    <w:rsid w:val="00DE7EE7"/>
    <w:rsid w:val="00DF3F4B"/>
    <w:rsid w:val="00DF65AA"/>
    <w:rsid w:val="00E01F8E"/>
    <w:rsid w:val="00E025A1"/>
    <w:rsid w:val="00E02ECB"/>
    <w:rsid w:val="00E07C03"/>
    <w:rsid w:val="00E11FF4"/>
    <w:rsid w:val="00E15B97"/>
    <w:rsid w:val="00E234CD"/>
    <w:rsid w:val="00E2618C"/>
    <w:rsid w:val="00E41396"/>
    <w:rsid w:val="00E427B5"/>
    <w:rsid w:val="00E438DB"/>
    <w:rsid w:val="00E44C6F"/>
    <w:rsid w:val="00E4684F"/>
    <w:rsid w:val="00E50C0B"/>
    <w:rsid w:val="00E60003"/>
    <w:rsid w:val="00E62D34"/>
    <w:rsid w:val="00E7032D"/>
    <w:rsid w:val="00E740C1"/>
    <w:rsid w:val="00E87D28"/>
    <w:rsid w:val="00E969EC"/>
    <w:rsid w:val="00EA1ECF"/>
    <w:rsid w:val="00EA490C"/>
    <w:rsid w:val="00EA5579"/>
    <w:rsid w:val="00EB5159"/>
    <w:rsid w:val="00EC078E"/>
    <w:rsid w:val="00EF776A"/>
    <w:rsid w:val="00F00B40"/>
    <w:rsid w:val="00F00D82"/>
    <w:rsid w:val="00F02572"/>
    <w:rsid w:val="00F1434B"/>
    <w:rsid w:val="00F235B3"/>
    <w:rsid w:val="00F247EB"/>
    <w:rsid w:val="00F25E90"/>
    <w:rsid w:val="00F30A1A"/>
    <w:rsid w:val="00F31AE2"/>
    <w:rsid w:val="00F3235A"/>
    <w:rsid w:val="00F33454"/>
    <w:rsid w:val="00F337A3"/>
    <w:rsid w:val="00F33AC1"/>
    <w:rsid w:val="00F422C9"/>
    <w:rsid w:val="00F442AE"/>
    <w:rsid w:val="00F563FC"/>
    <w:rsid w:val="00F615BE"/>
    <w:rsid w:val="00F6284D"/>
    <w:rsid w:val="00F660D0"/>
    <w:rsid w:val="00F67111"/>
    <w:rsid w:val="00F759BA"/>
    <w:rsid w:val="00F812E2"/>
    <w:rsid w:val="00F81C9F"/>
    <w:rsid w:val="00F94FE5"/>
    <w:rsid w:val="00F95E0B"/>
    <w:rsid w:val="00FA6F8F"/>
    <w:rsid w:val="00FA77F4"/>
    <w:rsid w:val="00FB6537"/>
    <w:rsid w:val="00FB7096"/>
    <w:rsid w:val="00FB72B1"/>
    <w:rsid w:val="00FD2A89"/>
    <w:rsid w:val="00FD5A2B"/>
    <w:rsid w:val="00FE20D1"/>
    <w:rsid w:val="00FE2EF1"/>
    <w:rsid w:val="00FF7648"/>
    <w:rsid w:val="06D9060A"/>
    <w:rsid w:val="091C32AD"/>
    <w:rsid w:val="0951632B"/>
    <w:rsid w:val="0EF91712"/>
    <w:rsid w:val="0EFA0684"/>
    <w:rsid w:val="14330F58"/>
    <w:rsid w:val="20707130"/>
    <w:rsid w:val="23ED3621"/>
    <w:rsid w:val="2B1222C7"/>
    <w:rsid w:val="3A927CE0"/>
    <w:rsid w:val="3FB52AE4"/>
    <w:rsid w:val="43F35C35"/>
    <w:rsid w:val="43FC0CC5"/>
    <w:rsid w:val="61B12641"/>
    <w:rsid w:val="715D25BB"/>
    <w:rsid w:val="769E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jc w:val="center"/>
    </w:pPr>
    <w:rPr>
      <w:rFonts w:ascii="华文中宋" w:eastAsia="华文中宋"/>
      <w:b/>
      <w:bCs/>
      <w:sz w:val="44"/>
      <w:szCs w:val="24"/>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qFormat/>
    <w:uiPriority w:val="0"/>
    <w:rPr>
      <w:rFonts w:ascii="Calibri" w:hAnsi="Calibri" w:eastAsia="宋体" w:cs="Times New Roman"/>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方正仿宋_GBK" w:cs="宋体"/>
      <w:kern w:val="0"/>
      <w:sz w:val="24"/>
      <w:szCs w:val="32"/>
    </w:rPr>
  </w:style>
  <w:style w:type="character" w:styleId="11">
    <w:name w:val="page number"/>
    <w:basedOn w:val="10"/>
    <w:autoRedefine/>
    <w:qFormat/>
    <w:uiPriority w:val="0"/>
  </w:style>
  <w:style w:type="character" w:customStyle="1" w:styleId="12">
    <w:name w:val="页眉 Char"/>
    <w:basedOn w:val="10"/>
    <w:link w:val="7"/>
    <w:qFormat/>
    <w:uiPriority w:val="0"/>
    <w:rPr>
      <w:sz w:val="18"/>
      <w:szCs w:val="18"/>
    </w:rPr>
  </w:style>
  <w:style w:type="character" w:customStyle="1" w:styleId="13">
    <w:name w:val="页脚 Char"/>
    <w:basedOn w:val="10"/>
    <w:link w:val="6"/>
    <w:qFormat/>
    <w:uiPriority w:val="99"/>
    <w:rPr>
      <w:sz w:val="18"/>
      <w:szCs w:val="18"/>
    </w:rPr>
  </w:style>
  <w:style w:type="character" w:customStyle="1" w:styleId="14">
    <w:name w:val="日期 Char"/>
    <w:basedOn w:val="10"/>
    <w:link w:val="4"/>
    <w:semiHidden/>
    <w:qFormat/>
    <w:uiPriority w:val="99"/>
  </w:style>
  <w:style w:type="character" w:customStyle="1" w:styleId="15">
    <w:name w:val="批注框文本 Char"/>
    <w:basedOn w:val="10"/>
    <w:link w:val="5"/>
    <w:autoRedefine/>
    <w:qFormat/>
    <w:uiPriority w:val="0"/>
    <w:rPr>
      <w:rFonts w:ascii="Calibri" w:hAnsi="Calibri" w:eastAsia="宋体" w:cs="Times New Roman"/>
      <w:sz w:val="18"/>
      <w:szCs w:val="18"/>
    </w:rPr>
  </w:style>
  <w:style w:type="character" w:customStyle="1" w:styleId="16">
    <w:name w:val="正文文本 Char"/>
    <w:basedOn w:val="10"/>
    <w:link w:val="3"/>
    <w:qFormat/>
    <w:uiPriority w:val="0"/>
    <w:rPr>
      <w:rFonts w:ascii="华文中宋" w:eastAsia="华文中宋"/>
      <w:b/>
      <w:bCs/>
      <w:sz w:val="44"/>
      <w:szCs w:val="24"/>
    </w:rPr>
  </w:style>
  <w:style w:type="character" w:customStyle="1" w:styleId="17">
    <w:name w:val="正文文本 Char1"/>
    <w:basedOn w:val="10"/>
    <w:link w:val="3"/>
    <w:semiHidden/>
    <w:qFormat/>
    <w:uiPriority w:val="99"/>
  </w:style>
  <w:style w:type="character" w:customStyle="1" w:styleId="18">
    <w:name w:val="标题 1 Char"/>
    <w:basedOn w:val="10"/>
    <w:link w:val="2"/>
    <w:qFormat/>
    <w:uiPriority w:val="99"/>
    <w:rPr>
      <w:rFonts w:ascii="宋体" w:hAnsi="宋体" w:cs="宋体"/>
      <w:b/>
      <w:bCs/>
      <w:kern w:val="36"/>
      <w:sz w:val="48"/>
      <w:szCs w:val="4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D100A-9077-4E3E-8F3C-469FE3DC4A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37261</Words>
  <Characters>38619</Characters>
  <Lines>465</Lines>
  <Paragraphs>130</Paragraphs>
  <TotalTime>1956</TotalTime>
  <ScaleCrop>false</ScaleCrop>
  <LinksUpToDate>false</LinksUpToDate>
  <CharactersWithSpaces>38648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2020-03-27T01:41:00Z</dcterms:created>
  <dc:creator>张冲</dc:creator>
  <cp:lastModifiedBy>彼岸花开七色天</cp:lastModifiedBy>
  <cp:lastPrinted>2020-04-22T01:26:00Z</cp:lastPrinted>
  <dcterms:modified xsi:type="dcterms:W3CDTF">2024-12-31T01:48:39Z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607080840_btnclosed</vt:lpwstr>
  </property>
  <property fmtid="{D5CDD505-2E9C-101B-9397-08002B2CF9AE}" pid="4" name="ICV">
    <vt:lpwstr>84C6D5F28EF34E768D16910A77A6DC82_12</vt:lpwstr>
  </property>
  <property fmtid="{D5CDD505-2E9C-101B-9397-08002B2CF9AE}" pid="5" name="KSOTemplateDocerSaveRecord">
    <vt:lpwstr>eyJoZGlkIjoiOWM5YjhiNTFjNDEzMDUxZTY3YWU1OTkzNWUyY2E3NTMiLCJ1c2VySWQiOiI3MjM2MTUzNTcifQ==</vt:lpwstr>
  </property>
</Properties>
</file>