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A9CF8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0"/>
        <w:rPr>
          <w:rFonts w:hint="eastAsia" w:ascii="Times New Roman" w:hAnsi="Times New Roman" w:eastAsia="方正小标宋_GBK" w:cs="Times New Roman"/>
          <w:b w:val="0"/>
          <w:bCs w:val="0"/>
          <w:snapToGrid w:val="0"/>
          <w:color w:val="auto"/>
          <w:spacing w:val="0"/>
          <w:kern w:val="0"/>
          <w:sz w:val="44"/>
          <w:szCs w:val="44"/>
          <w:lang w:val="en-US" w:eastAsia="zh-CN"/>
        </w:rPr>
      </w:pPr>
      <w:bookmarkStart w:id="40" w:name="_GoBack"/>
      <w:bookmarkEnd w:id="40"/>
    </w:p>
    <w:p w14:paraId="7A5C382A">
      <w:pPr>
        <w:keepNext w:val="0"/>
        <w:keepLines w:val="0"/>
        <w:pageBreakBefore w:val="0"/>
        <w:kinsoku/>
        <w:wordWrap/>
        <w:overflowPunct/>
        <w:topLinePunct w:val="0"/>
        <w:autoSpaceDE/>
        <w:autoSpaceDN/>
        <w:bidi w:val="0"/>
        <w:adjustRightInd/>
        <w:snapToGrid w:val="0"/>
        <w:spacing w:line="560" w:lineRule="exact"/>
        <w:jc w:val="center"/>
        <w:textAlignment w:val="auto"/>
        <w:outlineLvl w:val="0"/>
        <w:rPr>
          <w:rFonts w:hint="eastAsia" w:ascii="Times New Roman" w:hAnsi="Times New Roman" w:eastAsia="方正小标宋_GBK" w:cs="Times New Roman"/>
          <w:b w:val="0"/>
          <w:bCs w:val="0"/>
          <w:snapToGrid w:val="0"/>
          <w:color w:val="auto"/>
          <w:spacing w:val="0"/>
          <w:kern w:val="0"/>
          <w:sz w:val="44"/>
          <w:szCs w:val="44"/>
          <w:lang w:eastAsia="zh-CN"/>
        </w:rPr>
      </w:pPr>
      <w:r>
        <w:rPr>
          <w:rFonts w:hint="eastAsia" w:ascii="Times New Roman" w:hAnsi="Times New Roman" w:eastAsia="方正小标宋_GBK" w:cs="Times New Roman"/>
          <w:b w:val="0"/>
          <w:bCs w:val="0"/>
          <w:snapToGrid w:val="0"/>
          <w:color w:val="auto"/>
          <w:spacing w:val="0"/>
          <w:kern w:val="0"/>
          <w:sz w:val="44"/>
          <w:szCs w:val="44"/>
          <w:lang w:val="en-US" w:eastAsia="zh-CN"/>
        </w:rPr>
        <w:t>城口县人民政府</w:t>
      </w:r>
      <w:r>
        <w:rPr>
          <w:rFonts w:hint="default" w:ascii="Times New Roman" w:hAnsi="Times New Roman" w:eastAsia="方正小标宋_GBK" w:cs="Times New Roman"/>
          <w:b w:val="0"/>
          <w:bCs w:val="0"/>
          <w:snapToGrid w:val="0"/>
          <w:color w:val="auto"/>
          <w:spacing w:val="0"/>
          <w:kern w:val="0"/>
          <w:sz w:val="44"/>
          <w:szCs w:val="44"/>
          <w:lang w:val="en-US" w:eastAsia="zh-CN"/>
        </w:rPr>
        <w:t>关于</w:t>
      </w:r>
    </w:p>
    <w:p w14:paraId="566E235A">
      <w:pPr>
        <w:keepNext w:val="0"/>
        <w:keepLines w:val="0"/>
        <w:pageBreakBefore w:val="0"/>
        <w:kinsoku/>
        <w:wordWrap/>
        <w:overflowPunct/>
        <w:topLinePunct w:val="0"/>
        <w:autoSpaceDE/>
        <w:autoSpaceDN/>
        <w:bidi w:val="0"/>
        <w:adjustRightInd/>
        <w:snapToGrid w:val="0"/>
        <w:spacing w:line="560" w:lineRule="exact"/>
        <w:jc w:val="center"/>
        <w:textAlignment w:val="auto"/>
        <w:outlineLvl w:val="0"/>
        <w:rPr>
          <w:rFonts w:hint="default" w:ascii="Times New Roman" w:hAnsi="Times New Roman" w:eastAsia="方正小标宋_GBK" w:cs="Times New Roman"/>
          <w:b w:val="0"/>
          <w:bCs w:val="0"/>
          <w:snapToGrid w:val="0"/>
          <w:color w:val="auto"/>
          <w:spacing w:val="0"/>
          <w:kern w:val="0"/>
          <w:sz w:val="44"/>
          <w:szCs w:val="44"/>
          <w:lang w:val="en-US" w:eastAsia="zh-CN"/>
        </w:rPr>
      </w:pPr>
      <w:r>
        <w:rPr>
          <w:rFonts w:hint="default" w:ascii="Times New Roman" w:hAnsi="Times New Roman" w:eastAsia="方正小标宋_GBK" w:cs="Times New Roman"/>
          <w:b w:val="0"/>
          <w:bCs w:val="0"/>
          <w:snapToGrid w:val="0"/>
          <w:color w:val="auto"/>
          <w:spacing w:val="0"/>
          <w:kern w:val="0"/>
          <w:sz w:val="44"/>
          <w:szCs w:val="44"/>
          <w:lang w:val="en-US" w:eastAsia="zh-CN"/>
        </w:rPr>
        <w:t>同意《城口县禁止开垦陡坡地划定成果</w:t>
      </w:r>
    </w:p>
    <w:p w14:paraId="3516A905">
      <w:pPr>
        <w:keepNext w:val="0"/>
        <w:keepLines w:val="0"/>
        <w:pageBreakBefore w:val="0"/>
        <w:kinsoku/>
        <w:wordWrap/>
        <w:overflowPunct/>
        <w:topLinePunct w:val="0"/>
        <w:autoSpaceDE/>
        <w:autoSpaceDN/>
        <w:bidi w:val="0"/>
        <w:adjustRightInd/>
        <w:snapToGrid w:val="0"/>
        <w:spacing w:line="560" w:lineRule="exact"/>
        <w:jc w:val="center"/>
        <w:textAlignment w:val="auto"/>
        <w:outlineLvl w:val="0"/>
        <w:rPr>
          <w:rFonts w:hint="eastAsia" w:ascii="Times New Roman" w:hAnsi="Times New Roman" w:eastAsia="方正小标宋_GBK" w:cs="Times New Roman"/>
          <w:b w:val="0"/>
          <w:bCs w:val="0"/>
          <w:snapToGrid w:val="0"/>
          <w:color w:val="auto"/>
          <w:spacing w:val="0"/>
          <w:kern w:val="0"/>
          <w:sz w:val="44"/>
          <w:szCs w:val="44"/>
          <w:lang w:eastAsia="zh-CN"/>
        </w:rPr>
      </w:pPr>
      <w:r>
        <w:rPr>
          <w:rFonts w:hint="default" w:ascii="Times New Roman" w:hAnsi="Times New Roman" w:eastAsia="方正小标宋_GBK" w:cs="Times New Roman"/>
          <w:b w:val="0"/>
          <w:bCs w:val="0"/>
          <w:snapToGrid w:val="0"/>
          <w:color w:val="auto"/>
          <w:spacing w:val="0"/>
          <w:kern w:val="0"/>
          <w:sz w:val="44"/>
          <w:szCs w:val="44"/>
          <w:lang w:val="en-US" w:eastAsia="zh-CN"/>
        </w:rPr>
        <w:t>报告》的批复</w:t>
      </w:r>
    </w:p>
    <w:p w14:paraId="61E1F91E">
      <w:pPr>
        <w:keepNext w:val="0"/>
        <w:keepLines w:val="0"/>
        <w:pageBreakBefore w:val="0"/>
        <w:kinsoku/>
        <w:wordWrap/>
        <w:overflowPunct/>
        <w:topLinePunct w:val="0"/>
        <w:autoSpaceDE/>
        <w:autoSpaceDN/>
        <w:bidi w:val="0"/>
        <w:adjustRightInd/>
        <w:snapToGrid w:val="0"/>
        <w:spacing w:line="560" w:lineRule="exact"/>
        <w:jc w:val="center"/>
        <w:textAlignment w:val="auto"/>
        <w:outlineLvl w:val="0"/>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城府〔2025〕</w:t>
      </w:r>
      <w:r>
        <w:rPr>
          <w:rFonts w:hint="default" w:ascii="Times New Roman" w:hAnsi="Times New Roman" w:eastAsia="方正仿宋_GBK" w:cs="Times New Roman"/>
          <w:sz w:val="32"/>
          <w:szCs w:val="32"/>
          <w:lang w:eastAsia="zh-CN"/>
        </w:rPr>
        <w:t>16</w:t>
      </w:r>
      <w:r>
        <w:rPr>
          <w:rFonts w:hint="eastAsia" w:ascii="Times New Roman" w:hAnsi="Times New Roman" w:eastAsia="方正仿宋_GBK" w:cs="Times New Roman"/>
          <w:sz w:val="32"/>
          <w:szCs w:val="32"/>
          <w:lang w:eastAsia="zh-CN"/>
        </w:rPr>
        <w:t>号</w:t>
      </w:r>
    </w:p>
    <w:p w14:paraId="4A73C71C">
      <w:pPr>
        <w:pStyle w:val="2"/>
        <w:rPr>
          <w:lang w:val="en-US" w:eastAsia="zh-CN"/>
        </w:rPr>
      </w:pPr>
    </w:p>
    <w:p w14:paraId="1E2F6DC2">
      <w:pPr>
        <w:keepNext w:val="0"/>
        <w:keepLines w:val="0"/>
        <w:pageBreakBefore w:val="0"/>
        <w:widowControl/>
        <w:suppressLineNumbers w:val="0"/>
        <w:kinsoku/>
        <w:wordWrap/>
        <w:overflowPunct/>
        <w:topLinePunct w:val="0"/>
        <w:autoSpaceDE/>
        <w:autoSpaceDN/>
        <w:bidi w:val="0"/>
        <w:adjustRightInd/>
        <w:spacing w:line="560" w:lineRule="exact"/>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县水利局、县规划和自然资源局：</w:t>
      </w:r>
    </w:p>
    <w:p w14:paraId="39089D4D">
      <w:pPr>
        <w:keepNext w:val="0"/>
        <w:keepLines w:val="0"/>
        <w:pageBreakBefore w:val="0"/>
        <w:widowControl/>
        <w:suppressLineNumbers w:val="0"/>
        <w:kinsoku/>
        <w:wordWrap/>
        <w:overflowPunct/>
        <w:topLinePunct w:val="0"/>
        <w:autoSpaceDE/>
        <w:autoSpaceDN/>
        <w:bidi w:val="0"/>
        <w:adjustRightIn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你们《城口县禁止开垦陡坡地划定成果报告》（城水利文〔2025〕15号）收悉。经县人民政府决定，原则同意你们提出的《城口县禁止开垦陡坡地划定成果报告》，请认真组织实施。并向社会公告。</w:t>
      </w:r>
    </w:p>
    <w:p w14:paraId="5A634855">
      <w:pPr>
        <w:keepNext w:val="0"/>
        <w:keepLines w:val="0"/>
        <w:pageBreakBefore w:val="0"/>
        <w:widowControl/>
        <w:suppressLineNumbers w:val="0"/>
        <w:kinsoku/>
        <w:wordWrap/>
        <w:overflowPunct/>
        <w:topLinePunct w:val="0"/>
        <w:autoSpaceDE/>
        <w:autoSpaceDN/>
        <w:bidi w:val="0"/>
        <w:adjustRightInd/>
        <w:spacing w:line="560" w:lineRule="exact"/>
        <w:ind w:firstLine="620" w:firstLineChars="200"/>
        <w:jc w:val="left"/>
        <w:textAlignment w:val="auto"/>
        <w:rPr>
          <w:rFonts w:hint="default" w:ascii="Times New Roman" w:hAnsi="Times New Roman" w:eastAsia="方正仿宋_GBK" w:cs="Times New Roman"/>
        </w:rPr>
      </w:pPr>
      <w:r>
        <w:rPr>
          <w:rFonts w:hint="default" w:ascii="Times New Roman" w:hAnsi="Times New Roman" w:eastAsia="方正仿宋_GBK" w:cs="Times New Roman"/>
          <w:color w:val="000000"/>
          <w:kern w:val="0"/>
          <w:sz w:val="31"/>
          <w:szCs w:val="31"/>
          <w:lang w:val="en-US" w:eastAsia="zh-CN" w:bidi="ar"/>
        </w:rPr>
        <w:t xml:space="preserve">此复 </w:t>
      </w:r>
    </w:p>
    <w:p w14:paraId="2E374787">
      <w:pPr>
        <w:keepNext w:val="0"/>
        <w:keepLines w:val="0"/>
        <w:pageBreakBefore w:val="0"/>
        <w:widowControl/>
        <w:suppressLineNumbers w:val="0"/>
        <w:kinsoku/>
        <w:wordWrap/>
        <w:overflowPunct/>
        <w:topLinePunct w:val="0"/>
        <w:autoSpaceDE/>
        <w:autoSpaceDN/>
        <w:bidi w:val="0"/>
        <w:adjustRightInd/>
        <w:spacing w:line="560" w:lineRule="exact"/>
        <w:jc w:val="left"/>
        <w:textAlignment w:val="auto"/>
        <w:rPr>
          <w:rFonts w:hint="default" w:ascii="Times New Roman" w:hAnsi="Times New Roman" w:eastAsia="方正仿宋_GBK" w:cs="Times New Roman"/>
          <w:color w:val="000000"/>
          <w:kern w:val="0"/>
          <w:sz w:val="31"/>
          <w:szCs w:val="31"/>
          <w:lang w:val="en-US" w:eastAsia="zh-CN" w:bidi="ar"/>
        </w:rPr>
      </w:pPr>
    </w:p>
    <w:p w14:paraId="0F69C656">
      <w:pPr>
        <w:keepNext w:val="0"/>
        <w:keepLines w:val="0"/>
        <w:pageBreakBefore w:val="0"/>
        <w:widowControl/>
        <w:suppressLineNumbers w:val="0"/>
        <w:kinsoku/>
        <w:wordWrap/>
        <w:overflowPunct/>
        <w:topLinePunct w:val="0"/>
        <w:autoSpaceDE/>
        <w:autoSpaceDN/>
        <w:bidi w:val="0"/>
        <w:adjustRightInd/>
        <w:spacing w:line="560" w:lineRule="exact"/>
        <w:ind w:firstLine="620" w:firstLineChars="200"/>
        <w:jc w:val="left"/>
        <w:textAlignment w:val="auto"/>
        <w:rPr>
          <w:rFonts w:hint="eastAsia"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附件：</w:t>
      </w:r>
      <w:r>
        <w:rPr>
          <w:rFonts w:hint="eastAsia" w:ascii="Times New Roman" w:hAnsi="Times New Roman" w:eastAsia="方正仿宋_GBK" w:cs="Times New Roman"/>
          <w:color w:val="000000"/>
          <w:kern w:val="0"/>
          <w:sz w:val="31"/>
          <w:szCs w:val="31"/>
          <w:lang w:val="en-US" w:eastAsia="zh-CN" w:bidi="ar"/>
        </w:rPr>
        <w:t>城口县禁止开垦陡坡地范围划定技术报告</w:t>
      </w:r>
    </w:p>
    <w:p w14:paraId="6D7A7915">
      <w:pPr>
        <w:keepNext w:val="0"/>
        <w:keepLines w:val="0"/>
        <w:pageBreakBefore w:val="0"/>
        <w:widowControl/>
        <w:suppressLineNumbers w:val="0"/>
        <w:kinsoku/>
        <w:wordWrap/>
        <w:overflowPunct/>
        <w:topLinePunct w:val="0"/>
        <w:autoSpaceDE/>
        <w:autoSpaceDN/>
        <w:bidi w:val="0"/>
        <w:adjustRightInd/>
        <w:spacing w:line="560" w:lineRule="exact"/>
        <w:ind w:firstLine="930" w:firstLineChars="300"/>
        <w:jc w:val="left"/>
        <w:textAlignment w:val="auto"/>
      </w:pPr>
      <w:r>
        <w:rPr>
          <w:rFonts w:hint="default" w:ascii="Times New Roman" w:hAnsi="Times New Roman" w:eastAsia="方正仿宋_GBK" w:cs="Times New Roman"/>
          <w:color w:val="000000"/>
          <w:kern w:val="0"/>
          <w:sz w:val="31"/>
          <w:szCs w:val="31"/>
          <w:lang w:val="en-US" w:eastAsia="zh-CN" w:bidi="ar"/>
        </w:rPr>
        <w:t xml:space="preserve"> </w:t>
      </w:r>
    </w:p>
    <w:p w14:paraId="093C1644">
      <w:pPr>
        <w:keepNext w:val="0"/>
        <w:keepLines w:val="0"/>
        <w:pageBreakBefore w:val="0"/>
        <w:widowControl/>
        <w:suppressLineNumbers w:val="0"/>
        <w:kinsoku/>
        <w:wordWrap/>
        <w:overflowPunct/>
        <w:topLinePunct w:val="0"/>
        <w:autoSpaceDE/>
        <w:autoSpaceDN/>
        <w:bidi w:val="0"/>
        <w:adjustRightInd/>
        <w:spacing w:line="560" w:lineRule="exact"/>
        <w:jc w:val="right"/>
        <w:textAlignment w:val="auto"/>
        <w:rPr>
          <w:rFonts w:hint="default" w:ascii="方正仿宋_GBK-WinCharSetFFFF-H" w:hAnsi="方正仿宋_GBK-WinCharSetFFFF-H" w:eastAsia="方正仿宋_GBK-WinCharSetFFFF-H" w:cs="方正仿宋_GBK-WinCharSetFFFF-H"/>
          <w:color w:val="000000"/>
          <w:kern w:val="0"/>
          <w:sz w:val="31"/>
          <w:szCs w:val="31"/>
          <w:lang w:val="en-US" w:eastAsia="zh-CN" w:bidi="ar"/>
        </w:rPr>
      </w:pPr>
    </w:p>
    <w:p w14:paraId="1E9CC0BD">
      <w:pPr>
        <w:keepNext w:val="0"/>
        <w:keepLines w:val="0"/>
        <w:pageBreakBefore w:val="0"/>
        <w:widowControl/>
        <w:suppressLineNumbers w:val="0"/>
        <w:kinsoku/>
        <w:wordWrap/>
        <w:overflowPunct/>
        <w:topLinePunct w:val="0"/>
        <w:autoSpaceDE/>
        <w:autoSpaceDN/>
        <w:bidi w:val="0"/>
        <w:adjustRightInd/>
        <w:spacing w:line="560" w:lineRule="exact"/>
        <w:jc w:val="right"/>
        <w:textAlignment w:val="auto"/>
        <w:rPr>
          <w:rFonts w:hint="default" w:ascii="方正仿宋_GBK-WinCharSetFFFF-H" w:hAnsi="方正仿宋_GBK-WinCharSetFFFF-H" w:eastAsia="方正仿宋_GBK-WinCharSetFFFF-H" w:cs="方正仿宋_GBK-WinCharSetFFFF-H"/>
          <w:color w:val="000000"/>
          <w:kern w:val="0"/>
          <w:sz w:val="31"/>
          <w:szCs w:val="31"/>
          <w:lang w:val="en-US" w:eastAsia="zh-CN" w:bidi="ar"/>
        </w:rPr>
      </w:pPr>
    </w:p>
    <w:p w14:paraId="0B3D507C">
      <w:pPr>
        <w:keepNext w:val="0"/>
        <w:keepLines w:val="0"/>
        <w:pageBreakBefore w:val="0"/>
        <w:widowControl/>
        <w:suppressLineNumbers w:val="0"/>
        <w:kinsoku/>
        <w:wordWrap/>
        <w:overflowPunct/>
        <w:topLinePunct w:val="0"/>
        <w:autoSpaceDE/>
        <w:autoSpaceDN/>
        <w:bidi w:val="0"/>
        <w:adjustRightInd/>
        <w:snapToGrid w:val="0"/>
        <w:spacing w:line="560" w:lineRule="exact"/>
        <w:jc w:val="center"/>
        <w:textAlignment w:val="auto"/>
      </w:pPr>
      <w:r>
        <w:rPr>
          <w:rFonts w:hint="eastAsia" w:ascii="方正仿宋_GBK-WinCharSetFFFF-H" w:hAnsi="方正仿宋_GBK-WinCharSetFFFF-H" w:eastAsia="方正仿宋_GBK-WinCharSetFFFF-H" w:cs="方正仿宋_GBK-WinCharSetFFFF-H"/>
          <w:color w:val="000000"/>
          <w:kern w:val="0"/>
          <w:sz w:val="31"/>
          <w:szCs w:val="31"/>
          <w:lang w:val="en-US" w:eastAsia="zh-CN" w:bidi="ar"/>
        </w:rPr>
        <w:t xml:space="preserve">                          </w:t>
      </w:r>
      <w:r>
        <w:rPr>
          <w:rFonts w:hint="default" w:ascii="方正仿宋_GBK-WinCharSetFFFF-H" w:hAnsi="方正仿宋_GBK-WinCharSetFFFF-H" w:eastAsia="方正仿宋_GBK-WinCharSetFFFF-H" w:cs="方正仿宋_GBK-WinCharSetFFFF-H"/>
          <w:color w:val="000000"/>
          <w:kern w:val="0"/>
          <w:sz w:val="31"/>
          <w:szCs w:val="31"/>
          <w:lang w:val="en-US" w:eastAsia="zh-CN" w:bidi="ar"/>
        </w:rPr>
        <w:t>城口县人民政府</w:t>
      </w:r>
    </w:p>
    <w:p w14:paraId="72087CC0">
      <w:pPr>
        <w:keepNext w:val="0"/>
        <w:keepLines w:val="0"/>
        <w:pageBreakBefore w:val="0"/>
        <w:widowControl/>
        <w:suppressLineNumbers w:val="0"/>
        <w:kinsoku/>
        <w:wordWrap/>
        <w:overflowPunct/>
        <w:topLinePunct w:val="0"/>
        <w:autoSpaceDE/>
        <w:autoSpaceDN/>
        <w:bidi w:val="0"/>
        <w:adjustRightInd/>
        <w:snapToGrid w:val="0"/>
        <w:spacing w:line="560" w:lineRule="exact"/>
        <w:jc w:val="center"/>
        <w:textAlignment w:val="auto"/>
        <w:rPr>
          <w:rFonts w:hint="default" w:ascii="方正仿宋_GBK-WinCharSetFFFF-H" w:hAnsi="方正仿宋_GBK-WinCharSetFFFF-H" w:eastAsia="方正仿宋_GBK-WinCharSetFFFF-H" w:cs="方正仿宋_GBK-WinCharSetFFFF-H"/>
          <w:color w:val="000000"/>
          <w:kern w:val="0"/>
          <w:sz w:val="31"/>
          <w:szCs w:val="31"/>
          <w:lang w:val="en-US" w:eastAsia="zh-CN" w:bidi="ar"/>
        </w:rPr>
      </w:pPr>
      <w:r>
        <w:rPr>
          <w:rFonts w:hint="eastAsia" w:ascii="Times-Roman" w:hAnsi="Times-Roman" w:eastAsia="Times-Roman" w:cs="Times-Roman"/>
          <w:color w:val="000000"/>
          <w:kern w:val="0"/>
          <w:sz w:val="31"/>
          <w:szCs w:val="31"/>
          <w:lang w:val="en-US" w:eastAsia="zh-CN" w:bidi="ar"/>
        </w:rPr>
        <w:t xml:space="preserve">                                         </w:t>
      </w:r>
      <w:r>
        <w:rPr>
          <w:rFonts w:hint="default" w:ascii="Times-Roman" w:hAnsi="Times-Roman" w:eastAsia="Times-Roman" w:cs="Times-Roman"/>
          <w:color w:val="000000"/>
          <w:kern w:val="0"/>
          <w:sz w:val="31"/>
          <w:szCs w:val="31"/>
          <w:lang w:val="en-US" w:eastAsia="zh-CN" w:bidi="ar"/>
        </w:rPr>
        <w:t>202</w:t>
      </w:r>
      <w:r>
        <w:rPr>
          <w:rFonts w:hint="eastAsia" w:ascii="Times-Roman" w:hAnsi="Times-Roman" w:eastAsia="Times-Roman" w:cs="Times-Roman"/>
          <w:color w:val="000000"/>
          <w:kern w:val="0"/>
          <w:sz w:val="31"/>
          <w:szCs w:val="31"/>
          <w:lang w:val="en-US" w:eastAsia="zh-CN" w:bidi="ar"/>
        </w:rPr>
        <w:t>5</w:t>
      </w:r>
      <w:r>
        <w:rPr>
          <w:rFonts w:hint="default" w:ascii="方正仿宋_GBK-WinCharSetFFFF-H" w:hAnsi="方正仿宋_GBK-WinCharSetFFFF-H" w:eastAsia="方正仿宋_GBK-WinCharSetFFFF-H" w:cs="方正仿宋_GBK-WinCharSetFFFF-H"/>
          <w:color w:val="000000"/>
          <w:kern w:val="0"/>
          <w:sz w:val="31"/>
          <w:szCs w:val="31"/>
          <w:lang w:val="en-US" w:eastAsia="zh-CN" w:bidi="ar"/>
        </w:rPr>
        <w:t>年</w:t>
      </w:r>
      <w:r>
        <w:rPr>
          <w:rFonts w:hint="eastAsia" w:ascii="Times-Roman" w:hAnsi="Times-Roman" w:eastAsia="Times-Roman" w:cs="Times-Roman"/>
          <w:color w:val="000000"/>
          <w:kern w:val="0"/>
          <w:sz w:val="31"/>
          <w:szCs w:val="31"/>
          <w:lang w:val="en-US" w:eastAsia="zh-CN" w:bidi="ar"/>
        </w:rPr>
        <w:t>3</w:t>
      </w:r>
      <w:r>
        <w:rPr>
          <w:rFonts w:hint="default" w:ascii="方正仿宋_GBK-WinCharSetFFFF-H" w:hAnsi="方正仿宋_GBK-WinCharSetFFFF-H" w:eastAsia="方正仿宋_GBK-WinCharSetFFFF-H" w:cs="方正仿宋_GBK-WinCharSetFFFF-H"/>
          <w:color w:val="000000"/>
          <w:kern w:val="0"/>
          <w:sz w:val="31"/>
          <w:szCs w:val="31"/>
          <w:lang w:val="en-US" w:eastAsia="zh-CN" w:bidi="ar"/>
        </w:rPr>
        <w:t>月</w:t>
      </w:r>
      <w:r>
        <w:rPr>
          <w:rFonts w:hint="eastAsia" w:ascii="Times-Roman" w:hAnsi="Times-Roman" w:eastAsia="Times-Roman" w:cs="Times-Roman"/>
          <w:color w:val="000000"/>
          <w:kern w:val="0"/>
          <w:sz w:val="31"/>
          <w:szCs w:val="31"/>
          <w:lang w:val="en-US" w:eastAsia="zh-CN" w:bidi="ar"/>
        </w:rPr>
        <w:t>20</w:t>
      </w:r>
      <w:r>
        <w:rPr>
          <w:rFonts w:hint="default" w:ascii="方正仿宋_GBK-WinCharSetFFFF-H" w:hAnsi="方正仿宋_GBK-WinCharSetFFFF-H" w:eastAsia="方正仿宋_GBK-WinCharSetFFFF-H" w:cs="方正仿宋_GBK-WinCharSetFFFF-H"/>
          <w:color w:val="000000"/>
          <w:kern w:val="0"/>
          <w:sz w:val="31"/>
          <w:szCs w:val="31"/>
          <w:lang w:val="en-US" w:eastAsia="zh-CN" w:bidi="ar"/>
        </w:rPr>
        <w:t>日</w:t>
      </w:r>
    </w:p>
    <w:p w14:paraId="6B9F5110">
      <w:pPr>
        <w:pStyle w:val="2"/>
        <w:keepNext w:val="0"/>
        <w:keepLines w:val="0"/>
        <w:pageBreakBefore w:val="0"/>
        <w:widowControl/>
        <w:kinsoku w:val="0"/>
        <w:wordWrap/>
        <w:overflowPunct/>
        <w:topLinePunct w:val="0"/>
        <w:autoSpaceDE w:val="0"/>
        <w:autoSpaceDN w:val="0"/>
        <w:bidi w:val="0"/>
        <w:adjustRightInd w:val="0"/>
        <w:snapToGrid w:val="0"/>
        <w:spacing w:line="560" w:lineRule="exact"/>
        <w:ind w:firstLine="620" w:firstLineChars="200"/>
        <w:textAlignment w:val="baseline"/>
        <w:rPr>
          <w:rFonts w:hint="default"/>
          <w:lang w:val="en-US" w:eastAsia="zh-CN"/>
        </w:rPr>
      </w:pPr>
      <w:r>
        <w:rPr>
          <w:rFonts w:hint="eastAsia" w:ascii="方正仿宋_GBK-WinCharSetFFFF-H" w:hAnsi="方正仿宋_GBK-WinCharSetFFFF-H" w:eastAsia="方正仿宋_GBK-WinCharSetFFFF-H" w:cs="方正仿宋_GBK-WinCharSetFFFF-H"/>
          <w:color w:val="000000"/>
          <w:kern w:val="0"/>
          <w:sz w:val="31"/>
          <w:szCs w:val="31"/>
          <w:lang w:val="en-US" w:eastAsia="zh-CN" w:bidi="ar"/>
        </w:rPr>
        <w:t>（此件公开发布）</w:t>
      </w:r>
    </w:p>
    <w:p w14:paraId="66024B44">
      <w:pPr>
        <w:keepNext w:val="0"/>
        <w:keepLines w:val="0"/>
        <w:pageBreakBefore w:val="0"/>
        <w:widowControl/>
        <w:kinsoku/>
        <w:wordWrap/>
        <w:overflowPunct/>
        <w:topLinePunct w:val="0"/>
        <w:autoSpaceDE w:val="0"/>
        <w:autoSpaceDN w:val="0"/>
        <w:bidi w:val="0"/>
        <w:adjustRightInd w:val="0"/>
        <w:snapToGrid w:val="0"/>
        <w:spacing w:line="247" w:lineRule="auto"/>
        <w:jc w:val="both"/>
        <w:rPr>
          <w:rFonts w:ascii="Arial"/>
          <w:sz w:val="21"/>
        </w:rPr>
      </w:pPr>
    </w:p>
    <w:p w14:paraId="13395BF0">
      <w:pPr>
        <w:pStyle w:val="2"/>
        <w:rPr>
          <w:rFonts w:ascii="Arial"/>
          <w:sz w:val="21"/>
        </w:rPr>
      </w:pPr>
    </w:p>
    <w:p w14:paraId="1019C5D6">
      <w:pPr>
        <w:pStyle w:val="2"/>
        <w:rPr>
          <w:rFonts w:ascii="Arial"/>
          <w:sz w:val="21"/>
        </w:rPr>
      </w:pPr>
    </w:p>
    <w:p w14:paraId="05CBB1BA">
      <w:pPr>
        <w:keepNext w:val="0"/>
        <w:keepLines w:val="0"/>
        <w:pageBreakBefore w:val="0"/>
        <w:widowControl/>
        <w:kinsoku/>
        <w:wordWrap/>
        <w:overflowPunct/>
        <w:topLinePunct w:val="0"/>
        <w:autoSpaceDE w:val="0"/>
        <w:autoSpaceDN w:val="0"/>
        <w:bidi w:val="0"/>
        <w:adjustRightInd w:val="0"/>
        <w:snapToGrid w:val="0"/>
        <w:spacing w:line="247" w:lineRule="auto"/>
        <w:jc w:val="both"/>
        <w:rPr>
          <w:rFonts w:ascii="Arial"/>
          <w:sz w:val="21"/>
        </w:rPr>
      </w:pPr>
    </w:p>
    <w:p w14:paraId="459470EC">
      <w:pPr>
        <w:keepNext w:val="0"/>
        <w:keepLines w:val="0"/>
        <w:pageBreakBefore w:val="0"/>
        <w:widowControl/>
        <w:kinsoku/>
        <w:wordWrap/>
        <w:overflowPunct/>
        <w:topLinePunct w:val="0"/>
        <w:autoSpaceDE w:val="0"/>
        <w:autoSpaceDN w:val="0"/>
        <w:bidi w:val="0"/>
        <w:adjustRightInd w:val="0"/>
        <w:snapToGrid w:val="0"/>
        <w:spacing w:line="247" w:lineRule="auto"/>
        <w:jc w:val="both"/>
        <w:rPr>
          <w:rFonts w:ascii="Arial"/>
          <w:sz w:val="21"/>
        </w:rPr>
      </w:pPr>
    </w:p>
    <w:p w14:paraId="46A8910F">
      <w:pPr>
        <w:keepNext w:val="0"/>
        <w:keepLines w:val="0"/>
        <w:pageBreakBefore w:val="0"/>
        <w:widowControl/>
        <w:kinsoku/>
        <w:wordWrap/>
        <w:overflowPunct/>
        <w:topLinePunct w:val="0"/>
        <w:autoSpaceDE w:val="0"/>
        <w:autoSpaceDN w:val="0"/>
        <w:bidi w:val="0"/>
        <w:adjustRightInd w:val="0"/>
        <w:snapToGrid w:val="0"/>
        <w:spacing w:line="247" w:lineRule="auto"/>
        <w:jc w:val="both"/>
        <w:rPr>
          <w:rFonts w:ascii="Arial"/>
          <w:sz w:val="21"/>
        </w:rPr>
      </w:pPr>
    </w:p>
    <w:p w14:paraId="4D288A46">
      <w:pPr>
        <w:keepNext w:val="0"/>
        <w:keepLines w:val="0"/>
        <w:pageBreakBefore w:val="0"/>
        <w:widowControl/>
        <w:kinsoku/>
        <w:wordWrap/>
        <w:overflowPunct/>
        <w:topLinePunct w:val="0"/>
        <w:autoSpaceDE w:val="0"/>
        <w:autoSpaceDN w:val="0"/>
        <w:bidi w:val="0"/>
        <w:adjustRightInd w:val="0"/>
        <w:snapToGrid w:val="0"/>
        <w:spacing w:line="247" w:lineRule="auto"/>
        <w:jc w:val="both"/>
        <w:rPr>
          <w:rFonts w:ascii="Arial"/>
          <w:sz w:val="21"/>
        </w:rPr>
      </w:pPr>
    </w:p>
    <w:p w14:paraId="0C929BF3">
      <w:pPr>
        <w:pStyle w:val="2"/>
      </w:pPr>
    </w:p>
    <w:p w14:paraId="2EBCB76B">
      <w:pPr>
        <w:keepNext w:val="0"/>
        <w:keepLines w:val="0"/>
        <w:pageBreakBefore w:val="0"/>
        <w:widowControl/>
        <w:kinsoku/>
        <w:wordWrap/>
        <w:overflowPunct/>
        <w:topLinePunct w:val="0"/>
        <w:autoSpaceDE w:val="0"/>
        <w:autoSpaceDN w:val="0"/>
        <w:bidi w:val="0"/>
        <w:adjustRightInd w:val="0"/>
        <w:snapToGrid w:val="0"/>
        <w:spacing w:line="247" w:lineRule="auto"/>
        <w:jc w:val="both"/>
        <w:rPr>
          <w:rFonts w:ascii="Arial"/>
          <w:sz w:val="21"/>
        </w:rPr>
      </w:pPr>
    </w:p>
    <w:p w14:paraId="7FAAF87D">
      <w:pPr>
        <w:keepNext w:val="0"/>
        <w:keepLines w:val="0"/>
        <w:pageBreakBefore w:val="0"/>
        <w:widowControl/>
        <w:kinsoku/>
        <w:wordWrap/>
        <w:overflowPunct/>
        <w:topLinePunct w:val="0"/>
        <w:autoSpaceDE w:val="0"/>
        <w:autoSpaceDN w:val="0"/>
        <w:bidi w:val="0"/>
        <w:adjustRightInd w:val="0"/>
        <w:snapToGrid w:val="0"/>
        <w:spacing w:line="247" w:lineRule="auto"/>
        <w:jc w:val="both"/>
        <w:rPr>
          <w:rFonts w:ascii="Arial"/>
          <w:sz w:val="21"/>
        </w:rPr>
      </w:pPr>
    </w:p>
    <w:p w14:paraId="2938BB37">
      <w:pPr>
        <w:keepNext w:val="0"/>
        <w:keepLines w:val="0"/>
        <w:pageBreakBefore w:val="0"/>
        <w:widowControl/>
        <w:kinsoku/>
        <w:wordWrap/>
        <w:overflowPunct/>
        <w:topLinePunct w:val="0"/>
        <w:autoSpaceDE w:val="0"/>
        <w:autoSpaceDN w:val="0"/>
        <w:bidi w:val="0"/>
        <w:adjustRightInd w:val="0"/>
        <w:snapToGrid w:val="0"/>
        <w:spacing w:line="247" w:lineRule="auto"/>
        <w:jc w:val="both"/>
        <w:rPr>
          <w:rFonts w:ascii="Arial"/>
          <w:sz w:val="21"/>
        </w:rPr>
      </w:pPr>
    </w:p>
    <w:p w14:paraId="1D90C005">
      <w:pPr>
        <w:keepNext w:val="0"/>
        <w:keepLines w:val="0"/>
        <w:pageBreakBefore w:val="0"/>
        <w:widowControl/>
        <w:kinsoku/>
        <w:wordWrap/>
        <w:overflowPunct/>
        <w:topLinePunct w:val="0"/>
        <w:autoSpaceDE w:val="0"/>
        <w:autoSpaceDN w:val="0"/>
        <w:bidi w:val="0"/>
        <w:adjustRightInd w:val="0"/>
        <w:snapToGrid w:val="0"/>
        <w:spacing w:line="247" w:lineRule="auto"/>
        <w:jc w:val="both"/>
        <w:rPr>
          <w:rFonts w:ascii="Arial"/>
          <w:sz w:val="21"/>
        </w:rPr>
      </w:pPr>
    </w:p>
    <w:p w14:paraId="6587839C">
      <w:pPr>
        <w:keepNext w:val="0"/>
        <w:keepLines w:val="0"/>
        <w:pageBreakBefore w:val="0"/>
        <w:widowControl/>
        <w:kinsoku/>
        <w:wordWrap/>
        <w:overflowPunct/>
        <w:topLinePunct w:val="0"/>
        <w:autoSpaceDE w:val="0"/>
        <w:autoSpaceDN w:val="0"/>
        <w:bidi w:val="0"/>
        <w:adjustRightInd w:val="0"/>
        <w:snapToGrid w:val="0"/>
        <w:spacing w:line="248" w:lineRule="auto"/>
        <w:jc w:val="both"/>
        <w:rPr>
          <w:rFonts w:ascii="Arial"/>
          <w:sz w:val="21"/>
        </w:rPr>
      </w:pPr>
    </w:p>
    <w:p w14:paraId="5D14BCEA">
      <w:pPr>
        <w:widowControl w:val="0"/>
        <w:kinsoku/>
        <w:autoSpaceDE/>
        <w:autoSpaceDN/>
        <w:adjustRightInd/>
        <w:snapToGrid/>
        <w:spacing w:line="240" w:lineRule="auto"/>
        <w:jc w:val="center"/>
        <w:textAlignment w:val="auto"/>
        <w:outlineLvl w:val="9"/>
        <w:rPr>
          <w:rFonts w:hint="eastAsia" w:ascii="方正小标宋_GBK" w:hAnsi="方正小标宋_GBK" w:eastAsia="方正小标宋_GBK" w:cs="方正小标宋_GBK"/>
          <w:b w:val="0"/>
          <w:bCs/>
          <w:snapToGrid/>
          <w:kern w:val="2"/>
          <w:sz w:val="44"/>
          <w:szCs w:val="44"/>
          <w:lang w:val="en-US" w:eastAsia="zh-CN"/>
        </w:rPr>
      </w:pPr>
      <w:r>
        <w:rPr>
          <w:rFonts w:hint="eastAsia" w:ascii="方正小标宋_GBK" w:hAnsi="方正小标宋_GBK" w:eastAsia="方正小标宋_GBK" w:cs="方正小标宋_GBK"/>
          <w:b w:val="0"/>
          <w:bCs/>
          <w:snapToGrid/>
          <w:kern w:val="2"/>
          <w:sz w:val="44"/>
          <w:szCs w:val="44"/>
          <w:lang w:val="en-US" w:eastAsia="zh-CN"/>
        </w:rPr>
        <w:t>重庆市城口县禁止开垦陡坡地范围划定</w:t>
      </w:r>
    </w:p>
    <w:p w14:paraId="252E1ECC">
      <w:pPr>
        <w:widowControl w:val="0"/>
        <w:kinsoku/>
        <w:autoSpaceDE/>
        <w:autoSpaceDN/>
        <w:adjustRightInd/>
        <w:snapToGrid/>
        <w:spacing w:line="240" w:lineRule="auto"/>
        <w:jc w:val="center"/>
        <w:textAlignment w:val="auto"/>
        <w:rPr>
          <w:rFonts w:hint="eastAsia" w:ascii="方正小标宋_GBK" w:hAnsi="方正小标宋_GBK" w:eastAsia="方正小标宋_GBK" w:cs="方正小标宋_GBK"/>
          <w:b w:val="0"/>
          <w:bCs/>
          <w:snapToGrid/>
          <w:kern w:val="2"/>
          <w:sz w:val="44"/>
          <w:szCs w:val="44"/>
          <w:lang w:val="en-US" w:eastAsia="zh-CN"/>
        </w:rPr>
      </w:pPr>
      <w:r>
        <w:rPr>
          <w:rFonts w:hint="eastAsia" w:ascii="方正小标宋_GBK" w:hAnsi="方正小标宋_GBK" w:eastAsia="方正小标宋_GBK" w:cs="方正小标宋_GBK"/>
          <w:b w:val="0"/>
          <w:bCs/>
          <w:snapToGrid/>
          <w:kern w:val="2"/>
          <w:sz w:val="44"/>
          <w:szCs w:val="44"/>
          <w:lang w:val="en-US" w:eastAsia="zh-CN"/>
        </w:rPr>
        <w:t>技术报告</w:t>
      </w:r>
    </w:p>
    <w:p w14:paraId="0C277F59">
      <w:pPr>
        <w:pStyle w:val="2"/>
        <w:rPr>
          <w:rFonts w:hint="eastAsia"/>
          <w:lang w:val="en-US" w:eastAsia="zh-CN"/>
        </w:rPr>
      </w:pPr>
    </w:p>
    <w:p w14:paraId="11A24DBB">
      <w:pPr>
        <w:keepNext w:val="0"/>
        <w:keepLines w:val="0"/>
        <w:pageBreakBefore w:val="0"/>
        <w:widowControl/>
        <w:kinsoku/>
        <w:wordWrap/>
        <w:overflowPunct/>
        <w:topLinePunct w:val="0"/>
        <w:autoSpaceDE w:val="0"/>
        <w:autoSpaceDN w:val="0"/>
        <w:bidi w:val="0"/>
        <w:adjustRightInd w:val="0"/>
        <w:snapToGrid w:val="0"/>
        <w:spacing w:line="251" w:lineRule="auto"/>
        <w:jc w:val="both"/>
        <w:rPr>
          <w:rFonts w:hint="eastAsia" w:ascii="微软雅黑" w:hAnsi="微软雅黑" w:eastAsia="微软雅黑" w:cs="微软雅黑"/>
          <w:sz w:val="21"/>
          <w:lang w:val="en-US" w:eastAsia="zh-CN"/>
        </w:rPr>
      </w:pPr>
    </w:p>
    <w:p w14:paraId="150E0428">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77CE3775">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2D18100B">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51AEE686">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3EAD2E7C">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2FC1F031">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3F46403E">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1391BDF6">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77CBF97C">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3CF734B7">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06DBB304">
      <w:pPr>
        <w:keepNext w:val="0"/>
        <w:keepLines w:val="0"/>
        <w:pageBreakBefore w:val="0"/>
        <w:widowControl/>
        <w:kinsoku/>
        <w:wordWrap/>
        <w:overflowPunct/>
        <w:topLinePunct w:val="0"/>
        <w:autoSpaceDE w:val="0"/>
        <w:autoSpaceDN w:val="0"/>
        <w:bidi w:val="0"/>
        <w:adjustRightInd w:val="0"/>
        <w:snapToGrid w:val="0"/>
        <w:spacing w:line="251" w:lineRule="auto"/>
        <w:jc w:val="both"/>
        <w:rPr>
          <w:rFonts w:ascii="Arial"/>
          <w:sz w:val="21"/>
        </w:rPr>
      </w:pPr>
    </w:p>
    <w:p w14:paraId="2BB3C4DA">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5EB905A6">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7A2CFE9E">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48271435">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0F8ADCE1">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5C2BA786">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604E216A">
      <w:pPr>
        <w:pStyle w:val="2"/>
        <w:rPr>
          <w:rFonts w:ascii="Arial"/>
          <w:sz w:val="21"/>
        </w:rPr>
      </w:pPr>
    </w:p>
    <w:p w14:paraId="0286815E">
      <w:pPr>
        <w:pStyle w:val="2"/>
        <w:rPr>
          <w:rFonts w:ascii="Arial"/>
          <w:sz w:val="21"/>
        </w:rPr>
      </w:pPr>
    </w:p>
    <w:p w14:paraId="71CA5E70">
      <w:pPr>
        <w:pStyle w:val="2"/>
        <w:rPr>
          <w:rFonts w:ascii="Arial"/>
          <w:sz w:val="21"/>
        </w:rPr>
      </w:pPr>
    </w:p>
    <w:p w14:paraId="30330DFF">
      <w:pPr>
        <w:pStyle w:val="2"/>
        <w:rPr>
          <w:rFonts w:ascii="Arial"/>
          <w:sz w:val="21"/>
        </w:rPr>
      </w:pPr>
    </w:p>
    <w:p w14:paraId="395049F7">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6C458C6A">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0299ADA6">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2D96006C">
      <w:pPr>
        <w:pStyle w:val="2"/>
      </w:pPr>
    </w:p>
    <w:p w14:paraId="6B5B1119">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737F908E">
      <w:pPr>
        <w:keepNext w:val="0"/>
        <w:keepLines w:val="0"/>
        <w:pageBreakBefore w:val="0"/>
        <w:widowControl/>
        <w:kinsoku/>
        <w:wordWrap/>
        <w:overflowPunct/>
        <w:topLinePunct w:val="0"/>
        <w:autoSpaceDE w:val="0"/>
        <w:autoSpaceDN w:val="0"/>
        <w:bidi w:val="0"/>
        <w:adjustRightInd w:val="0"/>
        <w:snapToGrid w:val="0"/>
        <w:spacing w:line="252" w:lineRule="auto"/>
        <w:jc w:val="both"/>
        <w:rPr>
          <w:rFonts w:ascii="Arial"/>
          <w:sz w:val="21"/>
        </w:rPr>
      </w:pPr>
    </w:p>
    <w:p w14:paraId="6F4E4224">
      <w:pPr>
        <w:pStyle w:val="5"/>
        <w:keepNext w:val="0"/>
        <w:keepLines w:val="0"/>
        <w:pageBreakBefore w:val="0"/>
        <w:widowControl/>
        <w:kinsoku/>
        <w:wordWrap/>
        <w:overflowPunct/>
        <w:topLinePunct w:val="0"/>
        <w:autoSpaceDE w:val="0"/>
        <w:autoSpaceDN w:val="0"/>
        <w:bidi w:val="0"/>
        <w:adjustRightInd w:val="0"/>
        <w:snapToGrid w:val="0"/>
        <w:spacing w:before="91" w:line="219" w:lineRule="auto"/>
        <w:jc w:val="center"/>
        <w:outlineLvl w:val="9"/>
      </w:pPr>
      <w:r>
        <w:rPr>
          <w:spacing w:val="-10"/>
        </w:rPr>
        <w:t>重</w:t>
      </w:r>
      <w:r>
        <w:rPr>
          <w:spacing w:val="42"/>
        </w:rPr>
        <w:t xml:space="preserve"> </w:t>
      </w:r>
      <w:r>
        <w:rPr>
          <w:spacing w:val="-10"/>
        </w:rPr>
        <w:t>庆</w:t>
      </w:r>
      <w:r>
        <w:rPr>
          <w:spacing w:val="51"/>
        </w:rPr>
        <w:t xml:space="preserve"> </w:t>
      </w:r>
      <w:r>
        <w:rPr>
          <w:spacing w:val="-10"/>
        </w:rPr>
        <w:t>市</w:t>
      </w:r>
      <w:r>
        <w:rPr>
          <w:spacing w:val="50"/>
        </w:rPr>
        <w:t xml:space="preserve"> </w:t>
      </w:r>
      <w:r>
        <w:rPr>
          <w:rFonts w:hint="eastAsia"/>
          <w:spacing w:val="-10"/>
          <w:lang w:val="en-US" w:eastAsia="zh-CN"/>
        </w:rPr>
        <w:t>城</w:t>
      </w:r>
      <w:r>
        <w:rPr>
          <w:spacing w:val="44"/>
        </w:rPr>
        <w:t xml:space="preserve"> </w:t>
      </w:r>
      <w:r>
        <w:rPr>
          <w:rFonts w:hint="eastAsia"/>
          <w:spacing w:val="-10"/>
          <w:lang w:val="en-US" w:eastAsia="zh-CN"/>
        </w:rPr>
        <w:t>口</w:t>
      </w:r>
      <w:r>
        <w:rPr>
          <w:spacing w:val="67"/>
        </w:rPr>
        <w:t xml:space="preserve"> </w:t>
      </w:r>
      <w:r>
        <w:rPr>
          <w:rFonts w:hint="eastAsia"/>
          <w:spacing w:val="-10"/>
          <w:lang w:val="en-US" w:eastAsia="zh-CN"/>
        </w:rPr>
        <w:t>县</w:t>
      </w:r>
      <w:r>
        <w:rPr>
          <w:spacing w:val="47"/>
        </w:rPr>
        <w:t xml:space="preserve"> </w:t>
      </w:r>
      <w:r>
        <w:rPr>
          <w:spacing w:val="-10"/>
        </w:rPr>
        <w:t>水</w:t>
      </w:r>
      <w:r>
        <w:rPr>
          <w:spacing w:val="44"/>
        </w:rPr>
        <w:t xml:space="preserve"> </w:t>
      </w:r>
      <w:r>
        <w:rPr>
          <w:spacing w:val="-10"/>
        </w:rPr>
        <w:t>利</w:t>
      </w:r>
      <w:r>
        <w:rPr>
          <w:spacing w:val="50"/>
        </w:rPr>
        <w:t xml:space="preserve"> </w:t>
      </w:r>
      <w:r>
        <w:rPr>
          <w:spacing w:val="-10"/>
        </w:rPr>
        <w:t>局</w:t>
      </w:r>
    </w:p>
    <w:p w14:paraId="603D9EFA">
      <w:pPr>
        <w:pStyle w:val="5"/>
        <w:keepNext w:val="0"/>
        <w:keepLines w:val="0"/>
        <w:pageBreakBefore w:val="0"/>
        <w:widowControl/>
        <w:kinsoku/>
        <w:wordWrap/>
        <w:overflowPunct/>
        <w:topLinePunct w:val="0"/>
        <w:autoSpaceDE w:val="0"/>
        <w:autoSpaceDN w:val="0"/>
        <w:bidi w:val="0"/>
        <w:adjustRightInd w:val="0"/>
        <w:snapToGrid w:val="0"/>
        <w:spacing w:before="224" w:line="219" w:lineRule="auto"/>
        <w:jc w:val="center"/>
        <w:outlineLvl w:val="9"/>
      </w:pPr>
      <w:r>
        <w:rPr>
          <w:spacing w:val="-1"/>
        </w:rPr>
        <w:t>重庆市</w:t>
      </w:r>
      <w:r>
        <w:rPr>
          <w:rFonts w:hint="eastAsia"/>
          <w:spacing w:val="-1"/>
          <w:lang w:eastAsia="zh-CN"/>
        </w:rPr>
        <w:t>城口县</w:t>
      </w:r>
      <w:r>
        <w:rPr>
          <w:spacing w:val="-1"/>
        </w:rPr>
        <w:t>规划和自然资源局</w:t>
      </w:r>
    </w:p>
    <w:p w14:paraId="5DF1AD33">
      <w:pPr>
        <w:pStyle w:val="5"/>
        <w:keepNext w:val="0"/>
        <w:keepLines w:val="0"/>
        <w:pageBreakBefore w:val="0"/>
        <w:widowControl/>
        <w:kinsoku/>
        <w:wordWrap/>
        <w:overflowPunct/>
        <w:topLinePunct w:val="0"/>
        <w:autoSpaceDE w:val="0"/>
        <w:autoSpaceDN w:val="0"/>
        <w:bidi w:val="0"/>
        <w:adjustRightInd w:val="0"/>
        <w:snapToGrid w:val="0"/>
        <w:spacing w:before="92" w:line="220" w:lineRule="auto"/>
        <w:jc w:val="both"/>
        <w:rPr>
          <w:spacing w:val="-2"/>
        </w:rPr>
      </w:pPr>
    </w:p>
    <w:p w14:paraId="626DC42D">
      <w:pPr>
        <w:pStyle w:val="5"/>
        <w:keepNext w:val="0"/>
        <w:keepLines w:val="0"/>
        <w:pageBreakBefore w:val="0"/>
        <w:widowControl/>
        <w:kinsoku/>
        <w:wordWrap/>
        <w:overflowPunct/>
        <w:topLinePunct w:val="0"/>
        <w:autoSpaceDE w:val="0"/>
        <w:autoSpaceDN w:val="0"/>
        <w:bidi w:val="0"/>
        <w:adjustRightInd w:val="0"/>
        <w:snapToGrid w:val="0"/>
        <w:spacing w:before="92" w:line="220" w:lineRule="auto"/>
        <w:jc w:val="both"/>
        <w:rPr>
          <w:spacing w:val="-2"/>
        </w:rPr>
      </w:pPr>
    </w:p>
    <w:p w14:paraId="22E9802A">
      <w:pPr>
        <w:pStyle w:val="5"/>
        <w:keepNext w:val="0"/>
        <w:keepLines w:val="0"/>
        <w:pageBreakBefore w:val="0"/>
        <w:widowControl/>
        <w:kinsoku/>
        <w:wordWrap/>
        <w:overflowPunct/>
        <w:topLinePunct w:val="0"/>
        <w:autoSpaceDE w:val="0"/>
        <w:autoSpaceDN w:val="0"/>
        <w:bidi w:val="0"/>
        <w:adjustRightInd w:val="0"/>
        <w:snapToGrid w:val="0"/>
        <w:spacing w:before="92" w:line="220" w:lineRule="auto"/>
        <w:jc w:val="center"/>
        <w:rPr>
          <w:spacing w:val="-2"/>
        </w:rPr>
        <w:sectPr>
          <w:footerReference r:id="rId5" w:type="default"/>
          <w:pgSz w:w="11907" w:h="16839"/>
          <w:pgMar w:top="1440" w:right="1800" w:bottom="1440" w:left="1800" w:header="0" w:footer="0" w:gutter="0"/>
          <w:pgNumType w:fmt="decimal"/>
          <w:cols w:space="720" w:num="1"/>
        </w:sectPr>
      </w:pPr>
      <w:r>
        <w:rPr>
          <w:spacing w:val="-2"/>
        </w:rPr>
        <w:t>二〇二</w:t>
      </w:r>
      <w:r>
        <w:rPr>
          <w:rFonts w:hint="eastAsia"/>
          <w:spacing w:val="-2"/>
          <w:lang w:val="en-US" w:eastAsia="zh-CN"/>
        </w:rPr>
        <w:t>五</w:t>
      </w:r>
      <w:r>
        <w:rPr>
          <w:spacing w:val="-2"/>
        </w:rPr>
        <w:t>年</w:t>
      </w:r>
      <w:r>
        <w:rPr>
          <w:rFonts w:hint="eastAsia"/>
          <w:spacing w:val="-2"/>
          <w:lang w:val="en-US" w:eastAsia="zh-CN"/>
        </w:rPr>
        <w:t>三</w:t>
      </w:r>
      <w:r>
        <w:rPr>
          <w:spacing w:val="-2"/>
        </w:rPr>
        <w:t>月</w:t>
      </w:r>
    </w:p>
    <w:p w14:paraId="20C58094">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目录</w:t>
      </w:r>
    </w:p>
    <w:p w14:paraId="2671C478">
      <w:pPr>
        <w:pStyle w:val="10"/>
        <w:tabs>
          <w:tab w:val="right" w:leader="dot" w:pos="8307"/>
        </w:tabs>
        <w:spacing w:line="360" w:lineRule="auto"/>
        <w:rPr>
          <w:rFonts w:hint="eastAsia" w:ascii="仿宋" w:hAnsi="仿宋" w:eastAsia="仿宋" w:cs="仿宋"/>
          <w:b w:val="0"/>
          <w:bCs w:val="0"/>
          <w:sz w:val="21"/>
          <w:szCs w:val="21"/>
        </w:rPr>
      </w:pPr>
      <w:r>
        <w:rPr>
          <w:rFonts w:hint="eastAsia" w:ascii="仿宋" w:hAnsi="仿宋" w:eastAsia="仿宋" w:cs="仿宋"/>
          <w:b w:val="0"/>
          <w:bCs w:val="0"/>
          <w:sz w:val="22"/>
          <w:szCs w:val="22"/>
        </w:rPr>
        <w:fldChar w:fldCharType="begin"/>
      </w:r>
      <w:r>
        <w:rPr>
          <w:rFonts w:hint="eastAsia" w:ascii="仿宋" w:hAnsi="仿宋" w:eastAsia="仿宋" w:cs="仿宋"/>
          <w:b w:val="0"/>
          <w:bCs w:val="0"/>
          <w:sz w:val="22"/>
          <w:szCs w:val="22"/>
        </w:rPr>
        <w:instrText xml:space="preserve">TOC \o "1-3" \h \u </w:instrText>
      </w:r>
      <w:r>
        <w:rPr>
          <w:rFonts w:hint="eastAsia" w:ascii="仿宋" w:hAnsi="仿宋" w:eastAsia="仿宋" w:cs="仿宋"/>
          <w:b w:val="0"/>
          <w:bCs w:val="0"/>
          <w:sz w:val="22"/>
          <w:szCs w:val="22"/>
        </w:rPr>
        <w:fldChar w:fldCharType="separate"/>
      </w:r>
      <w:r>
        <w:rPr>
          <w:rFonts w:hint="eastAsia" w:ascii="黑体" w:hAnsi="黑体" w:eastAsia="黑体" w:cs="黑体"/>
          <w:b w:val="0"/>
          <w:bCs w:val="0"/>
          <w:sz w:val="21"/>
          <w:szCs w:val="24"/>
        </w:rPr>
        <w:fldChar w:fldCharType="begin"/>
      </w:r>
      <w:r>
        <w:rPr>
          <w:rFonts w:hint="eastAsia" w:ascii="黑体" w:hAnsi="黑体" w:eastAsia="黑体" w:cs="黑体"/>
          <w:b w:val="0"/>
          <w:bCs w:val="0"/>
          <w:sz w:val="21"/>
          <w:szCs w:val="24"/>
        </w:rPr>
        <w:instrText xml:space="preserve"> HYPERLINK \l _Toc17608 </w:instrText>
      </w:r>
      <w:r>
        <w:rPr>
          <w:rFonts w:hint="eastAsia" w:ascii="黑体" w:hAnsi="黑体" w:eastAsia="黑体" w:cs="黑体"/>
          <w:b w:val="0"/>
          <w:bCs w:val="0"/>
          <w:sz w:val="21"/>
          <w:szCs w:val="24"/>
        </w:rPr>
        <w:fldChar w:fldCharType="separate"/>
      </w:r>
      <w:r>
        <w:rPr>
          <w:rFonts w:hint="eastAsia" w:ascii="黑体" w:hAnsi="黑体" w:eastAsia="黑体" w:cs="黑体"/>
          <w:b w:val="0"/>
          <w:bCs w:val="0"/>
          <w:sz w:val="21"/>
          <w:szCs w:val="21"/>
          <w:lang w:eastAsia="zh-CN"/>
        </w:rPr>
        <w:t>前  言</w:t>
      </w:r>
      <w:r>
        <w:rPr>
          <w:rFonts w:hint="eastAsia" w:ascii="黑体" w:hAnsi="黑体" w:eastAsia="黑体" w:cs="黑体"/>
          <w:b/>
          <w:bCs/>
          <w:sz w:val="21"/>
          <w:szCs w:val="21"/>
        </w:rPr>
        <w:tab/>
      </w:r>
      <w:r>
        <w:rPr>
          <w:rFonts w:hint="eastAsia" w:ascii="黑体" w:hAnsi="黑体" w:eastAsia="黑体" w:cs="黑体"/>
          <w:b w:val="0"/>
          <w:bCs w:val="0"/>
          <w:sz w:val="21"/>
          <w:szCs w:val="21"/>
        </w:rPr>
        <w:fldChar w:fldCharType="begin"/>
      </w:r>
      <w:r>
        <w:rPr>
          <w:rFonts w:hint="eastAsia" w:ascii="黑体" w:hAnsi="黑体" w:eastAsia="黑体" w:cs="黑体"/>
          <w:b w:val="0"/>
          <w:bCs w:val="0"/>
          <w:sz w:val="21"/>
          <w:szCs w:val="21"/>
        </w:rPr>
        <w:instrText xml:space="preserve"> PAGEREF _Toc17608 \h </w:instrText>
      </w:r>
      <w:r>
        <w:rPr>
          <w:rFonts w:hint="eastAsia" w:ascii="黑体" w:hAnsi="黑体" w:eastAsia="黑体" w:cs="黑体"/>
          <w:b w:val="0"/>
          <w:bCs w:val="0"/>
          <w:sz w:val="21"/>
          <w:szCs w:val="21"/>
        </w:rPr>
        <w:fldChar w:fldCharType="separate"/>
      </w:r>
      <w:r>
        <w:rPr>
          <w:rFonts w:hint="eastAsia" w:ascii="黑体" w:hAnsi="黑体" w:eastAsia="黑体" w:cs="黑体"/>
          <w:b w:val="0"/>
          <w:bCs w:val="0"/>
          <w:sz w:val="21"/>
          <w:szCs w:val="21"/>
        </w:rPr>
        <w:t>1</w:t>
      </w:r>
      <w:r>
        <w:rPr>
          <w:rFonts w:hint="eastAsia" w:ascii="黑体" w:hAnsi="黑体" w:eastAsia="黑体" w:cs="黑体"/>
          <w:b w:val="0"/>
          <w:bCs w:val="0"/>
          <w:sz w:val="21"/>
          <w:szCs w:val="21"/>
        </w:rPr>
        <w:fldChar w:fldCharType="end"/>
      </w:r>
      <w:r>
        <w:rPr>
          <w:rFonts w:hint="eastAsia" w:ascii="黑体" w:hAnsi="黑体" w:eastAsia="黑体" w:cs="黑体"/>
          <w:b w:val="0"/>
          <w:bCs w:val="0"/>
          <w:sz w:val="21"/>
          <w:szCs w:val="24"/>
        </w:rPr>
        <w:fldChar w:fldCharType="end"/>
      </w:r>
    </w:p>
    <w:p w14:paraId="724FE55D">
      <w:pPr>
        <w:pStyle w:val="10"/>
        <w:tabs>
          <w:tab w:val="right" w:leader="dot" w:pos="8307"/>
        </w:tabs>
        <w:spacing w:line="360" w:lineRule="auto"/>
        <w:rPr>
          <w:rFonts w:hint="eastAsia" w:ascii="仿宋" w:hAnsi="仿宋" w:eastAsia="仿宋" w:cs="仿宋"/>
          <w:b w:val="0"/>
          <w:bCs w:val="0"/>
          <w:sz w:val="21"/>
          <w:szCs w:val="21"/>
        </w:rPr>
      </w:pPr>
      <w:r>
        <w:rPr>
          <w:rFonts w:hint="eastAsia" w:ascii="仿宋" w:hAnsi="仿宋" w:eastAsia="仿宋" w:cs="仿宋"/>
          <w:b w:val="0"/>
          <w:bCs w:val="0"/>
          <w:sz w:val="21"/>
          <w:szCs w:val="24"/>
        </w:rPr>
        <w:fldChar w:fldCharType="begin"/>
      </w:r>
      <w:r>
        <w:rPr>
          <w:rFonts w:hint="eastAsia" w:ascii="仿宋" w:hAnsi="仿宋" w:eastAsia="仿宋" w:cs="仿宋"/>
          <w:b w:val="0"/>
          <w:bCs w:val="0"/>
          <w:sz w:val="21"/>
          <w:szCs w:val="24"/>
        </w:rPr>
        <w:instrText xml:space="preserve"> HYPERLINK \l _Toc1701 </w:instrText>
      </w:r>
      <w:r>
        <w:rPr>
          <w:rFonts w:hint="eastAsia" w:ascii="仿宋" w:hAnsi="仿宋" w:eastAsia="仿宋" w:cs="仿宋"/>
          <w:b w:val="0"/>
          <w:bCs w:val="0"/>
          <w:sz w:val="21"/>
          <w:szCs w:val="24"/>
        </w:rPr>
        <w:fldChar w:fldCharType="separate"/>
      </w:r>
      <w:r>
        <w:rPr>
          <w:rFonts w:hint="eastAsia" w:ascii="黑体" w:hAnsi="黑体" w:eastAsia="黑体" w:cs="黑体"/>
          <w:b w:val="0"/>
          <w:bCs w:val="0"/>
          <w:sz w:val="21"/>
          <w:szCs w:val="24"/>
          <w:lang w:val="en-US" w:eastAsia="zh-CN"/>
        </w:rPr>
        <w:t>一、</w:t>
      </w:r>
      <w:r>
        <w:rPr>
          <w:rFonts w:hint="eastAsia" w:ascii="黑体" w:hAnsi="黑体" w:eastAsia="黑体" w:cs="黑体"/>
          <w:b w:val="0"/>
          <w:bCs w:val="0"/>
          <w:sz w:val="21"/>
          <w:szCs w:val="24"/>
          <w:lang w:eastAsia="zh-CN"/>
        </w:rPr>
        <w:t>基本概况</w:t>
      </w:r>
      <w:r>
        <w:rPr>
          <w:rFonts w:hint="eastAsia" w:ascii="仿宋" w:hAnsi="仿宋" w:eastAsia="仿宋" w:cs="仿宋"/>
          <w:b/>
          <w:bCs/>
          <w:sz w:val="21"/>
          <w:szCs w:val="21"/>
        </w:rPr>
        <w:tab/>
      </w:r>
      <w:r>
        <w:rPr>
          <w:rFonts w:hint="eastAsia" w:ascii="仿宋" w:hAnsi="仿宋" w:eastAsia="仿宋" w:cs="仿宋"/>
          <w:b/>
          <w:bCs/>
          <w:sz w:val="21"/>
          <w:szCs w:val="21"/>
        </w:rPr>
        <w:fldChar w:fldCharType="begin"/>
      </w:r>
      <w:r>
        <w:rPr>
          <w:rFonts w:hint="eastAsia" w:ascii="仿宋" w:hAnsi="仿宋" w:eastAsia="仿宋" w:cs="仿宋"/>
          <w:b/>
          <w:bCs/>
          <w:sz w:val="21"/>
          <w:szCs w:val="21"/>
        </w:rPr>
        <w:instrText xml:space="preserve"> PAGEREF _Toc1701 \h </w:instrText>
      </w:r>
      <w:r>
        <w:rPr>
          <w:rFonts w:hint="eastAsia" w:ascii="仿宋" w:hAnsi="仿宋" w:eastAsia="仿宋" w:cs="仿宋"/>
          <w:b/>
          <w:bCs/>
          <w:sz w:val="21"/>
          <w:szCs w:val="21"/>
        </w:rPr>
        <w:fldChar w:fldCharType="separate"/>
      </w:r>
      <w:r>
        <w:rPr>
          <w:rFonts w:hint="eastAsia" w:ascii="仿宋" w:hAnsi="仿宋" w:eastAsia="仿宋" w:cs="仿宋"/>
          <w:b/>
          <w:bCs/>
          <w:sz w:val="21"/>
          <w:szCs w:val="21"/>
        </w:rPr>
        <w:t>3</w:t>
      </w:r>
      <w:r>
        <w:rPr>
          <w:rFonts w:hint="eastAsia" w:ascii="仿宋" w:hAnsi="仿宋" w:eastAsia="仿宋" w:cs="仿宋"/>
          <w:b/>
          <w:bCs/>
          <w:sz w:val="21"/>
          <w:szCs w:val="21"/>
        </w:rPr>
        <w:fldChar w:fldCharType="end"/>
      </w:r>
      <w:r>
        <w:rPr>
          <w:rFonts w:hint="eastAsia" w:ascii="仿宋" w:hAnsi="仿宋" w:eastAsia="仿宋" w:cs="仿宋"/>
          <w:b w:val="0"/>
          <w:bCs w:val="0"/>
          <w:sz w:val="21"/>
          <w:szCs w:val="24"/>
        </w:rPr>
        <w:fldChar w:fldCharType="end"/>
      </w:r>
    </w:p>
    <w:p w14:paraId="59D26544">
      <w:pPr>
        <w:pStyle w:val="11"/>
        <w:tabs>
          <w:tab w:val="right" w:leader="dot" w:pos="8307"/>
        </w:tabs>
        <w:spacing w:line="360" w:lineRule="auto"/>
        <w:rPr>
          <w:rFonts w:hint="eastAsia" w:ascii="方正仿宋_GB2312" w:hAnsi="方正仿宋_GB2312" w:eastAsia="方正仿宋_GB2312" w:cs="方正仿宋_GB2312"/>
          <w:b/>
          <w:bCs/>
          <w:sz w:val="20"/>
          <w:szCs w:val="20"/>
        </w:rPr>
      </w:pPr>
      <w:r>
        <w:rPr>
          <w:rFonts w:hint="eastAsia" w:ascii="方正仿宋_GB2312" w:hAnsi="方正仿宋_GB2312" w:eastAsia="方正仿宋_GB2312" w:cs="方正仿宋_GB2312"/>
          <w:b/>
          <w:bCs/>
          <w:sz w:val="20"/>
          <w:szCs w:val="22"/>
        </w:rPr>
        <w:fldChar w:fldCharType="begin"/>
      </w:r>
      <w:r>
        <w:rPr>
          <w:rFonts w:hint="eastAsia" w:ascii="方正仿宋_GB2312" w:hAnsi="方正仿宋_GB2312" w:eastAsia="方正仿宋_GB2312" w:cs="方正仿宋_GB2312"/>
          <w:b/>
          <w:bCs/>
          <w:sz w:val="20"/>
          <w:szCs w:val="22"/>
        </w:rPr>
        <w:instrText xml:space="preserve"> HYPERLINK \l _Toc4946 </w:instrText>
      </w:r>
      <w:r>
        <w:rPr>
          <w:rFonts w:hint="eastAsia" w:ascii="方正仿宋_GB2312" w:hAnsi="方正仿宋_GB2312" w:eastAsia="方正仿宋_GB2312" w:cs="方正仿宋_GB2312"/>
          <w:b/>
          <w:bCs/>
          <w:sz w:val="20"/>
          <w:szCs w:val="22"/>
        </w:rPr>
        <w:fldChar w:fldCharType="separate"/>
      </w:r>
      <w:r>
        <w:rPr>
          <w:rFonts w:hint="eastAsia" w:ascii="方正仿宋_GB2312" w:hAnsi="方正仿宋_GB2312" w:eastAsia="方正仿宋_GB2312" w:cs="方正仿宋_GB2312"/>
          <w:b/>
          <w:bCs/>
          <w:sz w:val="20"/>
          <w:szCs w:val="20"/>
          <w:lang w:eastAsia="zh-CN"/>
        </w:rPr>
        <w:t>（</w:t>
      </w:r>
      <w:r>
        <w:rPr>
          <w:rFonts w:hint="eastAsia" w:ascii="方正仿宋_GB2312" w:hAnsi="方正仿宋_GB2312" w:eastAsia="方正仿宋_GB2312" w:cs="方正仿宋_GB2312"/>
          <w:b/>
          <w:bCs/>
          <w:sz w:val="20"/>
          <w:szCs w:val="20"/>
          <w:lang w:val="en-US" w:eastAsia="zh-CN"/>
        </w:rPr>
        <w:t>一</w:t>
      </w:r>
      <w:r>
        <w:rPr>
          <w:rFonts w:hint="eastAsia" w:ascii="方正仿宋_GB2312" w:hAnsi="方正仿宋_GB2312" w:eastAsia="方正仿宋_GB2312" w:cs="方正仿宋_GB2312"/>
          <w:b/>
          <w:bCs/>
          <w:sz w:val="20"/>
          <w:szCs w:val="20"/>
          <w:lang w:eastAsia="zh-CN"/>
        </w:rPr>
        <w:t>）工作背景</w:t>
      </w:r>
      <w:r>
        <w:rPr>
          <w:rFonts w:hint="eastAsia" w:ascii="方正仿宋_GB2312" w:hAnsi="方正仿宋_GB2312" w:eastAsia="方正仿宋_GB2312" w:cs="方正仿宋_GB2312"/>
          <w:b/>
          <w:bCs/>
          <w:sz w:val="20"/>
          <w:szCs w:val="20"/>
        </w:rPr>
        <w:tab/>
      </w:r>
      <w:r>
        <w:rPr>
          <w:rFonts w:hint="eastAsia" w:ascii="方正仿宋_GB2312" w:hAnsi="方正仿宋_GB2312" w:eastAsia="方正仿宋_GB2312" w:cs="方正仿宋_GB2312"/>
          <w:b/>
          <w:bCs/>
          <w:sz w:val="20"/>
          <w:szCs w:val="20"/>
        </w:rPr>
        <w:fldChar w:fldCharType="begin"/>
      </w:r>
      <w:r>
        <w:rPr>
          <w:rFonts w:hint="eastAsia" w:ascii="方正仿宋_GB2312" w:hAnsi="方正仿宋_GB2312" w:eastAsia="方正仿宋_GB2312" w:cs="方正仿宋_GB2312"/>
          <w:b/>
          <w:bCs/>
          <w:sz w:val="20"/>
          <w:szCs w:val="20"/>
        </w:rPr>
        <w:instrText xml:space="preserve"> PAGEREF _Toc4946 \h </w:instrText>
      </w:r>
      <w:r>
        <w:rPr>
          <w:rFonts w:hint="eastAsia" w:ascii="方正仿宋_GB2312" w:hAnsi="方正仿宋_GB2312" w:eastAsia="方正仿宋_GB2312" w:cs="方正仿宋_GB2312"/>
          <w:b/>
          <w:bCs/>
          <w:sz w:val="20"/>
          <w:szCs w:val="20"/>
        </w:rPr>
        <w:fldChar w:fldCharType="separate"/>
      </w:r>
      <w:r>
        <w:rPr>
          <w:rFonts w:hint="eastAsia" w:ascii="方正仿宋_GB2312" w:hAnsi="方正仿宋_GB2312" w:eastAsia="方正仿宋_GB2312" w:cs="方正仿宋_GB2312"/>
          <w:b/>
          <w:bCs/>
          <w:sz w:val="20"/>
          <w:szCs w:val="20"/>
        </w:rPr>
        <w:t>3</w:t>
      </w:r>
      <w:r>
        <w:rPr>
          <w:rFonts w:hint="eastAsia" w:ascii="方正仿宋_GB2312" w:hAnsi="方正仿宋_GB2312" w:eastAsia="方正仿宋_GB2312" w:cs="方正仿宋_GB2312"/>
          <w:b/>
          <w:bCs/>
          <w:sz w:val="20"/>
          <w:szCs w:val="20"/>
        </w:rPr>
        <w:fldChar w:fldCharType="end"/>
      </w:r>
      <w:r>
        <w:rPr>
          <w:rFonts w:hint="eastAsia" w:ascii="方正仿宋_GB2312" w:hAnsi="方正仿宋_GB2312" w:eastAsia="方正仿宋_GB2312" w:cs="方正仿宋_GB2312"/>
          <w:b/>
          <w:bCs/>
          <w:sz w:val="20"/>
          <w:szCs w:val="22"/>
        </w:rPr>
        <w:fldChar w:fldCharType="end"/>
      </w:r>
    </w:p>
    <w:p w14:paraId="6D6E0278">
      <w:pPr>
        <w:pStyle w:val="11"/>
        <w:tabs>
          <w:tab w:val="right" w:leader="dot" w:pos="8307"/>
        </w:tabs>
        <w:spacing w:line="360" w:lineRule="auto"/>
        <w:rPr>
          <w:rFonts w:hint="eastAsia" w:ascii="方正仿宋_GB2312" w:hAnsi="方正仿宋_GB2312" w:eastAsia="方正仿宋_GB2312" w:cs="方正仿宋_GB2312"/>
          <w:b/>
          <w:bCs/>
          <w:sz w:val="20"/>
          <w:szCs w:val="20"/>
        </w:rPr>
      </w:pPr>
      <w:r>
        <w:rPr>
          <w:rFonts w:hint="eastAsia" w:ascii="方正仿宋_GB2312" w:hAnsi="方正仿宋_GB2312" w:eastAsia="方正仿宋_GB2312" w:cs="方正仿宋_GB2312"/>
          <w:b/>
          <w:bCs/>
          <w:sz w:val="20"/>
          <w:szCs w:val="22"/>
        </w:rPr>
        <w:fldChar w:fldCharType="begin"/>
      </w:r>
      <w:r>
        <w:rPr>
          <w:rFonts w:hint="eastAsia" w:ascii="方正仿宋_GB2312" w:hAnsi="方正仿宋_GB2312" w:eastAsia="方正仿宋_GB2312" w:cs="方正仿宋_GB2312"/>
          <w:b/>
          <w:bCs/>
          <w:sz w:val="20"/>
          <w:szCs w:val="22"/>
        </w:rPr>
        <w:instrText xml:space="preserve"> HYPERLINK \l _Toc1005 </w:instrText>
      </w:r>
      <w:r>
        <w:rPr>
          <w:rFonts w:hint="eastAsia" w:ascii="方正仿宋_GB2312" w:hAnsi="方正仿宋_GB2312" w:eastAsia="方正仿宋_GB2312" w:cs="方正仿宋_GB2312"/>
          <w:b/>
          <w:bCs/>
          <w:sz w:val="20"/>
          <w:szCs w:val="22"/>
        </w:rPr>
        <w:fldChar w:fldCharType="separate"/>
      </w:r>
      <w:r>
        <w:rPr>
          <w:rFonts w:hint="eastAsia" w:ascii="方正仿宋_GB2312" w:hAnsi="方正仿宋_GB2312" w:eastAsia="方正仿宋_GB2312" w:cs="方正仿宋_GB2312"/>
          <w:b/>
          <w:bCs/>
          <w:sz w:val="20"/>
          <w:szCs w:val="20"/>
          <w:lang w:eastAsia="zh-CN"/>
        </w:rPr>
        <w:t>（</w:t>
      </w:r>
      <w:r>
        <w:rPr>
          <w:rFonts w:hint="eastAsia" w:ascii="方正仿宋_GB2312" w:hAnsi="方正仿宋_GB2312" w:eastAsia="方正仿宋_GB2312" w:cs="方正仿宋_GB2312"/>
          <w:b/>
          <w:bCs/>
          <w:sz w:val="20"/>
          <w:szCs w:val="20"/>
          <w:lang w:val="en-US" w:eastAsia="zh-CN"/>
        </w:rPr>
        <w:t>二</w:t>
      </w:r>
      <w:r>
        <w:rPr>
          <w:rFonts w:hint="eastAsia" w:ascii="方正仿宋_GB2312" w:hAnsi="方正仿宋_GB2312" w:eastAsia="方正仿宋_GB2312" w:cs="方正仿宋_GB2312"/>
          <w:b/>
          <w:bCs/>
          <w:sz w:val="20"/>
          <w:szCs w:val="20"/>
          <w:lang w:eastAsia="zh-CN"/>
        </w:rPr>
        <w:t>）自然状况</w:t>
      </w:r>
      <w:r>
        <w:rPr>
          <w:rFonts w:hint="eastAsia" w:ascii="方正仿宋_GB2312" w:hAnsi="方正仿宋_GB2312" w:eastAsia="方正仿宋_GB2312" w:cs="方正仿宋_GB2312"/>
          <w:b/>
          <w:bCs/>
          <w:sz w:val="20"/>
          <w:szCs w:val="20"/>
        </w:rPr>
        <w:tab/>
      </w:r>
      <w:r>
        <w:rPr>
          <w:rFonts w:hint="eastAsia" w:ascii="方正仿宋_GB2312" w:hAnsi="方正仿宋_GB2312" w:eastAsia="方正仿宋_GB2312" w:cs="方正仿宋_GB2312"/>
          <w:b/>
          <w:bCs/>
          <w:sz w:val="20"/>
          <w:szCs w:val="20"/>
        </w:rPr>
        <w:fldChar w:fldCharType="begin"/>
      </w:r>
      <w:r>
        <w:rPr>
          <w:rFonts w:hint="eastAsia" w:ascii="方正仿宋_GB2312" w:hAnsi="方正仿宋_GB2312" w:eastAsia="方正仿宋_GB2312" w:cs="方正仿宋_GB2312"/>
          <w:b/>
          <w:bCs/>
          <w:sz w:val="20"/>
          <w:szCs w:val="20"/>
        </w:rPr>
        <w:instrText xml:space="preserve"> PAGEREF _Toc1005 \h </w:instrText>
      </w:r>
      <w:r>
        <w:rPr>
          <w:rFonts w:hint="eastAsia" w:ascii="方正仿宋_GB2312" w:hAnsi="方正仿宋_GB2312" w:eastAsia="方正仿宋_GB2312" w:cs="方正仿宋_GB2312"/>
          <w:b/>
          <w:bCs/>
          <w:sz w:val="20"/>
          <w:szCs w:val="20"/>
        </w:rPr>
        <w:fldChar w:fldCharType="separate"/>
      </w:r>
      <w:r>
        <w:rPr>
          <w:rFonts w:hint="eastAsia" w:ascii="方正仿宋_GB2312" w:hAnsi="方正仿宋_GB2312" w:eastAsia="方正仿宋_GB2312" w:cs="方正仿宋_GB2312"/>
          <w:b/>
          <w:bCs/>
          <w:sz w:val="20"/>
          <w:szCs w:val="20"/>
        </w:rPr>
        <w:t>3</w:t>
      </w:r>
      <w:r>
        <w:rPr>
          <w:rFonts w:hint="eastAsia" w:ascii="方正仿宋_GB2312" w:hAnsi="方正仿宋_GB2312" w:eastAsia="方正仿宋_GB2312" w:cs="方正仿宋_GB2312"/>
          <w:b/>
          <w:bCs/>
          <w:sz w:val="20"/>
          <w:szCs w:val="20"/>
        </w:rPr>
        <w:fldChar w:fldCharType="end"/>
      </w:r>
      <w:r>
        <w:rPr>
          <w:rFonts w:hint="eastAsia" w:ascii="方正仿宋_GB2312" w:hAnsi="方正仿宋_GB2312" w:eastAsia="方正仿宋_GB2312" w:cs="方正仿宋_GB2312"/>
          <w:b/>
          <w:bCs/>
          <w:sz w:val="20"/>
          <w:szCs w:val="22"/>
        </w:rPr>
        <w:fldChar w:fldCharType="end"/>
      </w:r>
    </w:p>
    <w:p w14:paraId="6A87F81E">
      <w:pPr>
        <w:pStyle w:val="8"/>
        <w:tabs>
          <w:tab w:val="right" w:leader="dot" w:pos="8307"/>
        </w:tabs>
        <w:spacing w:line="360" w:lineRule="auto"/>
        <w:rPr>
          <w:rFonts w:hint="eastAsia" w:ascii="方正仿宋_GB2312" w:hAnsi="方正仿宋_GB2312" w:eastAsia="方正仿宋_GB2312" w:cs="方正仿宋_GB2312"/>
          <w:b w:val="0"/>
          <w:bCs w:val="0"/>
          <w:sz w:val="20"/>
          <w:szCs w:val="20"/>
        </w:rPr>
      </w:pPr>
      <w:r>
        <w:rPr>
          <w:rFonts w:hint="eastAsia" w:ascii="方正仿宋_GB2312" w:hAnsi="方正仿宋_GB2312" w:eastAsia="方正仿宋_GB2312" w:cs="方正仿宋_GB2312"/>
          <w:b w:val="0"/>
          <w:bCs w:val="0"/>
          <w:sz w:val="20"/>
          <w:szCs w:val="22"/>
        </w:rPr>
        <w:fldChar w:fldCharType="begin"/>
      </w:r>
      <w:r>
        <w:rPr>
          <w:rFonts w:hint="eastAsia" w:ascii="方正仿宋_GB2312" w:hAnsi="方正仿宋_GB2312" w:eastAsia="方正仿宋_GB2312" w:cs="方正仿宋_GB2312"/>
          <w:b w:val="0"/>
          <w:bCs w:val="0"/>
          <w:sz w:val="20"/>
          <w:szCs w:val="22"/>
        </w:rPr>
        <w:instrText xml:space="preserve"> HYPERLINK \l _Toc1509 </w:instrText>
      </w:r>
      <w:r>
        <w:rPr>
          <w:rFonts w:hint="eastAsia" w:ascii="方正仿宋_GB2312" w:hAnsi="方正仿宋_GB2312" w:eastAsia="方正仿宋_GB2312" w:cs="方正仿宋_GB2312"/>
          <w:b w:val="0"/>
          <w:bCs w:val="0"/>
          <w:sz w:val="20"/>
          <w:szCs w:val="22"/>
        </w:rPr>
        <w:fldChar w:fldCharType="separate"/>
      </w:r>
      <w:r>
        <w:rPr>
          <w:rFonts w:hint="eastAsia" w:ascii="方正仿宋_GB2312" w:hAnsi="方正仿宋_GB2312" w:eastAsia="方正仿宋_GB2312" w:cs="方正仿宋_GB2312"/>
          <w:b w:val="0"/>
          <w:bCs w:val="0"/>
          <w:sz w:val="20"/>
          <w:szCs w:val="20"/>
          <w:lang w:val="en-US" w:eastAsia="zh-CN"/>
        </w:rPr>
        <w:t>1.</w:t>
      </w:r>
      <w:r>
        <w:rPr>
          <w:rFonts w:hint="eastAsia" w:ascii="方正仿宋_GB2312" w:hAnsi="方正仿宋_GB2312" w:eastAsia="方正仿宋_GB2312" w:cs="方正仿宋_GB2312"/>
          <w:b w:val="0"/>
          <w:bCs w:val="0"/>
          <w:sz w:val="20"/>
          <w:szCs w:val="20"/>
          <w:lang w:val="en-US" w:eastAsia="en-US"/>
        </w:rPr>
        <w:t>地理位置</w:t>
      </w:r>
      <w:r>
        <w:rPr>
          <w:rFonts w:hint="eastAsia" w:ascii="方正仿宋_GB2312" w:hAnsi="方正仿宋_GB2312" w:eastAsia="方正仿宋_GB2312" w:cs="方正仿宋_GB2312"/>
          <w:b w:val="0"/>
          <w:bCs w:val="0"/>
          <w:sz w:val="20"/>
          <w:szCs w:val="20"/>
        </w:rPr>
        <w:tab/>
      </w:r>
      <w:r>
        <w:rPr>
          <w:rFonts w:hint="eastAsia" w:ascii="方正仿宋_GB2312" w:hAnsi="方正仿宋_GB2312" w:eastAsia="方正仿宋_GB2312" w:cs="方正仿宋_GB2312"/>
          <w:b w:val="0"/>
          <w:bCs w:val="0"/>
          <w:sz w:val="20"/>
          <w:szCs w:val="20"/>
        </w:rPr>
        <w:fldChar w:fldCharType="begin"/>
      </w:r>
      <w:r>
        <w:rPr>
          <w:rFonts w:hint="eastAsia" w:ascii="方正仿宋_GB2312" w:hAnsi="方正仿宋_GB2312" w:eastAsia="方正仿宋_GB2312" w:cs="方正仿宋_GB2312"/>
          <w:b w:val="0"/>
          <w:bCs w:val="0"/>
          <w:sz w:val="20"/>
          <w:szCs w:val="20"/>
        </w:rPr>
        <w:instrText xml:space="preserve"> PAGEREF _Toc1509 \h </w:instrText>
      </w:r>
      <w:r>
        <w:rPr>
          <w:rFonts w:hint="eastAsia" w:ascii="方正仿宋_GB2312" w:hAnsi="方正仿宋_GB2312" w:eastAsia="方正仿宋_GB2312" w:cs="方正仿宋_GB2312"/>
          <w:b w:val="0"/>
          <w:bCs w:val="0"/>
          <w:sz w:val="20"/>
          <w:szCs w:val="20"/>
        </w:rPr>
        <w:fldChar w:fldCharType="separate"/>
      </w:r>
      <w:r>
        <w:rPr>
          <w:rFonts w:hint="eastAsia" w:ascii="方正仿宋_GB2312" w:hAnsi="方正仿宋_GB2312" w:eastAsia="方正仿宋_GB2312" w:cs="方正仿宋_GB2312"/>
          <w:b w:val="0"/>
          <w:bCs w:val="0"/>
          <w:sz w:val="20"/>
          <w:szCs w:val="20"/>
        </w:rPr>
        <w:t>3</w:t>
      </w:r>
      <w:r>
        <w:rPr>
          <w:rFonts w:hint="eastAsia" w:ascii="方正仿宋_GB2312" w:hAnsi="方正仿宋_GB2312" w:eastAsia="方正仿宋_GB2312" w:cs="方正仿宋_GB2312"/>
          <w:b w:val="0"/>
          <w:bCs w:val="0"/>
          <w:sz w:val="20"/>
          <w:szCs w:val="20"/>
        </w:rPr>
        <w:fldChar w:fldCharType="end"/>
      </w:r>
      <w:r>
        <w:rPr>
          <w:rFonts w:hint="eastAsia" w:ascii="方正仿宋_GB2312" w:hAnsi="方正仿宋_GB2312" w:eastAsia="方正仿宋_GB2312" w:cs="方正仿宋_GB2312"/>
          <w:b w:val="0"/>
          <w:bCs w:val="0"/>
          <w:sz w:val="20"/>
          <w:szCs w:val="22"/>
        </w:rPr>
        <w:fldChar w:fldCharType="end"/>
      </w:r>
    </w:p>
    <w:p w14:paraId="5B088872">
      <w:pPr>
        <w:pStyle w:val="8"/>
        <w:tabs>
          <w:tab w:val="right" w:leader="dot" w:pos="8307"/>
        </w:tabs>
        <w:spacing w:line="360" w:lineRule="auto"/>
        <w:rPr>
          <w:rFonts w:hint="eastAsia" w:ascii="方正仿宋_GB2312" w:hAnsi="方正仿宋_GB2312" w:eastAsia="方正仿宋_GB2312" w:cs="方正仿宋_GB2312"/>
          <w:b w:val="0"/>
          <w:bCs w:val="0"/>
          <w:sz w:val="20"/>
          <w:szCs w:val="20"/>
        </w:rPr>
      </w:pPr>
      <w:r>
        <w:rPr>
          <w:rFonts w:hint="eastAsia" w:ascii="方正仿宋_GB2312" w:hAnsi="方正仿宋_GB2312" w:eastAsia="方正仿宋_GB2312" w:cs="方正仿宋_GB2312"/>
          <w:b w:val="0"/>
          <w:bCs w:val="0"/>
          <w:sz w:val="20"/>
          <w:szCs w:val="22"/>
        </w:rPr>
        <w:fldChar w:fldCharType="begin"/>
      </w:r>
      <w:r>
        <w:rPr>
          <w:rFonts w:hint="eastAsia" w:ascii="方正仿宋_GB2312" w:hAnsi="方正仿宋_GB2312" w:eastAsia="方正仿宋_GB2312" w:cs="方正仿宋_GB2312"/>
          <w:b w:val="0"/>
          <w:bCs w:val="0"/>
          <w:sz w:val="20"/>
          <w:szCs w:val="22"/>
        </w:rPr>
        <w:instrText xml:space="preserve"> HYPERLINK \l _Toc32144 </w:instrText>
      </w:r>
      <w:r>
        <w:rPr>
          <w:rFonts w:hint="eastAsia" w:ascii="方正仿宋_GB2312" w:hAnsi="方正仿宋_GB2312" w:eastAsia="方正仿宋_GB2312" w:cs="方正仿宋_GB2312"/>
          <w:b w:val="0"/>
          <w:bCs w:val="0"/>
          <w:sz w:val="20"/>
          <w:szCs w:val="22"/>
        </w:rPr>
        <w:fldChar w:fldCharType="separate"/>
      </w:r>
      <w:r>
        <w:rPr>
          <w:rFonts w:hint="eastAsia" w:ascii="方正仿宋_GB2312" w:hAnsi="方正仿宋_GB2312" w:eastAsia="方正仿宋_GB2312" w:cs="方正仿宋_GB2312"/>
          <w:b w:val="0"/>
          <w:bCs w:val="0"/>
          <w:sz w:val="20"/>
          <w:szCs w:val="20"/>
          <w:lang w:val="en-US" w:eastAsia="zh-CN"/>
        </w:rPr>
        <w:t>2.</w:t>
      </w:r>
      <w:r>
        <w:rPr>
          <w:rFonts w:hint="eastAsia" w:ascii="方正仿宋_GB2312" w:hAnsi="方正仿宋_GB2312" w:eastAsia="方正仿宋_GB2312" w:cs="方正仿宋_GB2312"/>
          <w:b w:val="0"/>
          <w:bCs w:val="0"/>
          <w:sz w:val="20"/>
          <w:szCs w:val="20"/>
          <w:lang w:val="en-US" w:eastAsia="en-US"/>
        </w:rPr>
        <w:t>地形地貌</w:t>
      </w:r>
      <w:r>
        <w:rPr>
          <w:rFonts w:hint="eastAsia" w:ascii="方正仿宋_GB2312" w:hAnsi="方正仿宋_GB2312" w:eastAsia="方正仿宋_GB2312" w:cs="方正仿宋_GB2312"/>
          <w:b w:val="0"/>
          <w:bCs w:val="0"/>
          <w:sz w:val="20"/>
          <w:szCs w:val="20"/>
        </w:rPr>
        <w:tab/>
      </w:r>
      <w:r>
        <w:rPr>
          <w:rFonts w:hint="eastAsia" w:ascii="方正仿宋_GB2312" w:hAnsi="方正仿宋_GB2312" w:eastAsia="方正仿宋_GB2312" w:cs="方正仿宋_GB2312"/>
          <w:b w:val="0"/>
          <w:bCs w:val="0"/>
          <w:sz w:val="20"/>
          <w:szCs w:val="20"/>
        </w:rPr>
        <w:fldChar w:fldCharType="begin"/>
      </w:r>
      <w:r>
        <w:rPr>
          <w:rFonts w:hint="eastAsia" w:ascii="方正仿宋_GB2312" w:hAnsi="方正仿宋_GB2312" w:eastAsia="方正仿宋_GB2312" w:cs="方正仿宋_GB2312"/>
          <w:b w:val="0"/>
          <w:bCs w:val="0"/>
          <w:sz w:val="20"/>
          <w:szCs w:val="20"/>
        </w:rPr>
        <w:instrText xml:space="preserve"> PAGEREF _Toc32144 \h </w:instrText>
      </w:r>
      <w:r>
        <w:rPr>
          <w:rFonts w:hint="eastAsia" w:ascii="方正仿宋_GB2312" w:hAnsi="方正仿宋_GB2312" w:eastAsia="方正仿宋_GB2312" w:cs="方正仿宋_GB2312"/>
          <w:b w:val="0"/>
          <w:bCs w:val="0"/>
          <w:sz w:val="20"/>
          <w:szCs w:val="20"/>
        </w:rPr>
        <w:fldChar w:fldCharType="separate"/>
      </w:r>
      <w:r>
        <w:rPr>
          <w:rFonts w:hint="eastAsia" w:ascii="方正仿宋_GB2312" w:hAnsi="方正仿宋_GB2312" w:eastAsia="方正仿宋_GB2312" w:cs="方正仿宋_GB2312"/>
          <w:b w:val="0"/>
          <w:bCs w:val="0"/>
          <w:sz w:val="20"/>
          <w:szCs w:val="20"/>
        </w:rPr>
        <w:t>4</w:t>
      </w:r>
      <w:r>
        <w:rPr>
          <w:rFonts w:hint="eastAsia" w:ascii="方正仿宋_GB2312" w:hAnsi="方正仿宋_GB2312" w:eastAsia="方正仿宋_GB2312" w:cs="方正仿宋_GB2312"/>
          <w:b w:val="0"/>
          <w:bCs w:val="0"/>
          <w:sz w:val="20"/>
          <w:szCs w:val="20"/>
        </w:rPr>
        <w:fldChar w:fldCharType="end"/>
      </w:r>
      <w:r>
        <w:rPr>
          <w:rFonts w:hint="eastAsia" w:ascii="方正仿宋_GB2312" w:hAnsi="方正仿宋_GB2312" w:eastAsia="方正仿宋_GB2312" w:cs="方正仿宋_GB2312"/>
          <w:b w:val="0"/>
          <w:bCs w:val="0"/>
          <w:sz w:val="20"/>
          <w:szCs w:val="22"/>
        </w:rPr>
        <w:fldChar w:fldCharType="end"/>
      </w:r>
    </w:p>
    <w:p w14:paraId="157F998E">
      <w:pPr>
        <w:pStyle w:val="8"/>
        <w:tabs>
          <w:tab w:val="right" w:leader="dot" w:pos="8307"/>
        </w:tabs>
        <w:spacing w:line="360" w:lineRule="auto"/>
        <w:rPr>
          <w:rFonts w:hint="eastAsia" w:ascii="方正仿宋_GB2312" w:hAnsi="方正仿宋_GB2312" w:eastAsia="方正仿宋_GB2312" w:cs="方正仿宋_GB2312"/>
          <w:b w:val="0"/>
          <w:bCs w:val="0"/>
          <w:sz w:val="20"/>
          <w:szCs w:val="20"/>
        </w:rPr>
      </w:pPr>
      <w:r>
        <w:rPr>
          <w:rFonts w:hint="eastAsia" w:ascii="方正仿宋_GB2312" w:hAnsi="方正仿宋_GB2312" w:eastAsia="方正仿宋_GB2312" w:cs="方正仿宋_GB2312"/>
          <w:b w:val="0"/>
          <w:bCs w:val="0"/>
          <w:sz w:val="20"/>
          <w:szCs w:val="22"/>
        </w:rPr>
        <w:fldChar w:fldCharType="begin"/>
      </w:r>
      <w:r>
        <w:rPr>
          <w:rFonts w:hint="eastAsia" w:ascii="方正仿宋_GB2312" w:hAnsi="方正仿宋_GB2312" w:eastAsia="方正仿宋_GB2312" w:cs="方正仿宋_GB2312"/>
          <w:b w:val="0"/>
          <w:bCs w:val="0"/>
          <w:sz w:val="20"/>
          <w:szCs w:val="22"/>
        </w:rPr>
        <w:instrText xml:space="preserve"> HYPERLINK \l _Toc29446 </w:instrText>
      </w:r>
      <w:r>
        <w:rPr>
          <w:rFonts w:hint="eastAsia" w:ascii="方正仿宋_GB2312" w:hAnsi="方正仿宋_GB2312" w:eastAsia="方正仿宋_GB2312" w:cs="方正仿宋_GB2312"/>
          <w:b w:val="0"/>
          <w:bCs w:val="0"/>
          <w:sz w:val="20"/>
          <w:szCs w:val="22"/>
        </w:rPr>
        <w:fldChar w:fldCharType="separate"/>
      </w:r>
      <w:r>
        <w:rPr>
          <w:rFonts w:hint="eastAsia" w:ascii="方正仿宋_GB2312" w:hAnsi="方正仿宋_GB2312" w:eastAsia="方正仿宋_GB2312" w:cs="方正仿宋_GB2312"/>
          <w:b w:val="0"/>
          <w:bCs w:val="0"/>
          <w:sz w:val="20"/>
          <w:szCs w:val="20"/>
          <w:lang w:val="en-US" w:eastAsia="zh-CN"/>
        </w:rPr>
        <w:t>3.</w:t>
      </w:r>
      <w:r>
        <w:rPr>
          <w:rFonts w:hint="eastAsia" w:ascii="方正仿宋_GB2312" w:hAnsi="方正仿宋_GB2312" w:eastAsia="方正仿宋_GB2312" w:cs="方正仿宋_GB2312"/>
          <w:b w:val="0"/>
          <w:bCs w:val="0"/>
          <w:sz w:val="20"/>
          <w:szCs w:val="20"/>
          <w:lang w:val="en-US" w:eastAsia="en-US"/>
        </w:rPr>
        <w:t>气候特征</w:t>
      </w:r>
      <w:r>
        <w:rPr>
          <w:rFonts w:hint="eastAsia" w:ascii="方正仿宋_GB2312" w:hAnsi="方正仿宋_GB2312" w:eastAsia="方正仿宋_GB2312" w:cs="方正仿宋_GB2312"/>
          <w:b w:val="0"/>
          <w:bCs w:val="0"/>
          <w:sz w:val="20"/>
          <w:szCs w:val="20"/>
        </w:rPr>
        <w:tab/>
      </w:r>
      <w:r>
        <w:rPr>
          <w:rFonts w:hint="eastAsia" w:ascii="方正仿宋_GB2312" w:hAnsi="方正仿宋_GB2312" w:eastAsia="方正仿宋_GB2312" w:cs="方正仿宋_GB2312"/>
          <w:b w:val="0"/>
          <w:bCs w:val="0"/>
          <w:sz w:val="20"/>
          <w:szCs w:val="20"/>
        </w:rPr>
        <w:fldChar w:fldCharType="begin"/>
      </w:r>
      <w:r>
        <w:rPr>
          <w:rFonts w:hint="eastAsia" w:ascii="方正仿宋_GB2312" w:hAnsi="方正仿宋_GB2312" w:eastAsia="方正仿宋_GB2312" w:cs="方正仿宋_GB2312"/>
          <w:b w:val="0"/>
          <w:bCs w:val="0"/>
          <w:sz w:val="20"/>
          <w:szCs w:val="20"/>
        </w:rPr>
        <w:instrText xml:space="preserve"> PAGEREF _Toc29446 \h </w:instrText>
      </w:r>
      <w:r>
        <w:rPr>
          <w:rFonts w:hint="eastAsia" w:ascii="方正仿宋_GB2312" w:hAnsi="方正仿宋_GB2312" w:eastAsia="方正仿宋_GB2312" w:cs="方正仿宋_GB2312"/>
          <w:b w:val="0"/>
          <w:bCs w:val="0"/>
          <w:sz w:val="20"/>
          <w:szCs w:val="20"/>
        </w:rPr>
        <w:fldChar w:fldCharType="separate"/>
      </w:r>
      <w:r>
        <w:rPr>
          <w:rFonts w:hint="eastAsia" w:ascii="方正仿宋_GB2312" w:hAnsi="方正仿宋_GB2312" w:eastAsia="方正仿宋_GB2312" w:cs="方正仿宋_GB2312"/>
          <w:b w:val="0"/>
          <w:bCs w:val="0"/>
          <w:sz w:val="20"/>
          <w:szCs w:val="20"/>
        </w:rPr>
        <w:t>4</w:t>
      </w:r>
      <w:r>
        <w:rPr>
          <w:rFonts w:hint="eastAsia" w:ascii="方正仿宋_GB2312" w:hAnsi="方正仿宋_GB2312" w:eastAsia="方正仿宋_GB2312" w:cs="方正仿宋_GB2312"/>
          <w:b w:val="0"/>
          <w:bCs w:val="0"/>
          <w:sz w:val="20"/>
          <w:szCs w:val="20"/>
        </w:rPr>
        <w:fldChar w:fldCharType="end"/>
      </w:r>
      <w:r>
        <w:rPr>
          <w:rFonts w:hint="eastAsia" w:ascii="方正仿宋_GB2312" w:hAnsi="方正仿宋_GB2312" w:eastAsia="方正仿宋_GB2312" w:cs="方正仿宋_GB2312"/>
          <w:b w:val="0"/>
          <w:bCs w:val="0"/>
          <w:sz w:val="20"/>
          <w:szCs w:val="22"/>
        </w:rPr>
        <w:fldChar w:fldCharType="end"/>
      </w:r>
    </w:p>
    <w:p w14:paraId="4CB7F82B">
      <w:pPr>
        <w:pStyle w:val="8"/>
        <w:tabs>
          <w:tab w:val="right" w:leader="dot" w:pos="8307"/>
        </w:tabs>
        <w:spacing w:line="360" w:lineRule="auto"/>
        <w:rPr>
          <w:rFonts w:hint="eastAsia" w:ascii="方正仿宋_GB2312" w:hAnsi="方正仿宋_GB2312" w:eastAsia="方正仿宋_GB2312" w:cs="方正仿宋_GB2312"/>
          <w:b w:val="0"/>
          <w:bCs w:val="0"/>
          <w:sz w:val="20"/>
          <w:szCs w:val="20"/>
        </w:rPr>
      </w:pPr>
      <w:r>
        <w:rPr>
          <w:rFonts w:hint="eastAsia" w:ascii="方正仿宋_GB2312" w:hAnsi="方正仿宋_GB2312" w:eastAsia="方正仿宋_GB2312" w:cs="方正仿宋_GB2312"/>
          <w:b w:val="0"/>
          <w:bCs w:val="0"/>
          <w:sz w:val="20"/>
          <w:szCs w:val="22"/>
        </w:rPr>
        <w:fldChar w:fldCharType="begin"/>
      </w:r>
      <w:r>
        <w:rPr>
          <w:rFonts w:hint="eastAsia" w:ascii="方正仿宋_GB2312" w:hAnsi="方正仿宋_GB2312" w:eastAsia="方正仿宋_GB2312" w:cs="方正仿宋_GB2312"/>
          <w:b w:val="0"/>
          <w:bCs w:val="0"/>
          <w:sz w:val="20"/>
          <w:szCs w:val="22"/>
        </w:rPr>
        <w:instrText xml:space="preserve"> HYPERLINK \l _Toc15796 </w:instrText>
      </w:r>
      <w:r>
        <w:rPr>
          <w:rFonts w:hint="eastAsia" w:ascii="方正仿宋_GB2312" w:hAnsi="方正仿宋_GB2312" w:eastAsia="方正仿宋_GB2312" w:cs="方正仿宋_GB2312"/>
          <w:b w:val="0"/>
          <w:bCs w:val="0"/>
          <w:sz w:val="20"/>
          <w:szCs w:val="22"/>
        </w:rPr>
        <w:fldChar w:fldCharType="separate"/>
      </w:r>
      <w:r>
        <w:rPr>
          <w:rFonts w:hint="eastAsia" w:ascii="方正仿宋_GB2312" w:hAnsi="方正仿宋_GB2312" w:eastAsia="方正仿宋_GB2312" w:cs="方正仿宋_GB2312"/>
          <w:b w:val="0"/>
          <w:bCs w:val="0"/>
          <w:sz w:val="20"/>
          <w:szCs w:val="20"/>
          <w:lang w:val="en-US" w:eastAsia="zh-CN"/>
        </w:rPr>
        <w:t>4.</w:t>
      </w:r>
      <w:r>
        <w:rPr>
          <w:rFonts w:hint="eastAsia" w:ascii="方正仿宋_GB2312" w:hAnsi="方正仿宋_GB2312" w:eastAsia="方正仿宋_GB2312" w:cs="方正仿宋_GB2312"/>
          <w:b w:val="0"/>
          <w:bCs w:val="0"/>
          <w:sz w:val="20"/>
          <w:szCs w:val="20"/>
          <w:lang w:val="en-US" w:eastAsia="en-US"/>
        </w:rPr>
        <w:t>河流水系</w:t>
      </w:r>
      <w:r>
        <w:rPr>
          <w:rFonts w:hint="eastAsia" w:ascii="方正仿宋_GB2312" w:hAnsi="方正仿宋_GB2312" w:eastAsia="方正仿宋_GB2312" w:cs="方正仿宋_GB2312"/>
          <w:b w:val="0"/>
          <w:bCs w:val="0"/>
          <w:sz w:val="20"/>
          <w:szCs w:val="20"/>
        </w:rPr>
        <w:tab/>
      </w:r>
      <w:r>
        <w:rPr>
          <w:rFonts w:hint="eastAsia" w:ascii="方正仿宋_GB2312" w:hAnsi="方正仿宋_GB2312" w:eastAsia="方正仿宋_GB2312" w:cs="方正仿宋_GB2312"/>
          <w:b w:val="0"/>
          <w:bCs w:val="0"/>
          <w:sz w:val="20"/>
          <w:szCs w:val="20"/>
        </w:rPr>
        <w:fldChar w:fldCharType="begin"/>
      </w:r>
      <w:r>
        <w:rPr>
          <w:rFonts w:hint="eastAsia" w:ascii="方正仿宋_GB2312" w:hAnsi="方正仿宋_GB2312" w:eastAsia="方正仿宋_GB2312" w:cs="方正仿宋_GB2312"/>
          <w:b w:val="0"/>
          <w:bCs w:val="0"/>
          <w:sz w:val="20"/>
          <w:szCs w:val="20"/>
        </w:rPr>
        <w:instrText xml:space="preserve"> PAGEREF _Toc15796 \h </w:instrText>
      </w:r>
      <w:r>
        <w:rPr>
          <w:rFonts w:hint="eastAsia" w:ascii="方正仿宋_GB2312" w:hAnsi="方正仿宋_GB2312" w:eastAsia="方正仿宋_GB2312" w:cs="方正仿宋_GB2312"/>
          <w:b w:val="0"/>
          <w:bCs w:val="0"/>
          <w:sz w:val="20"/>
          <w:szCs w:val="20"/>
        </w:rPr>
        <w:fldChar w:fldCharType="separate"/>
      </w:r>
      <w:r>
        <w:rPr>
          <w:rFonts w:hint="eastAsia" w:ascii="方正仿宋_GB2312" w:hAnsi="方正仿宋_GB2312" w:eastAsia="方正仿宋_GB2312" w:cs="方正仿宋_GB2312"/>
          <w:b w:val="0"/>
          <w:bCs w:val="0"/>
          <w:sz w:val="20"/>
          <w:szCs w:val="20"/>
        </w:rPr>
        <w:t>5</w:t>
      </w:r>
      <w:r>
        <w:rPr>
          <w:rFonts w:hint="eastAsia" w:ascii="方正仿宋_GB2312" w:hAnsi="方正仿宋_GB2312" w:eastAsia="方正仿宋_GB2312" w:cs="方正仿宋_GB2312"/>
          <w:b w:val="0"/>
          <w:bCs w:val="0"/>
          <w:sz w:val="20"/>
          <w:szCs w:val="20"/>
        </w:rPr>
        <w:fldChar w:fldCharType="end"/>
      </w:r>
      <w:r>
        <w:rPr>
          <w:rFonts w:hint="eastAsia" w:ascii="方正仿宋_GB2312" w:hAnsi="方正仿宋_GB2312" w:eastAsia="方正仿宋_GB2312" w:cs="方正仿宋_GB2312"/>
          <w:b w:val="0"/>
          <w:bCs w:val="0"/>
          <w:sz w:val="20"/>
          <w:szCs w:val="22"/>
        </w:rPr>
        <w:fldChar w:fldCharType="end"/>
      </w:r>
    </w:p>
    <w:p w14:paraId="754E3782">
      <w:pPr>
        <w:pStyle w:val="8"/>
        <w:tabs>
          <w:tab w:val="right" w:leader="dot" w:pos="8307"/>
        </w:tabs>
        <w:spacing w:line="360" w:lineRule="auto"/>
        <w:rPr>
          <w:rFonts w:hint="eastAsia" w:ascii="方正仿宋_GB2312" w:hAnsi="方正仿宋_GB2312" w:eastAsia="方正仿宋_GB2312" w:cs="方正仿宋_GB2312"/>
          <w:b w:val="0"/>
          <w:bCs w:val="0"/>
          <w:sz w:val="20"/>
          <w:szCs w:val="20"/>
        </w:rPr>
      </w:pPr>
      <w:r>
        <w:rPr>
          <w:rFonts w:hint="eastAsia" w:ascii="方正仿宋_GB2312" w:hAnsi="方正仿宋_GB2312" w:eastAsia="方正仿宋_GB2312" w:cs="方正仿宋_GB2312"/>
          <w:b w:val="0"/>
          <w:bCs w:val="0"/>
          <w:sz w:val="20"/>
          <w:szCs w:val="22"/>
        </w:rPr>
        <w:fldChar w:fldCharType="begin"/>
      </w:r>
      <w:r>
        <w:rPr>
          <w:rFonts w:hint="eastAsia" w:ascii="方正仿宋_GB2312" w:hAnsi="方正仿宋_GB2312" w:eastAsia="方正仿宋_GB2312" w:cs="方正仿宋_GB2312"/>
          <w:b w:val="0"/>
          <w:bCs w:val="0"/>
          <w:sz w:val="20"/>
          <w:szCs w:val="22"/>
        </w:rPr>
        <w:instrText xml:space="preserve"> HYPERLINK \l _Toc23337 </w:instrText>
      </w:r>
      <w:r>
        <w:rPr>
          <w:rFonts w:hint="eastAsia" w:ascii="方正仿宋_GB2312" w:hAnsi="方正仿宋_GB2312" w:eastAsia="方正仿宋_GB2312" w:cs="方正仿宋_GB2312"/>
          <w:b w:val="0"/>
          <w:bCs w:val="0"/>
          <w:sz w:val="20"/>
          <w:szCs w:val="22"/>
        </w:rPr>
        <w:fldChar w:fldCharType="separate"/>
      </w:r>
      <w:r>
        <w:rPr>
          <w:rFonts w:hint="eastAsia" w:ascii="方正仿宋_GB2312" w:hAnsi="方正仿宋_GB2312" w:eastAsia="方正仿宋_GB2312" w:cs="方正仿宋_GB2312"/>
          <w:b w:val="0"/>
          <w:bCs w:val="0"/>
          <w:sz w:val="20"/>
          <w:szCs w:val="20"/>
          <w:lang w:val="en-US" w:eastAsia="zh-CN"/>
        </w:rPr>
        <w:t>5.</w:t>
      </w:r>
      <w:r>
        <w:rPr>
          <w:rFonts w:hint="eastAsia" w:ascii="方正仿宋_GB2312" w:hAnsi="方正仿宋_GB2312" w:eastAsia="方正仿宋_GB2312" w:cs="方正仿宋_GB2312"/>
          <w:b w:val="0"/>
          <w:bCs w:val="0"/>
          <w:sz w:val="20"/>
          <w:szCs w:val="20"/>
          <w:lang w:val="en-US" w:eastAsia="en-US"/>
        </w:rPr>
        <w:t>地质条件</w:t>
      </w:r>
      <w:r>
        <w:rPr>
          <w:rFonts w:hint="eastAsia" w:ascii="方正仿宋_GB2312" w:hAnsi="方正仿宋_GB2312" w:eastAsia="方正仿宋_GB2312" w:cs="方正仿宋_GB2312"/>
          <w:b w:val="0"/>
          <w:bCs w:val="0"/>
          <w:sz w:val="20"/>
          <w:szCs w:val="20"/>
        </w:rPr>
        <w:tab/>
      </w:r>
      <w:r>
        <w:rPr>
          <w:rFonts w:hint="eastAsia" w:ascii="方正仿宋_GB2312" w:hAnsi="方正仿宋_GB2312" w:eastAsia="方正仿宋_GB2312" w:cs="方正仿宋_GB2312"/>
          <w:b w:val="0"/>
          <w:bCs w:val="0"/>
          <w:sz w:val="20"/>
          <w:szCs w:val="20"/>
        </w:rPr>
        <w:fldChar w:fldCharType="begin"/>
      </w:r>
      <w:r>
        <w:rPr>
          <w:rFonts w:hint="eastAsia" w:ascii="方正仿宋_GB2312" w:hAnsi="方正仿宋_GB2312" w:eastAsia="方正仿宋_GB2312" w:cs="方正仿宋_GB2312"/>
          <w:b w:val="0"/>
          <w:bCs w:val="0"/>
          <w:sz w:val="20"/>
          <w:szCs w:val="20"/>
        </w:rPr>
        <w:instrText xml:space="preserve"> PAGEREF _Toc23337 \h </w:instrText>
      </w:r>
      <w:r>
        <w:rPr>
          <w:rFonts w:hint="eastAsia" w:ascii="方正仿宋_GB2312" w:hAnsi="方正仿宋_GB2312" w:eastAsia="方正仿宋_GB2312" w:cs="方正仿宋_GB2312"/>
          <w:b w:val="0"/>
          <w:bCs w:val="0"/>
          <w:sz w:val="20"/>
          <w:szCs w:val="20"/>
        </w:rPr>
        <w:fldChar w:fldCharType="separate"/>
      </w:r>
      <w:r>
        <w:rPr>
          <w:rFonts w:hint="eastAsia" w:ascii="方正仿宋_GB2312" w:hAnsi="方正仿宋_GB2312" w:eastAsia="方正仿宋_GB2312" w:cs="方正仿宋_GB2312"/>
          <w:b w:val="0"/>
          <w:bCs w:val="0"/>
          <w:sz w:val="20"/>
          <w:szCs w:val="20"/>
        </w:rPr>
        <w:t>5</w:t>
      </w:r>
      <w:r>
        <w:rPr>
          <w:rFonts w:hint="eastAsia" w:ascii="方正仿宋_GB2312" w:hAnsi="方正仿宋_GB2312" w:eastAsia="方正仿宋_GB2312" w:cs="方正仿宋_GB2312"/>
          <w:b w:val="0"/>
          <w:bCs w:val="0"/>
          <w:sz w:val="20"/>
          <w:szCs w:val="20"/>
        </w:rPr>
        <w:fldChar w:fldCharType="end"/>
      </w:r>
      <w:r>
        <w:rPr>
          <w:rFonts w:hint="eastAsia" w:ascii="方正仿宋_GB2312" w:hAnsi="方正仿宋_GB2312" w:eastAsia="方正仿宋_GB2312" w:cs="方正仿宋_GB2312"/>
          <w:b w:val="0"/>
          <w:bCs w:val="0"/>
          <w:sz w:val="20"/>
          <w:szCs w:val="22"/>
        </w:rPr>
        <w:fldChar w:fldCharType="end"/>
      </w:r>
    </w:p>
    <w:p w14:paraId="16D47B3E">
      <w:pPr>
        <w:pStyle w:val="8"/>
        <w:tabs>
          <w:tab w:val="right" w:leader="dot" w:pos="8307"/>
        </w:tabs>
        <w:spacing w:line="360" w:lineRule="auto"/>
        <w:rPr>
          <w:rFonts w:hint="eastAsia" w:ascii="方正仿宋_GB2312" w:hAnsi="方正仿宋_GB2312" w:eastAsia="方正仿宋_GB2312" w:cs="方正仿宋_GB2312"/>
          <w:b w:val="0"/>
          <w:bCs w:val="0"/>
          <w:sz w:val="20"/>
          <w:szCs w:val="20"/>
        </w:rPr>
      </w:pPr>
      <w:r>
        <w:rPr>
          <w:rFonts w:hint="eastAsia" w:ascii="方正仿宋_GB2312" w:hAnsi="方正仿宋_GB2312" w:eastAsia="方正仿宋_GB2312" w:cs="方正仿宋_GB2312"/>
          <w:b w:val="0"/>
          <w:bCs w:val="0"/>
          <w:sz w:val="20"/>
          <w:szCs w:val="22"/>
        </w:rPr>
        <w:fldChar w:fldCharType="begin"/>
      </w:r>
      <w:r>
        <w:rPr>
          <w:rFonts w:hint="eastAsia" w:ascii="方正仿宋_GB2312" w:hAnsi="方正仿宋_GB2312" w:eastAsia="方正仿宋_GB2312" w:cs="方正仿宋_GB2312"/>
          <w:b w:val="0"/>
          <w:bCs w:val="0"/>
          <w:sz w:val="20"/>
          <w:szCs w:val="22"/>
        </w:rPr>
        <w:instrText xml:space="preserve"> HYPERLINK \l _Toc20026 </w:instrText>
      </w:r>
      <w:r>
        <w:rPr>
          <w:rFonts w:hint="eastAsia" w:ascii="方正仿宋_GB2312" w:hAnsi="方正仿宋_GB2312" w:eastAsia="方正仿宋_GB2312" w:cs="方正仿宋_GB2312"/>
          <w:b w:val="0"/>
          <w:bCs w:val="0"/>
          <w:sz w:val="20"/>
          <w:szCs w:val="22"/>
        </w:rPr>
        <w:fldChar w:fldCharType="separate"/>
      </w:r>
      <w:r>
        <w:rPr>
          <w:rFonts w:hint="eastAsia" w:ascii="方正仿宋_GB2312" w:hAnsi="方正仿宋_GB2312" w:eastAsia="方正仿宋_GB2312" w:cs="方正仿宋_GB2312"/>
          <w:b w:val="0"/>
          <w:bCs w:val="0"/>
          <w:sz w:val="20"/>
          <w:szCs w:val="20"/>
          <w:lang w:val="en-US" w:eastAsia="zh-CN"/>
        </w:rPr>
        <w:t>6.</w:t>
      </w:r>
      <w:r>
        <w:rPr>
          <w:rFonts w:hint="eastAsia" w:ascii="方正仿宋_GB2312" w:hAnsi="方正仿宋_GB2312" w:eastAsia="方正仿宋_GB2312" w:cs="方正仿宋_GB2312"/>
          <w:b w:val="0"/>
          <w:bCs w:val="0"/>
          <w:sz w:val="20"/>
          <w:szCs w:val="20"/>
          <w:lang w:val="en-US" w:eastAsia="en-US"/>
        </w:rPr>
        <w:t>土壤植被</w:t>
      </w:r>
      <w:r>
        <w:rPr>
          <w:rFonts w:hint="eastAsia" w:ascii="方正仿宋_GB2312" w:hAnsi="方正仿宋_GB2312" w:eastAsia="方正仿宋_GB2312" w:cs="方正仿宋_GB2312"/>
          <w:b w:val="0"/>
          <w:bCs w:val="0"/>
          <w:sz w:val="20"/>
          <w:szCs w:val="20"/>
        </w:rPr>
        <w:tab/>
      </w:r>
      <w:r>
        <w:rPr>
          <w:rFonts w:hint="eastAsia" w:ascii="方正仿宋_GB2312" w:hAnsi="方正仿宋_GB2312" w:eastAsia="方正仿宋_GB2312" w:cs="方正仿宋_GB2312"/>
          <w:b w:val="0"/>
          <w:bCs w:val="0"/>
          <w:sz w:val="20"/>
          <w:szCs w:val="20"/>
        </w:rPr>
        <w:fldChar w:fldCharType="begin"/>
      </w:r>
      <w:r>
        <w:rPr>
          <w:rFonts w:hint="eastAsia" w:ascii="方正仿宋_GB2312" w:hAnsi="方正仿宋_GB2312" w:eastAsia="方正仿宋_GB2312" w:cs="方正仿宋_GB2312"/>
          <w:b w:val="0"/>
          <w:bCs w:val="0"/>
          <w:sz w:val="20"/>
          <w:szCs w:val="20"/>
        </w:rPr>
        <w:instrText xml:space="preserve"> PAGEREF _Toc20026 \h </w:instrText>
      </w:r>
      <w:r>
        <w:rPr>
          <w:rFonts w:hint="eastAsia" w:ascii="方正仿宋_GB2312" w:hAnsi="方正仿宋_GB2312" w:eastAsia="方正仿宋_GB2312" w:cs="方正仿宋_GB2312"/>
          <w:b w:val="0"/>
          <w:bCs w:val="0"/>
          <w:sz w:val="20"/>
          <w:szCs w:val="20"/>
        </w:rPr>
        <w:fldChar w:fldCharType="separate"/>
      </w:r>
      <w:r>
        <w:rPr>
          <w:rFonts w:hint="eastAsia" w:ascii="方正仿宋_GB2312" w:hAnsi="方正仿宋_GB2312" w:eastAsia="方正仿宋_GB2312" w:cs="方正仿宋_GB2312"/>
          <w:b w:val="0"/>
          <w:bCs w:val="0"/>
          <w:sz w:val="20"/>
          <w:szCs w:val="20"/>
        </w:rPr>
        <w:t>6</w:t>
      </w:r>
      <w:r>
        <w:rPr>
          <w:rFonts w:hint="eastAsia" w:ascii="方正仿宋_GB2312" w:hAnsi="方正仿宋_GB2312" w:eastAsia="方正仿宋_GB2312" w:cs="方正仿宋_GB2312"/>
          <w:b w:val="0"/>
          <w:bCs w:val="0"/>
          <w:sz w:val="20"/>
          <w:szCs w:val="20"/>
        </w:rPr>
        <w:fldChar w:fldCharType="end"/>
      </w:r>
      <w:r>
        <w:rPr>
          <w:rFonts w:hint="eastAsia" w:ascii="方正仿宋_GB2312" w:hAnsi="方正仿宋_GB2312" w:eastAsia="方正仿宋_GB2312" w:cs="方正仿宋_GB2312"/>
          <w:b w:val="0"/>
          <w:bCs w:val="0"/>
          <w:sz w:val="20"/>
          <w:szCs w:val="22"/>
        </w:rPr>
        <w:fldChar w:fldCharType="end"/>
      </w:r>
    </w:p>
    <w:p w14:paraId="3A3579C2">
      <w:pPr>
        <w:pStyle w:val="11"/>
        <w:tabs>
          <w:tab w:val="right" w:leader="dot" w:pos="8307"/>
        </w:tabs>
        <w:spacing w:line="360" w:lineRule="auto"/>
        <w:rPr>
          <w:rFonts w:hint="eastAsia" w:ascii="方正仿宋_GB2312" w:hAnsi="方正仿宋_GB2312" w:eastAsia="方正仿宋_GB2312" w:cs="方正仿宋_GB2312"/>
          <w:b/>
          <w:bCs/>
          <w:sz w:val="20"/>
          <w:szCs w:val="20"/>
        </w:rPr>
      </w:pPr>
      <w:r>
        <w:rPr>
          <w:rFonts w:hint="eastAsia" w:ascii="方正仿宋_GB2312" w:hAnsi="方正仿宋_GB2312" w:eastAsia="方正仿宋_GB2312" w:cs="方正仿宋_GB2312"/>
          <w:b/>
          <w:bCs/>
          <w:sz w:val="20"/>
          <w:szCs w:val="22"/>
        </w:rPr>
        <w:fldChar w:fldCharType="begin"/>
      </w:r>
      <w:r>
        <w:rPr>
          <w:rFonts w:hint="eastAsia" w:ascii="方正仿宋_GB2312" w:hAnsi="方正仿宋_GB2312" w:eastAsia="方正仿宋_GB2312" w:cs="方正仿宋_GB2312"/>
          <w:b/>
          <w:bCs/>
          <w:sz w:val="20"/>
          <w:szCs w:val="22"/>
        </w:rPr>
        <w:instrText xml:space="preserve"> HYPERLINK \l _Toc1768 </w:instrText>
      </w:r>
      <w:r>
        <w:rPr>
          <w:rFonts w:hint="eastAsia" w:ascii="方正仿宋_GB2312" w:hAnsi="方正仿宋_GB2312" w:eastAsia="方正仿宋_GB2312" w:cs="方正仿宋_GB2312"/>
          <w:b/>
          <w:bCs/>
          <w:sz w:val="20"/>
          <w:szCs w:val="22"/>
        </w:rPr>
        <w:fldChar w:fldCharType="separate"/>
      </w:r>
      <w:r>
        <w:rPr>
          <w:rFonts w:hint="eastAsia" w:ascii="方正仿宋_GB2312" w:hAnsi="方正仿宋_GB2312" w:eastAsia="方正仿宋_GB2312" w:cs="方正仿宋_GB2312"/>
          <w:b/>
          <w:bCs/>
          <w:sz w:val="20"/>
          <w:szCs w:val="20"/>
          <w:lang w:eastAsia="zh-CN"/>
        </w:rPr>
        <w:t>（</w:t>
      </w:r>
      <w:r>
        <w:rPr>
          <w:rFonts w:hint="eastAsia" w:ascii="方正仿宋_GB2312" w:hAnsi="方正仿宋_GB2312" w:eastAsia="方正仿宋_GB2312" w:cs="方正仿宋_GB2312"/>
          <w:b/>
          <w:bCs/>
          <w:sz w:val="20"/>
          <w:szCs w:val="20"/>
          <w:lang w:val="en-US" w:eastAsia="zh-CN"/>
        </w:rPr>
        <w:t>三</w:t>
      </w:r>
      <w:r>
        <w:rPr>
          <w:rFonts w:hint="eastAsia" w:ascii="方正仿宋_GB2312" w:hAnsi="方正仿宋_GB2312" w:eastAsia="方正仿宋_GB2312" w:cs="方正仿宋_GB2312"/>
          <w:b/>
          <w:bCs/>
          <w:sz w:val="20"/>
          <w:szCs w:val="20"/>
          <w:lang w:eastAsia="zh-CN"/>
        </w:rPr>
        <w:t>）社会经济</w:t>
      </w:r>
      <w:r>
        <w:rPr>
          <w:rFonts w:hint="eastAsia" w:ascii="方正仿宋_GB2312" w:hAnsi="方正仿宋_GB2312" w:eastAsia="方正仿宋_GB2312" w:cs="方正仿宋_GB2312"/>
          <w:b/>
          <w:bCs/>
          <w:sz w:val="20"/>
          <w:szCs w:val="20"/>
        </w:rPr>
        <w:tab/>
      </w:r>
      <w:r>
        <w:rPr>
          <w:rFonts w:hint="eastAsia" w:ascii="方正仿宋_GB2312" w:hAnsi="方正仿宋_GB2312" w:eastAsia="方正仿宋_GB2312" w:cs="方正仿宋_GB2312"/>
          <w:b/>
          <w:bCs/>
          <w:sz w:val="20"/>
          <w:szCs w:val="20"/>
        </w:rPr>
        <w:fldChar w:fldCharType="begin"/>
      </w:r>
      <w:r>
        <w:rPr>
          <w:rFonts w:hint="eastAsia" w:ascii="方正仿宋_GB2312" w:hAnsi="方正仿宋_GB2312" w:eastAsia="方正仿宋_GB2312" w:cs="方正仿宋_GB2312"/>
          <w:b/>
          <w:bCs/>
          <w:sz w:val="20"/>
          <w:szCs w:val="20"/>
        </w:rPr>
        <w:instrText xml:space="preserve"> PAGEREF _Toc1768 \h </w:instrText>
      </w:r>
      <w:r>
        <w:rPr>
          <w:rFonts w:hint="eastAsia" w:ascii="方正仿宋_GB2312" w:hAnsi="方正仿宋_GB2312" w:eastAsia="方正仿宋_GB2312" w:cs="方正仿宋_GB2312"/>
          <w:b/>
          <w:bCs/>
          <w:sz w:val="20"/>
          <w:szCs w:val="20"/>
        </w:rPr>
        <w:fldChar w:fldCharType="separate"/>
      </w:r>
      <w:r>
        <w:rPr>
          <w:rFonts w:hint="eastAsia" w:ascii="方正仿宋_GB2312" w:hAnsi="方正仿宋_GB2312" w:eastAsia="方正仿宋_GB2312" w:cs="方正仿宋_GB2312"/>
          <w:b/>
          <w:bCs/>
          <w:sz w:val="20"/>
          <w:szCs w:val="20"/>
        </w:rPr>
        <w:t>6</w:t>
      </w:r>
      <w:r>
        <w:rPr>
          <w:rFonts w:hint="eastAsia" w:ascii="方正仿宋_GB2312" w:hAnsi="方正仿宋_GB2312" w:eastAsia="方正仿宋_GB2312" w:cs="方正仿宋_GB2312"/>
          <w:b/>
          <w:bCs/>
          <w:sz w:val="20"/>
          <w:szCs w:val="20"/>
        </w:rPr>
        <w:fldChar w:fldCharType="end"/>
      </w:r>
      <w:r>
        <w:rPr>
          <w:rFonts w:hint="eastAsia" w:ascii="方正仿宋_GB2312" w:hAnsi="方正仿宋_GB2312" w:eastAsia="方正仿宋_GB2312" w:cs="方正仿宋_GB2312"/>
          <w:b/>
          <w:bCs/>
          <w:sz w:val="20"/>
          <w:szCs w:val="22"/>
        </w:rPr>
        <w:fldChar w:fldCharType="end"/>
      </w:r>
    </w:p>
    <w:p w14:paraId="2EC5A662">
      <w:pPr>
        <w:pStyle w:val="11"/>
        <w:tabs>
          <w:tab w:val="right" w:leader="dot" w:pos="8307"/>
        </w:tabs>
        <w:spacing w:line="360" w:lineRule="auto"/>
        <w:rPr>
          <w:rFonts w:hint="eastAsia" w:ascii="仿宋" w:hAnsi="仿宋" w:eastAsia="仿宋" w:cs="仿宋"/>
          <w:b/>
          <w:bCs/>
          <w:sz w:val="20"/>
          <w:szCs w:val="20"/>
        </w:rPr>
      </w:pPr>
      <w:r>
        <w:rPr>
          <w:rFonts w:hint="eastAsia" w:ascii="方正仿宋_GB2312" w:hAnsi="方正仿宋_GB2312" w:eastAsia="方正仿宋_GB2312" w:cs="方正仿宋_GB2312"/>
          <w:b/>
          <w:bCs/>
          <w:sz w:val="20"/>
          <w:szCs w:val="22"/>
        </w:rPr>
        <w:fldChar w:fldCharType="begin"/>
      </w:r>
      <w:r>
        <w:rPr>
          <w:rFonts w:hint="eastAsia" w:ascii="方正仿宋_GB2312" w:hAnsi="方正仿宋_GB2312" w:eastAsia="方正仿宋_GB2312" w:cs="方正仿宋_GB2312"/>
          <w:b/>
          <w:bCs/>
          <w:sz w:val="20"/>
          <w:szCs w:val="22"/>
        </w:rPr>
        <w:instrText xml:space="preserve"> HYPERLINK \l _Toc2729 </w:instrText>
      </w:r>
      <w:r>
        <w:rPr>
          <w:rFonts w:hint="eastAsia" w:ascii="方正仿宋_GB2312" w:hAnsi="方正仿宋_GB2312" w:eastAsia="方正仿宋_GB2312" w:cs="方正仿宋_GB2312"/>
          <w:b/>
          <w:bCs/>
          <w:sz w:val="20"/>
          <w:szCs w:val="22"/>
        </w:rPr>
        <w:fldChar w:fldCharType="separate"/>
      </w:r>
      <w:r>
        <w:rPr>
          <w:rFonts w:hint="eastAsia" w:ascii="方正仿宋_GB2312" w:hAnsi="方正仿宋_GB2312" w:eastAsia="方正仿宋_GB2312" w:cs="方正仿宋_GB2312"/>
          <w:b/>
          <w:bCs/>
          <w:sz w:val="20"/>
          <w:szCs w:val="20"/>
          <w:lang w:eastAsia="zh-CN"/>
        </w:rPr>
        <w:t>（</w:t>
      </w:r>
      <w:r>
        <w:rPr>
          <w:rFonts w:hint="eastAsia" w:ascii="方正仿宋_GB2312" w:hAnsi="方正仿宋_GB2312" w:eastAsia="方正仿宋_GB2312" w:cs="方正仿宋_GB2312"/>
          <w:b/>
          <w:bCs/>
          <w:sz w:val="20"/>
          <w:szCs w:val="20"/>
          <w:lang w:val="en-US" w:eastAsia="zh-CN"/>
        </w:rPr>
        <w:t>四</w:t>
      </w:r>
      <w:r>
        <w:rPr>
          <w:rFonts w:hint="eastAsia" w:ascii="方正仿宋_GB2312" w:hAnsi="方正仿宋_GB2312" w:eastAsia="方正仿宋_GB2312" w:cs="方正仿宋_GB2312"/>
          <w:b/>
          <w:bCs/>
          <w:sz w:val="20"/>
          <w:szCs w:val="20"/>
          <w:lang w:eastAsia="zh-CN"/>
        </w:rPr>
        <w:t>）水土流失与水土保持状况</w:t>
      </w:r>
      <w:r>
        <w:rPr>
          <w:rFonts w:hint="eastAsia" w:ascii="方正仿宋_GB2312" w:hAnsi="方正仿宋_GB2312" w:eastAsia="方正仿宋_GB2312" w:cs="方正仿宋_GB2312"/>
          <w:b/>
          <w:bCs/>
          <w:sz w:val="20"/>
          <w:szCs w:val="20"/>
        </w:rPr>
        <w:tab/>
      </w:r>
      <w:r>
        <w:rPr>
          <w:rFonts w:hint="eastAsia" w:ascii="方正仿宋_GB2312" w:hAnsi="方正仿宋_GB2312" w:eastAsia="方正仿宋_GB2312" w:cs="方正仿宋_GB2312"/>
          <w:b/>
          <w:bCs/>
          <w:sz w:val="20"/>
          <w:szCs w:val="20"/>
        </w:rPr>
        <w:fldChar w:fldCharType="begin"/>
      </w:r>
      <w:r>
        <w:rPr>
          <w:rFonts w:hint="eastAsia" w:ascii="方正仿宋_GB2312" w:hAnsi="方正仿宋_GB2312" w:eastAsia="方正仿宋_GB2312" w:cs="方正仿宋_GB2312"/>
          <w:b/>
          <w:bCs/>
          <w:sz w:val="20"/>
          <w:szCs w:val="20"/>
        </w:rPr>
        <w:instrText xml:space="preserve"> PAGEREF _Toc2729 \h </w:instrText>
      </w:r>
      <w:r>
        <w:rPr>
          <w:rFonts w:hint="eastAsia" w:ascii="方正仿宋_GB2312" w:hAnsi="方正仿宋_GB2312" w:eastAsia="方正仿宋_GB2312" w:cs="方正仿宋_GB2312"/>
          <w:b/>
          <w:bCs/>
          <w:sz w:val="20"/>
          <w:szCs w:val="20"/>
        </w:rPr>
        <w:fldChar w:fldCharType="separate"/>
      </w:r>
      <w:r>
        <w:rPr>
          <w:rFonts w:hint="eastAsia" w:ascii="方正仿宋_GB2312" w:hAnsi="方正仿宋_GB2312" w:eastAsia="方正仿宋_GB2312" w:cs="方正仿宋_GB2312"/>
          <w:b/>
          <w:bCs/>
          <w:sz w:val="20"/>
          <w:szCs w:val="20"/>
        </w:rPr>
        <w:t>7</w:t>
      </w:r>
      <w:r>
        <w:rPr>
          <w:rFonts w:hint="eastAsia" w:ascii="方正仿宋_GB2312" w:hAnsi="方正仿宋_GB2312" w:eastAsia="方正仿宋_GB2312" w:cs="方正仿宋_GB2312"/>
          <w:b/>
          <w:bCs/>
          <w:sz w:val="20"/>
          <w:szCs w:val="20"/>
        </w:rPr>
        <w:fldChar w:fldCharType="end"/>
      </w:r>
      <w:r>
        <w:rPr>
          <w:rFonts w:hint="eastAsia" w:ascii="方正仿宋_GB2312" w:hAnsi="方正仿宋_GB2312" w:eastAsia="方正仿宋_GB2312" w:cs="方正仿宋_GB2312"/>
          <w:b/>
          <w:bCs/>
          <w:sz w:val="20"/>
          <w:szCs w:val="22"/>
        </w:rPr>
        <w:fldChar w:fldCharType="end"/>
      </w:r>
    </w:p>
    <w:p w14:paraId="17BE8D95">
      <w:pPr>
        <w:pStyle w:val="10"/>
        <w:tabs>
          <w:tab w:val="right" w:leader="dot" w:pos="8307"/>
        </w:tabs>
        <w:spacing w:line="360" w:lineRule="auto"/>
        <w:rPr>
          <w:rFonts w:hint="eastAsia" w:ascii="仿宋" w:hAnsi="仿宋" w:eastAsia="仿宋" w:cs="仿宋"/>
          <w:b w:val="0"/>
          <w:bCs w:val="0"/>
          <w:sz w:val="21"/>
          <w:szCs w:val="21"/>
        </w:rPr>
      </w:pPr>
      <w:r>
        <w:rPr>
          <w:rFonts w:hint="eastAsia" w:ascii="仿宋" w:hAnsi="仿宋" w:eastAsia="仿宋" w:cs="仿宋"/>
          <w:b w:val="0"/>
          <w:bCs w:val="0"/>
          <w:sz w:val="21"/>
          <w:szCs w:val="24"/>
        </w:rPr>
        <w:fldChar w:fldCharType="begin"/>
      </w:r>
      <w:r>
        <w:rPr>
          <w:rFonts w:hint="eastAsia" w:ascii="仿宋" w:hAnsi="仿宋" w:eastAsia="仿宋" w:cs="仿宋"/>
          <w:b w:val="0"/>
          <w:bCs w:val="0"/>
          <w:sz w:val="21"/>
          <w:szCs w:val="24"/>
        </w:rPr>
        <w:instrText xml:space="preserve"> HYPERLINK \l _Toc3002 </w:instrText>
      </w:r>
      <w:r>
        <w:rPr>
          <w:rFonts w:hint="eastAsia" w:ascii="仿宋" w:hAnsi="仿宋" w:eastAsia="仿宋" w:cs="仿宋"/>
          <w:b w:val="0"/>
          <w:bCs w:val="0"/>
          <w:sz w:val="21"/>
          <w:szCs w:val="24"/>
        </w:rPr>
        <w:fldChar w:fldCharType="separate"/>
      </w:r>
      <w:r>
        <w:rPr>
          <w:rFonts w:hint="eastAsia" w:ascii="黑体" w:hAnsi="黑体" w:eastAsia="黑体" w:cs="黑体"/>
          <w:b w:val="0"/>
          <w:bCs w:val="0"/>
          <w:sz w:val="21"/>
          <w:szCs w:val="24"/>
          <w:lang w:val="en-US" w:eastAsia="zh-CN"/>
        </w:rPr>
        <w:t>二、划定依据与技术路线</w:t>
      </w:r>
      <w:r>
        <w:rPr>
          <w:rFonts w:hint="eastAsia" w:ascii="仿宋" w:hAnsi="仿宋" w:eastAsia="仿宋" w:cs="仿宋"/>
          <w:b/>
          <w:bCs/>
          <w:sz w:val="21"/>
          <w:szCs w:val="21"/>
        </w:rPr>
        <w:tab/>
      </w:r>
      <w:r>
        <w:rPr>
          <w:rFonts w:hint="eastAsia" w:ascii="仿宋" w:hAnsi="仿宋" w:eastAsia="仿宋" w:cs="仿宋"/>
          <w:b/>
          <w:bCs/>
          <w:sz w:val="21"/>
          <w:szCs w:val="21"/>
        </w:rPr>
        <w:fldChar w:fldCharType="begin"/>
      </w:r>
      <w:r>
        <w:rPr>
          <w:rFonts w:hint="eastAsia" w:ascii="仿宋" w:hAnsi="仿宋" w:eastAsia="仿宋" w:cs="仿宋"/>
          <w:b/>
          <w:bCs/>
          <w:sz w:val="21"/>
          <w:szCs w:val="21"/>
        </w:rPr>
        <w:instrText xml:space="preserve"> PAGEREF _Toc3002 \h </w:instrText>
      </w:r>
      <w:r>
        <w:rPr>
          <w:rFonts w:hint="eastAsia" w:ascii="仿宋" w:hAnsi="仿宋" w:eastAsia="仿宋" w:cs="仿宋"/>
          <w:b/>
          <w:bCs/>
          <w:sz w:val="21"/>
          <w:szCs w:val="21"/>
        </w:rPr>
        <w:fldChar w:fldCharType="separate"/>
      </w:r>
      <w:r>
        <w:rPr>
          <w:rFonts w:hint="eastAsia" w:ascii="仿宋" w:hAnsi="仿宋" w:eastAsia="仿宋" w:cs="仿宋"/>
          <w:b/>
          <w:bCs/>
          <w:sz w:val="21"/>
          <w:szCs w:val="21"/>
        </w:rPr>
        <w:t>10</w:t>
      </w:r>
      <w:r>
        <w:rPr>
          <w:rFonts w:hint="eastAsia" w:ascii="仿宋" w:hAnsi="仿宋" w:eastAsia="仿宋" w:cs="仿宋"/>
          <w:b/>
          <w:bCs/>
          <w:sz w:val="21"/>
          <w:szCs w:val="21"/>
        </w:rPr>
        <w:fldChar w:fldCharType="end"/>
      </w:r>
      <w:r>
        <w:rPr>
          <w:rFonts w:hint="eastAsia" w:ascii="仿宋" w:hAnsi="仿宋" w:eastAsia="仿宋" w:cs="仿宋"/>
          <w:b w:val="0"/>
          <w:bCs w:val="0"/>
          <w:sz w:val="21"/>
          <w:szCs w:val="24"/>
        </w:rPr>
        <w:fldChar w:fldCharType="end"/>
      </w:r>
    </w:p>
    <w:p w14:paraId="04A2FB9C">
      <w:pPr>
        <w:pStyle w:val="11"/>
        <w:tabs>
          <w:tab w:val="right" w:leader="dot" w:pos="8307"/>
        </w:tabs>
        <w:spacing w:line="360" w:lineRule="auto"/>
        <w:rPr>
          <w:rFonts w:hint="eastAsia" w:ascii="仿宋" w:hAnsi="仿宋" w:eastAsia="仿宋" w:cs="仿宋"/>
          <w:b/>
          <w:bCs/>
          <w:sz w:val="20"/>
          <w:szCs w:val="20"/>
        </w:rPr>
      </w:pPr>
      <w:r>
        <w:rPr>
          <w:rFonts w:hint="eastAsia" w:ascii="仿宋" w:hAnsi="仿宋" w:eastAsia="仿宋" w:cs="仿宋"/>
          <w:b/>
          <w:bCs/>
          <w:sz w:val="20"/>
          <w:szCs w:val="22"/>
        </w:rPr>
        <w:fldChar w:fldCharType="begin"/>
      </w:r>
      <w:r>
        <w:rPr>
          <w:rFonts w:hint="eastAsia" w:ascii="仿宋" w:hAnsi="仿宋" w:eastAsia="仿宋" w:cs="仿宋"/>
          <w:b/>
          <w:bCs/>
          <w:sz w:val="20"/>
          <w:szCs w:val="22"/>
        </w:rPr>
        <w:instrText xml:space="preserve"> HYPERLINK \l _Toc25214 </w:instrText>
      </w:r>
      <w:r>
        <w:rPr>
          <w:rFonts w:hint="eastAsia" w:ascii="仿宋" w:hAnsi="仿宋" w:eastAsia="仿宋" w:cs="仿宋"/>
          <w:b/>
          <w:bCs/>
          <w:sz w:val="20"/>
          <w:szCs w:val="22"/>
        </w:rPr>
        <w:fldChar w:fldCharType="separate"/>
      </w:r>
      <w:r>
        <w:rPr>
          <w:rFonts w:hint="eastAsia" w:ascii="仿宋" w:hAnsi="仿宋" w:eastAsia="仿宋" w:cs="仿宋"/>
          <w:b/>
          <w:bCs/>
          <w:sz w:val="20"/>
          <w:szCs w:val="20"/>
          <w:lang w:eastAsia="zh-CN"/>
        </w:rPr>
        <w:t>（</w:t>
      </w:r>
      <w:r>
        <w:rPr>
          <w:rFonts w:hint="eastAsia" w:ascii="仿宋" w:hAnsi="仿宋" w:eastAsia="仿宋" w:cs="仿宋"/>
          <w:b/>
          <w:bCs/>
          <w:sz w:val="20"/>
          <w:szCs w:val="20"/>
          <w:lang w:val="en-US" w:eastAsia="zh-CN"/>
        </w:rPr>
        <w:t>一</w:t>
      </w:r>
      <w:r>
        <w:rPr>
          <w:rFonts w:hint="eastAsia" w:ascii="仿宋" w:hAnsi="仿宋" w:eastAsia="仿宋" w:cs="仿宋"/>
          <w:b/>
          <w:bCs/>
          <w:sz w:val="20"/>
          <w:szCs w:val="20"/>
          <w:lang w:eastAsia="zh-CN"/>
        </w:rPr>
        <w:t>）划定原则</w:t>
      </w:r>
      <w:r>
        <w:rPr>
          <w:rFonts w:hint="eastAsia" w:ascii="仿宋" w:hAnsi="仿宋" w:eastAsia="仿宋" w:cs="仿宋"/>
          <w:b/>
          <w:bCs/>
          <w:sz w:val="20"/>
          <w:szCs w:val="20"/>
        </w:rPr>
        <w:tab/>
      </w:r>
      <w:r>
        <w:rPr>
          <w:rFonts w:hint="eastAsia" w:ascii="仿宋" w:hAnsi="仿宋" w:eastAsia="仿宋" w:cs="仿宋"/>
          <w:b/>
          <w:bCs/>
          <w:sz w:val="20"/>
          <w:szCs w:val="20"/>
        </w:rPr>
        <w:fldChar w:fldCharType="begin"/>
      </w:r>
      <w:r>
        <w:rPr>
          <w:rFonts w:hint="eastAsia" w:ascii="仿宋" w:hAnsi="仿宋" w:eastAsia="仿宋" w:cs="仿宋"/>
          <w:b/>
          <w:bCs/>
          <w:sz w:val="20"/>
          <w:szCs w:val="20"/>
        </w:rPr>
        <w:instrText xml:space="preserve"> PAGEREF _Toc25214 \h </w:instrText>
      </w:r>
      <w:r>
        <w:rPr>
          <w:rFonts w:hint="eastAsia" w:ascii="仿宋" w:hAnsi="仿宋" w:eastAsia="仿宋" w:cs="仿宋"/>
          <w:b/>
          <w:bCs/>
          <w:sz w:val="20"/>
          <w:szCs w:val="20"/>
        </w:rPr>
        <w:fldChar w:fldCharType="separate"/>
      </w:r>
      <w:r>
        <w:rPr>
          <w:rFonts w:hint="eastAsia" w:ascii="仿宋" w:hAnsi="仿宋" w:eastAsia="仿宋" w:cs="仿宋"/>
          <w:b/>
          <w:bCs/>
          <w:sz w:val="20"/>
          <w:szCs w:val="20"/>
        </w:rPr>
        <w:t>10</w:t>
      </w:r>
      <w:r>
        <w:rPr>
          <w:rFonts w:hint="eastAsia" w:ascii="仿宋" w:hAnsi="仿宋" w:eastAsia="仿宋" w:cs="仿宋"/>
          <w:b/>
          <w:bCs/>
          <w:sz w:val="20"/>
          <w:szCs w:val="20"/>
        </w:rPr>
        <w:fldChar w:fldCharType="end"/>
      </w:r>
      <w:r>
        <w:rPr>
          <w:rFonts w:hint="eastAsia" w:ascii="仿宋" w:hAnsi="仿宋" w:eastAsia="仿宋" w:cs="仿宋"/>
          <w:b/>
          <w:bCs/>
          <w:sz w:val="20"/>
          <w:szCs w:val="22"/>
        </w:rPr>
        <w:fldChar w:fldCharType="end"/>
      </w:r>
    </w:p>
    <w:p w14:paraId="5484893E">
      <w:pPr>
        <w:pStyle w:val="11"/>
        <w:tabs>
          <w:tab w:val="right" w:leader="dot" w:pos="8307"/>
        </w:tabs>
        <w:spacing w:line="360" w:lineRule="auto"/>
        <w:rPr>
          <w:rFonts w:hint="eastAsia" w:ascii="仿宋" w:hAnsi="仿宋" w:eastAsia="仿宋" w:cs="仿宋"/>
          <w:b/>
          <w:bCs/>
          <w:sz w:val="20"/>
          <w:szCs w:val="20"/>
        </w:rPr>
      </w:pPr>
      <w:r>
        <w:rPr>
          <w:rFonts w:hint="eastAsia" w:ascii="仿宋" w:hAnsi="仿宋" w:eastAsia="仿宋" w:cs="仿宋"/>
          <w:b/>
          <w:bCs/>
          <w:sz w:val="20"/>
          <w:szCs w:val="22"/>
        </w:rPr>
        <w:fldChar w:fldCharType="begin"/>
      </w:r>
      <w:r>
        <w:rPr>
          <w:rFonts w:hint="eastAsia" w:ascii="仿宋" w:hAnsi="仿宋" w:eastAsia="仿宋" w:cs="仿宋"/>
          <w:b/>
          <w:bCs/>
          <w:sz w:val="20"/>
          <w:szCs w:val="22"/>
        </w:rPr>
        <w:instrText xml:space="preserve"> HYPERLINK \l _Toc4989 </w:instrText>
      </w:r>
      <w:r>
        <w:rPr>
          <w:rFonts w:hint="eastAsia" w:ascii="仿宋" w:hAnsi="仿宋" w:eastAsia="仿宋" w:cs="仿宋"/>
          <w:b/>
          <w:bCs/>
          <w:sz w:val="20"/>
          <w:szCs w:val="22"/>
        </w:rPr>
        <w:fldChar w:fldCharType="separate"/>
      </w:r>
      <w:r>
        <w:rPr>
          <w:rFonts w:hint="eastAsia" w:ascii="仿宋" w:hAnsi="仿宋" w:eastAsia="仿宋" w:cs="仿宋"/>
          <w:b/>
          <w:bCs/>
          <w:sz w:val="20"/>
          <w:szCs w:val="20"/>
          <w:lang w:eastAsia="zh-CN"/>
        </w:rPr>
        <w:t>（</w:t>
      </w:r>
      <w:r>
        <w:rPr>
          <w:rFonts w:hint="eastAsia" w:ascii="仿宋" w:hAnsi="仿宋" w:eastAsia="仿宋" w:cs="仿宋"/>
          <w:b/>
          <w:bCs/>
          <w:sz w:val="20"/>
          <w:szCs w:val="20"/>
          <w:lang w:val="en-US" w:eastAsia="zh-CN"/>
        </w:rPr>
        <w:t>二</w:t>
      </w:r>
      <w:r>
        <w:rPr>
          <w:rFonts w:hint="eastAsia" w:ascii="仿宋" w:hAnsi="仿宋" w:eastAsia="仿宋" w:cs="仿宋"/>
          <w:b/>
          <w:bCs/>
          <w:sz w:val="20"/>
          <w:szCs w:val="20"/>
          <w:lang w:eastAsia="zh-CN"/>
        </w:rPr>
        <w:t>）划定依据</w:t>
      </w:r>
      <w:r>
        <w:rPr>
          <w:rFonts w:hint="eastAsia" w:ascii="仿宋" w:hAnsi="仿宋" w:eastAsia="仿宋" w:cs="仿宋"/>
          <w:b/>
          <w:bCs/>
          <w:sz w:val="20"/>
          <w:szCs w:val="20"/>
        </w:rPr>
        <w:tab/>
      </w:r>
      <w:r>
        <w:rPr>
          <w:rFonts w:hint="eastAsia" w:ascii="仿宋" w:hAnsi="仿宋" w:eastAsia="仿宋" w:cs="仿宋"/>
          <w:b/>
          <w:bCs/>
          <w:sz w:val="20"/>
          <w:szCs w:val="20"/>
        </w:rPr>
        <w:fldChar w:fldCharType="begin"/>
      </w:r>
      <w:r>
        <w:rPr>
          <w:rFonts w:hint="eastAsia" w:ascii="仿宋" w:hAnsi="仿宋" w:eastAsia="仿宋" w:cs="仿宋"/>
          <w:b/>
          <w:bCs/>
          <w:sz w:val="20"/>
          <w:szCs w:val="20"/>
        </w:rPr>
        <w:instrText xml:space="preserve"> PAGEREF _Toc4989 \h </w:instrText>
      </w:r>
      <w:r>
        <w:rPr>
          <w:rFonts w:hint="eastAsia" w:ascii="仿宋" w:hAnsi="仿宋" w:eastAsia="仿宋" w:cs="仿宋"/>
          <w:b/>
          <w:bCs/>
          <w:sz w:val="20"/>
          <w:szCs w:val="20"/>
        </w:rPr>
        <w:fldChar w:fldCharType="separate"/>
      </w:r>
      <w:r>
        <w:rPr>
          <w:rFonts w:hint="eastAsia" w:ascii="仿宋" w:hAnsi="仿宋" w:eastAsia="仿宋" w:cs="仿宋"/>
          <w:b/>
          <w:bCs/>
          <w:sz w:val="20"/>
          <w:szCs w:val="20"/>
        </w:rPr>
        <w:t>10</w:t>
      </w:r>
      <w:r>
        <w:rPr>
          <w:rFonts w:hint="eastAsia" w:ascii="仿宋" w:hAnsi="仿宋" w:eastAsia="仿宋" w:cs="仿宋"/>
          <w:b/>
          <w:bCs/>
          <w:sz w:val="20"/>
          <w:szCs w:val="20"/>
        </w:rPr>
        <w:fldChar w:fldCharType="end"/>
      </w:r>
      <w:r>
        <w:rPr>
          <w:rFonts w:hint="eastAsia" w:ascii="仿宋" w:hAnsi="仿宋" w:eastAsia="仿宋" w:cs="仿宋"/>
          <w:b/>
          <w:bCs/>
          <w:sz w:val="20"/>
          <w:szCs w:val="22"/>
        </w:rPr>
        <w:fldChar w:fldCharType="end"/>
      </w:r>
    </w:p>
    <w:p w14:paraId="04E36679">
      <w:pPr>
        <w:pStyle w:val="11"/>
        <w:tabs>
          <w:tab w:val="right" w:leader="dot" w:pos="8307"/>
        </w:tabs>
        <w:spacing w:line="360" w:lineRule="auto"/>
        <w:rPr>
          <w:rFonts w:hint="eastAsia" w:ascii="仿宋" w:hAnsi="仿宋" w:eastAsia="仿宋" w:cs="仿宋"/>
          <w:b/>
          <w:bCs/>
          <w:sz w:val="20"/>
          <w:szCs w:val="20"/>
        </w:rPr>
      </w:pPr>
      <w:r>
        <w:rPr>
          <w:rFonts w:hint="eastAsia" w:ascii="仿宋" w:hAnsi="仿宋" w:eastAsia="仿宋" w:cs="仿宋"/>
          <w:b/>
          <w:bCs/>
          <w:sz w:val="20"/>
          <w:szCs w:val="22"/>
        </w:rPr>
        <w:fldChar w:fldCharType="begin"/>
      </w:r>
      <w:r>
        <w:rPr>
          <w:rFonts w:hint="eastAsia" w:ascii="仿宋" w:hAnsi="仿宋" w:eastAsia="仿宋" w:cs="仿宋"/>
          <w:b/>
          <w:bCs/>
          <w:sz w:val="20"/>
          <w:szCs w:val="22"/>
        </w:rPr>
        <w:instrText xml:space="preserve"> HYPERLINK \l _Toc22286 </w:instrText>
      </w:r>
      <w:r>
        <w:rPr>
          <w:rFonts w:hint="eastAsia" w:ascii="仿宋" w:hAnsi="仿宋" w:eastAsia="仿宋" w:cs="仿宋"/>
          <w:b/>
          <w:bCs/>
          <w:sz w:val="20"/>
          <w:szCs w:val="22"/>
        </w:rPr>
        <w:fldChar w:fldCharType="separate"/>
      </w:r>
      <w:r>
        <w:rPr>
          <w:rFonts w:hint="eastAsia" w:ascii="仿宋" w:hAnsi="仿宋" w:eastAsia="仿宋" w:cs="仿宋"/>
          <w:b/>
          <w:bCs/>
          <w:sz w:val="20"/>
          <w:szCs w:val="20"/>
          <w:lang w:eastAsia="zh-CN"/>
        </w:rPr>
        <w:t>（</w:t>
      </w:r>
      <w:r>
        <w:rPr>
          <w:rFonts w:hint="eastAsia" w:ascii="仿宋" w:hAnsi="仿宋" w:eastAsia="仿宋" w:cs="仿宋"/>
          <w:b/>
          <w:bCs/>
          <w:sz w:val="20"/>
          <w:szCs w:val="20"/>
          <w:lang w:val="en-US" w:eastAsia="zh-CN"/>
        </w:rPr>
        <w:t>三</w:t>
      </w:r>
      <w:r>
        <w:rPr>
          <w:rFonts w:hint="eastAsia" w:ascii="仿宋" w:hAnsi="仿宋" w:eastAsia="仿宋" w:cs="仿宋"/>
          <w:b/>
          <w:bCs/>
          <w:sz w:val="20"/>
          <w:szCs w:val="20"/>
          <w:lang w:eastAsia="zh-CN"/>
        </w:rPr>
        <w:t>）划定技术路线</w:t>
      </w:r>
      <w:r>
        <w:rPr>
          <w:rFonts w:hint="eastAsia" w:ascii="仿宋" w:hAnsi="仿宋" w:eastAsia="仿宋" w:cs="仿宋"/>
          <w:b/>
          <w:bCs/>
          <w:sz w:val="20"/>
          <w:szCs w:val="20"/>
        </w:rPr>
        <w:tab/>
      </w:r>
      <w:r>
        <w:rPr>
          <w:rFonts w:hint="eastAsia" w:ascii="仿宋" w:hAnsi="仿宋" w:eastAsia="仿宋" w:cs="仿宋"/>
          <w:b/>
          <w:bCs/>
          <w:sz w:val="20"/>
          <w:szCs w:val="20"/>
        </w:rPr>
        <w:fldChar w:fldCharType="begin"/>
      </w:r>
      <w:r>
        <w:rPr>
          <w:rFonts w:hint="eastAsia" w:ascii="仿宋" w:hAnsi="仿宋" w:eastAsia="仿宋" w:cs="仿宋"/>
          <w:b/>
          <w:bCs/>
          <w:sz w:val="20"/>
          <w:szCs w:val="20"/>
        </w:rPr>
        <w:instrText xml:space="preserve"> PAGEREF _Toc22286 \h </w:instrText>
      </w:r>
      <w:r>
        <w:rPr>
          <w:rFonts w:hint="eastAsia" w:ascii="仿宋" w:hAnsi="仿宋" w:eastAsia="仿宋" w:cs="仿宋"/>
          <w:b/>
          <w:bCs/>
          <w:sz w:val="20"/>
          <w:szCs w:val="20"/>
        </w:rPr>
        <w:fldChar w:fldCharType="separate"/>
      </w:r>
      <w:r>
        <w:rPr>
          <w:rFonts w:hint="eastAsia" w:ascii="仿宋" w:hAnsi="仿宋" w:eastAsia="仿宋" w:cs="仿宋"/>
          <w:b/>
          <w:bCs/>
          <w:sz w:val="20"/>
          <w:szCs w:val="20"/>
        </w:rPr>
        <w:t>12</w:t>
      </w:r>
      <w:r>
        <w:rPr>
          <w:rFonts w:hint="eastAsia" w:ascii="仿宋" w:hAnsi="仿宋" w:eastAsia="仿宋" w:cs="仿宋"/>
          <w:b/>
          <w:bCs/>
          <w:sz w:val="20"/>
          <w:szCs w:val="20"/>
        </w:rPr>
        <w:fldChar w:fldCharType="end"/>
      </w:r>
      <w:r>
        <w:rPr>
          <w:rFonts w:hint="eastAsia" w:ascii="仿宋" w:hAnsi="仿宋" w:eastAsia="仿宋" w:cs="仿宋"/>
          <w:b/>
          <w:bCs/>
          <w:sz w:val="20"/>
          <w:szCs w:val="22"/>
        </w:rPr>
        <w:fldChar w:fldCharType="end"/>
      </w:r>
    </w:p>
    <w:p w14:paraId="59D0C3D1">
      <w:pPr>
        <w:pStyle w:val="10"/>
        <w:tabs>
          <w:tab w:val="right" w:leader="dot" w:pos="8307"/>
        </w:tabs>
        <w:spacing w:line="360" w:lineRule="auto"/>
        <w:rPr>
          <w:rFonts w:hint="eastAsia" w:ascii="仿宋" w:hAnsi="仿宋" w:eastAsia="仿宋" w:cs="仿宋"/>
          <w:b w:val="0"/>
          <w:bCs w:val="0"/>
          <w:sz w:val="21"/>
          <w:szCs w:val="21"/>
        </w:rPr>
      </w:pPr>
      <w:r>
        <w:rPr>
          <w:rFonts w:hint="eastAsia" w:ascii="仿宋" w:hAnsi="仿宋" w:eastAsia="仿宋" w:cs="仿宋"/>
          <w:b w:val="0"/>
          <w:bCs w:val="0"/>
          <w:sz w:val="21"/>
          <w:szCs w:val="24"/>
        </w:rPr>
        <w:fldChar w:fldCharType="begin"/>
      </w:r>
      <w:r>
        <w:rPr>
          <w:rFonts w:hint="eastAsia" w:ascii="仿宋" w:hAnsi="仿宋" w:eastAsia="仿宋" w:cs="仿宋"/>
          <w:b w:val="0"/>
          <w:bCs w:val="0"/>
          <w:sz w:val="21"/>
          <w:szCs w:val="24"/>
        </w:rPr>
        <w:instrText xml:space="preserve"> HYPERLINK \l _Toc25950 </w:instrText>
      </w:r>
      <w:r>
        <w:rPr>
          <w:rFonts w:hint="eastAsia" w:ascii="仿宋" w:hAnsi="仿宋" w:eastAsia="仿宋" w:cs="仿宋"/>
          <w:b w:val="0"/>
          <w:bCs w:val="0"/>
          <w:sz w:val="21"/>
          <w:szCs w:val="24"/>
        </w:rPr>
        <w:fldChar w:fldCharType="separate"/>
      </w:r>
      <w:r>
        <w:rPr>
          <w:rFonts w:hint="eastAsia" w:ascii="黑体" w:hAnsi="黑体" w:eastAsia="黑体" w:cs="黑体"/>
          <w:b w:val="0"/>
          <w:bCs w:val="0"/>
          <w:sz w:val="21"/>
          <w:szCs w:val="24"/>
          <w:lang w:val="en-US" w:eastAsia="zh-CN"/>
        </w:rPr>
        <w:t>三、划定方法</w:t>
      </w:r>
      <w:r>
        <w:rPr>
          <w:rFonts w:hint="eastAsia" w:ascii="仿宋" w:hAnsi="仿宋" w:eastAsia="仿宋" w:cs="仿宋"/>
          <w:b/>
          <w:bCs/>
          <w:sz w:val="21"/>
          <w:szCs w:val="21"/>
        </w:rPr>
        <w:tab/>
      </w:r>
      <w:r>
        <w:rPr>
          <w:rFonts w:hint="eastAsia" w:ascii="仿宋" w:hAnsi="仿宋" w:eastAsia="仿宋" w:cs="仿宋"/>
          <w:b/>
          <w:bCs/>
          <w:sz w:val="21"/>
          <w:szCs w:val="21"/>
        </w:rPr>
        <w:fldChar w:fldCharType="begin"/>
      </w:r>
      <w:r>
        <w:rPr>
          <w:rFonts w:hint="eastAsia" w:ascii="仿宋" w:hAnsi="仿宋" w:eastAsia="仿宋" w:cs="仿宋"/>
          <w:b/>
          <w:bCs/>
          <w:sz w:val="21"/>
          <w:szCs w:val="21"/>
        </w:rPr>
        <w:instrText xml:space="preserve"> PAGEREF _Toc25950 \h </w:instrText>
      </w:r>
      <w:r>
        <w:rPr>
          <w:rFonts w:hint="eastAsia" w:ascii="仿宋" w:hAnsi="仿宋" w:eastAsia="仿宋" w:cs="仿宋"/>
          <w:b/>
          <w:bCs/>
          <w:sz w:val="21"/>
          <w:szCs w:val="21"/>
        </w:rPr>
        <w:fldChar w:fldCharType="separate"/>
      </w:r>
      <w:r>
        <w:rPr>
          <w:rFonts w:hint="eastAsia" w:ascii="仿宋" w:hAnsi="仿宋" w:eastAsia="仿宋" w:cs="仿宋"/>
          <w:b/>
          <w:bCs/>
          <w:sz w:val="21"/>
          <w:szCs w:val="21"/>
        </w:rPr>
        <w:t>15</w:t>
      </w:r>
      <w:r>
        <w:rPr>
          <w:rFonts w:hint="eastAsia" w:ascii="仿宋" w:hAnsi="仿宋" w:eastAsia="仿宋" w:cs="仿宋"/>
          <w:b/>
          <w:bCs/>
          <w:sz w:val="21"/>
          <w:szCs w:val="21"/>
        </w:rPr>
        <w:fldChar w:fldCharType="end"/>
      </w:r>
      <w:r>
        <w:rPr>
          <w:rFonts w:hint="eastAsia" w:ascii="仿宋" w:hAnsi="仿宋" w:eastAsia="仿宋" w:cs="仿宋"/>
          <w:b w:val="0"/>
          <w:bCs w:val="0"/>
          <w:sz w:val="21"/>
          <w:szCs w:val="24"/>
        </w:rPr>
        <w:fldChar w:fldCharType="end"/>
      </w:r>
    </w:p>
    <w:p w14:paraId="545A2EDB">
      <w:pPr>
        <w:pStyle w:val="11"/>
        <w:tabs>
          <w:tab w:val="right" w:leader="dot" w:pos="8307"/>
        </w:tabs>
        <w:spacing w:line="360" w:lineRule="auto"/>
        <w:rPr>
          <w:rFonts w:hint="eastAsia" w:ascii="仿宋" w:hAnsi="仿宋" w:eastAsia="仿宋" w:cs="仿宋"/>
          <w:b/>
          <w:bCs/>
          <w:sz w:val="20"/>
          <w:szCs w:val="20"/>
        </w:rPr>
      </w:pPr>
      <w:r>
        <w:rPr>
          <w:rFonts w:hint="eastAsia" w:ascii="仿宋" w:hAnsi="仿宋" w:eastAsia="仿宋" w:cs="仿宋"/>
          <w:b/>
          <w:bCs/>
          <w:sz w:val="20"/>
          <w:szCs w:val="22"/>
        </w:rPr>
        <w:fldChar w:fldCharType="begin"/>
      </w:r>
      <w:r>
        <w:rPr>
          <w:rFonts w:hint="eastAsia" w:ascii="仿宋" w:hAnsi="仿宋" w:eastAsia="仿宋" w:cs="仿宋"/>
          <w:b/>
          <w:bCs/>
          <w:sz w:val="20"/>
          <w:szCs w:val="22"/>
        </w:rPr>
        <w:instrText xml:space="preserve"> HYPERLINK \l _Toc22872 </w:instrText>
      </w:r>
      <w:r>
        <w:rPr>
          <w:rFonts w:hint="eastAsia" w:ascii="仿宋" w:hAnsi="仿宋" w:eastAsia="仿宋" w:cs="仿宋"/>
          <w:b/>
          <w:bCs/>
          <w:sz w:val="20"/>
          <w:szCs w:val="22"/>
        </w:rPr>
        <w:fldChar w:fldCharType="separate"/>
      </w:r>
      <w:r>
        <w:rPr>
          <w:rFonts w:hint="eastAsia" w:ascii="仿宋" w:hAnsi="仿宋" w:eastAsia="仿宋" w:cs="仿宋"/>
          <w:b/>
          <w:bCs/>
          <w:sz w:val="20"/>
          <w:szCs w:val="20"/>
          <w:lang w:eastAsia="zh-CN"/>
        </w:rPr>
        <w:t>（</w:t>
      </w:r>
      <w:r>
        <w:rPr>
          <w:rFonts w:hint="eastAsia" w:ascii="仿宋" w:hAnsi="仿宋" w:eastAsia="仿宋" w:cs="仿宋"/>
          <w:b/>
          <w:bCs/>
          <w:sz w:val="20"/>
          <w:szCs w:val="20"/>
          <w:lang w:val="en-US" w:eastAsia="zh-CN"/>
        </w:rPr>
        <w:t>一</w:t>
      </w:r>
      <w:r>
        <w:rPr>
          <w:rFonts w:hint="eastAsia" w:ascii="仿宋" w:hAnsi="仿宋" w:eastAsia="仿宋" w:cs="仿宋"/>
          <w:b/>
          <w:bCs/>
          <w:sz w:val="20"/>
          <w:szCs w:val="20"/>
          <w:lang w:eastAsia="zh-CN"/>
        </w:rPr>
        <w:t>）资料收集</w:t>
      </w:r>
      <w:r>
        <w:rPr>
          <w:rFonts w:hint="eastAsia" w:ascii="仿宋" w:hAnsi="仿宋" w:eastAsia="仿宋" w:cs="仿宋"/>
          <w:b/>
          <w:bCs/>
          <w:sz w:val="20"/>
          <w:szCs w:val="20"/>
        </w:rPr>
        <w:tab/>
      </w:r>
      <w:r>
        <w:rPr>
          <w:rFonts w:hint="eastAsia" w:ascii="仿宋" w:hAnsi="仿宋" w:eastAsia="仿宋" w:cs="仿宋"/>
          <w:b/>
          <w:bCs/>
          <w:sz w:val="20"/>
          <w:szCs w:val="20"/>
        </w:rPr>
        <w:fldChar w:fldCharType="begin"/>
      </w:r>
      <w:r>
        <w:rPr>
          <w:rFonts w:hint="eastAsia" w:ascii="仿宋" w:hAnsi="仿宋" w:eastAsia="仿宋" w:cs="仿宋"/>
          <w:b/>
          <w:bCs/>
          <w:sz w:val="20"/>
          <w:szCs w:val="20"/>
        </w:rPr>
        <w:instrText xml:space="preserve"> PAGEREF _Toc22872 \h </w:instrText>
      </w:r>
      <w:r>
        <w:rPr>
          <w:rFonts w:hint="eastAsia" w:ascii="仿宋" w:hAnsi="仿宋" w:eastAsia="仿宋" w:cs="仿宋"/>
          <w:b/>
          <w:bCs/>
          <w:sz w:val="20"/>
          <w:szCs w:val="20"/>
        </w:rPr>
        <w:fldChar w:fldCharType="separate"/>
      </w:r>
      <w:r>
        <w:rPr>
          <w:rFonts w:hint="eastAsia" w:ascii="仿宋" w:hAnsi="仿宋" w:eastAsia="仿宋" w:cs="仿宋"/>
          <w:b/>
          <w:bCs/>
          <w:sz w:val="20"/>
          <w:szCs w:val="20"/>
        </w:rPr>
        <w:t>15</w:t>
      </w:r>
      <w:r>
        <w:rPr>
          <w:rFonts w:hint="eastAsia" w:ascii="仿宋" w:hAnsi="仿宋" w:eastAsia="仿宋" w:cs="仿宋"/>
          <w:b/>
          <w:bCs/>
          <w:sz w:val="20"/>
          <w:szCs w:val="20"/>
        </w:rPr>
        <w:fldChar w:fldCharType="end"/>
      </w:r>
      <w:r>
        <w:rPr>
          <w:rFonts w:hint="eastAsia" w:ascii="仿宋" w:hAnsi="仿宋" w:eastAsia="仿宋" w:cs="仿宋"/>
          <w:b/>
          <w:bCs/>
          <w:sz w:val="20"/>
          <w:szCs w:val="22"/>
        </w:rPr>
        <w:fldChar w:fldCharType="end"/>
      </w:r>
    </w:p>
    <w:p w14:paraId="7CE47E1F">
      <w:pPr>
        <w:pStyle w:val="11"/>
        <w:tabs>
          <w:tab w:val="right" w:leader="dot" w:pos="8307"/>
        </w:tabs>
        <w:spacing w:line="360" w:lineRule="auto"/>
        <w:rPr>
          <w:rFonts w:hint="eastAsia" w:ascii="仿宋" w:hAnsi="仿宋" w:eastAsia="仿宋" w:cs="仿宋"/>
          <w:b/>
          <w:bCs/>
          <w:sz w:val="20"/>
          <w:szCs w:val="20"/>
        </w:rPr>
      </w:pPr>
      <w:r>
        <w:rPr>
          <w:rFonts w:hint="eastAsia" w:ascii="仿宋" w:hAnsi="仿宋" w:eastAsia="仿宋" w:cs="仿宋"/>
          <w:b/>
          <w:bCs/>
          <w:sz w:val="20"/>
          <w:szCs w:val="22"/>
        </w:rPr>
        <w:fldChar w:fldCharType="begin"/>
      </w:r>
      <w:r>
        <w:rPr>
          <w:rFonts w:hint="eastAsia" w:ascii="仿宋" w:hAnsi="仿宋" w:eastAsia="仿宋" w:cs="仿宋"/>
          <w:b/>
          <w:bCs/>
          <w:sz w:val="20"/>
          <w:szCs w:val="22"/>
        </w:rPr>
        <w:instrText xml:space="preserve"> HYPERLINK \l _Toc25306 </w:instrText>
      </w:r>
      <w:r>
        <w:rPr>
          <w:rFonts w:hint="eastAsia" w:ascii="仿宋" w:hAnsi="仿宋" w:eastAsia="仿宋" w:cs="仿宋"/>
          <w:b/>
          <w:bCs/>
          <w:sz w:val="20"/>
          <w:szCs w:val="22"/>
        </w:rPr>
        <w:fldChar w:fldCharType="separate"/>
      </w:r>
      <w:r>
        <w:rPr>
          <w:rFonts w:hint="eastAsia" w:ascii="仿宋" w:hAnsi="仿宋" w:eastAsia="仿宋" w:cs="仿宋"/>
          <w:b/>
          <w:bCs/>
          <w:sz w:val="20"/>
          <w:szCs w:val="20"/>
          <w:lang w:eastAsia="zh-CN"/>
        </w:rPr>
        <w:t>（</w:t>
      </w:r>
      <w:r>
        <w:rPr>
          <w:rFonts w:hint="eastAsia" w:ascii="仿宋" w:hAnsi="仿宋" w:eastAsia="仿宋" w:cs="仿宋"/>
          <w:b/>
          <w:bCs/>
          <w:sz w:val="20"/>
          <w:szCs w:val="20"/>
          <w:lang w:val="en-US" w:eastAsia="zh-CN"/>
        </w:rPr>
        <w:t>二</w:t>
      </w:r>
      <w:r>
        <w:rPr>
          <w:rFonts w:hint="eastAsia" w:ascii="仿宋" w:hAnsi="仿宋" w:eastAsia="仿宋" w:cs="仿宋"/>
          <w:b/>
          <w:bCs/>
          <w:sz w:val="20"/>
          <w:szCs w:val="20"/>
          <w:lang w:eastAsia="zh-CN"/>
        </w:rPr>
        <w:t>）划定具体过程</w:t>
      </w:r>
      <w:r>
        <w:rPr>
          <w:rFonts w:hint="eastAsia" w:ascii="仿宋" w:hAnsi="仿宋" w:eastAsia="仿宋" w:cs="仿宋"/>
          <w:b/>
          <w:bCs/>
          <w:sz w:val="20"/>
          <w:szCs w:val="20"/>
        </w:rPr>
        <w:tab/>
      </w:r>
      <w:r>
        <w:rPr>
          <w:rFonts w:hint="eastAsia" w:ascii="仿宋" w:hAnsi="仿宋" w:eastAsia="仿宋" w:cs="仿宋"/>
          <w:b/>
          <w:bCs/>
          <w:sz w:val="20"/>
          <w:szCs w:val="20"/>
        </w:rPr>
        <w:fldChar w:fldCharType="begin"/>
      </w:r>
      <w:r>
        <w:rPr>
          <w:rFonts w:hint="eastAsia" w:ascii="仿宋" w:hAnsi="仿宋" w:eastAsia="仿宋" w:cs="仿宋"/>
          <w:b/>
          <w:bCs/>
          <w:sz w:val="20"/>
          <w:szCs w:val="20"/>
        </w:rPr>
        <w:instrText xml:space="preserve"> PAGEREF _Toc25306 \h </w:instrText>
      </w:r>
      <w:r>
        <w:rPr>
          <w:rFonts w:hint="eastAsia" w:ascii="仿宋" w:hAnsi="仿宋" w:eastAsia="仿宋" w:cs="仿宋"/>
          <w:b/>
          <w:bCs/>
          <w:sz w:val="20"/>
          <w:szCs w:val="20"/>
        </w:rPr>
        <w:fldChar w:fldCharType="separate"/>
      </w:r>
      <w:r>
        <w:rPr>
          <w:rFonts w:hint="eastAsia" w:ascii="仿宋" w:hAnsi="仿宋" w:eastAsia="仿宋" w:cs="仿宋"/>
          <w:b/>
          <w:bCs/>
          <w:sz w:val="20"/>
          <w:szCs w:val="20"/>
        </w:rPr>
        <w:t>16</w:t>
      </w:r>
      <w:r>
        <w:rPr>
          <w:rFonts w:hint="eastAsia" w:ascii="仿宋" w:hAnsi="仿宋" w:eastAsia="仿宋" w:cs="仿宋"/>
          <w:b/>
          <w:bCs/>
          <w:sz w:val="20"/>
          <w:szCs w:val="20"/>
        </w:rPr>
        <w:fldChar w:fldCharType="end"/>
      </w:r>
      <w:r>
        <w:rPr>
          <w:rFonts w:hint="eastAsia" w:ascii="仿宋" w:hAnsi="仿宋" w:eastAsia="仿宋" w:cs="仿宋"/>
          <w:b/>
          <w:bCs/>
          <w:sz w:val="20"/>
          <w:szCs w:val="22"/>
        </w:rPr>
        <w:fldChar w:fldCharType="end"/>
      </w:r>
    </w:p>
    <w:p w14:paraId="69CD906C">
      <w:pPr>
        <w:pStyle w:val="8"/>
        <w:tabs>
          <w:tab w:val="right" w:leader="dot" w:pos="8307"/>
        </w:tabs>
        <w:spacing w:line="360" w:lineRule="auto"/>
        <w:rPr>
          <w:rFonts w:hint="eastAsia" w:ascii="仿宋" w:hAnsi="仿宋" w:eastAsia="仿宋" w:cs="仿宋"/>
          <w:b w:val="0"/>
          <w:bCs w:val="0"/>
          <w:sz w:val="20"/>
          <w:szCs w:val="20"/>
        </w:rPr>
      </w:pPr>
      <w:r>
        <w:rPr>
          <w:rFonts w:hint="eastAsia" w:ascii="仿宋" w:hAnsi="仿宋" w:eastAsia="仿宋" w:cs="仿宋"/>
          <w:b w:val="0"/>
          <w:bCs w:val="0"/>
          <w:sz w:val="20"/>
          <w:szCs w:val="22"/>
        </w:rPr>
        <w:fldChar w:fldCharType="begin"/>
      </w:r>
      <w:r>
        <w:rPr>
          <w:rFonts w:hint="eastAsia" w:ascii="仿宋" w:hAnsi="仿宋" w:eastAsia="仿宋" w:cs="仿宋"/>
          <w:b w:val="0"/>
          <w:bCs w:val="0"/>
          <w:sz w:val="20"/>
          <w:szCs w:val="22"/>
        </w:rPr>
        <w:instrText xml:space="preserve"> HYPERLINK \l _Toc3958 </w:instrText>
      </w:r>
      <w:r>
        <w:rPr>
          <w:rFonts w:hint="eastAsia" w:ascii="仿宋" w:hAnsi="仿宋" w:eastAsia="仿宋" w:cs="仿宋"/>
          <w:b w:val="0"/>
          <w:bCs w:val="0"/>
          <w:sz w:val="20"/>
          <w:szCs w:val="22"/>
        </w:rPr>
        <w:fldChar w:fldCharType="separate"/>
      </w:r>
      <w:r>
        <w:rPr>
          <w:rFonts w:hint="eastAsia" w:ascii="仿宋" w:hAnsi="仿宋" w:eastAsia="仿宋" w:cs="仿宋"/>
          <w:b w:val="0"/>
          <w:bCs w:val="0"/>
          <w:sz w:val="20"/>
          <w:szCs w:val="20"/>
          <w:lang w:val="en-US" w:eastAsia="zh-CN"/>
        </w:rPr>
        <w:t>1.数据预处理</w:t>
      </w:r>
      <w:r>
        <w:rPr>
          <w:rFonts w:hint="eastAsia" w:ascii="仿宋" w:hAnsi="仿宋" w:eastAsia="仿宋" w:cs="仿宋"/>
          <w:b w:val="0"/>
          <w:bCs w:val="0"/>
          <w:sz w:val="20"/>
          <w:szCs w:val="20"/>
        </w:rPr>
        <w:tab/>
      </w:r>
      <w:r>
        <w:rPr>
          <w:rFonts w:hint="eastAsia" w:ascii="仿宋" w:hAnsi="仿宋" w:eastAsia="仿宋" w:cs="仿宋"/>
          <w:b w:val="0"/>
          <w:bCs w:val="0"/>
          <w:sz w:val="20"/>
          <w:szCs w:val="20"/>
        </w:rPr>
        <w:fldChar w:fldCharType="begin"/>
      </w:r>
      <w:r>
        <w:rPr>
          <w:rFonts w:hint="eastAsia" w:ascii="仿宋" w:hAnsi="仿宋" w:eastAsia="仿宋" w:cs="仿宋"/>
          <w:b w:val="0"/>
          <w:bCs w:val="0"/>
          <w:sz w:val="20"/>
          <w:szCs w:val="20"/>
        </w:rPr>
        <w:instrText xml:space="preserve"> PAGEREF _Toc3958 \h </w:instrText>
      </w:r>
      <w:r>
        <w:rPr>
          <w:rFonts w:hint="eastAsia" w:ascii="仿宋" w:hAnsi="仿宋" w:eastAsia="仿宋" w:cs="仿宋"/>
          <w:b w:val="0"/>
          <w:bCs w:val="0"/>
          <w:sz w:val="20"/>
          <w:szCs w:val="20"/>
        </w:rPr>
        <w:fldChar w:fldCharType="separate"/>
      </w:r>
      <w:r>
        <w:rPr>
          <w:rFonts w:hint="eastAsia" w:ascii="仿宋" w:hAnsi="仿宋" w:eastAsia="仿宋" w:cs="仿宋"/>
          <w:b w:val="0"/>
          <w:bCs w:val="0"/>
          <w:sz w:val="20"/>
          <w:szCs w:val="20"/>
        </w:rPr>
        <w:t>16</w:t>
      </w:r>
      <w:r>
        <w:rPr>
          <w:rFonts w:hint="eastAsia" w:ascii="仿宋" w:hAnsi="仿宋" w:eastAsia="仿宋" w:cs="仿宋"/>
          <w:b w:val="0"/>
          <w:bCs w:val="0"/>
          <w:sz w:val="20"/>
          <w:szCs w:val="20"/>
        </w:rPr>
        <w:fldChar w:fldCharType="end"/>
      </w:r>
      <w:r>
        <w:rPr>
          <w:rFonts w:hint="eastAsia" w:ascii="仿宋" w:hAnsi="仿宋" w:eastAsia="仿宋" w:cs="仿宋"/>
          <w:b w:val="0"/>
          <w:bCs w:val="0"/>
          <w:sz w:val="20"/>
          <w:szCs w:val="22"/>
        </w:rPr>
        <w:fldChar w:fldCharType="end"/>
      </w:r>
    </w:p>
    <w:p w14:paraId="7F7C641C">
      <w:pPr>
        <w:pStyle w:val="8"/>
        <w:tabs>
          <w:tab w:val="right" w:leader="dot" w:pos="8307"/>
        </w:tabs>
        <w:spacing w:line="360" w:lineRule="auto"/>
        <w:rPr>
          <w:rFonts w:hint="eastAsia" w:ascii="仿宋" w:hAnsi="仿宋" w:eastAsia="仿宋" w:cs="仿宋"/>
          <w:b w:val="0"/>
          <w:bCs w:val="0"/>
          <w:sz w:val="20"/>
          <w:szCs w:val="20"/>
        </w:rPr>
      </w:pPr>
      <w:r>
        <w:rPr>
          <w:rFonts w:hint="eastAsia" w:ascii="仿宋" w:hAnsi="仿宋" w:eastAsia="仿宋" w:cs="仿宋"/>
          <w:b w:val="0"/>
          <w:bCs w:val="0"/>
          <w:sz w:val="20"/>
          <w:szCs w:val="22"/>
        </w:rPr>
        <w:fldChar w:fldCharType="begin"/>
      </w:r>
      <w:r>
        <w:rPr>
          <w:rFonts w:hint="eastAsia" w:ascii="仿宋" w:hAnsi="仿宋" w:eastAsia="仿宋" w:cs="仿宋"/>
          <w:b w:val="0"/>
          <w:bCs w:val="0"/>
          <w:sz w:val="20"/>
          <w:szCs w:val="22"/>
        </w:rPr>
        <w:instrText xml:space="preserve"> HYPERLINK \l _Toc493 </w:instrText>
      </w:r>
      <w:r>
        <w:rPr>
          <w:rFonts w:hint="eastAsia" w:ascii="仿宋" w:hAnsi="仿宋" w:eastAsia="仿宋" w:cs="仿宋"/>
          <w:b w:val="0"/>
          <w:bCs w:val="0"/>
          <w:sz w:val="20"/>
          <w:szCs w:val="22"/>
        </w:rPr>
        <w:fldChar w:fldCharType="separate"/>
      </w:r>
      <w:r>
        <w:rPr>
          <w:rFonts w:hint="eastAsia" w:ascii="仿宋" w:hAnsi="仿宋" w:eastAsia="仿宋" w:cs="仿宋"/>
          <w:b w:val="0"/>
          <w:bCs w:val="0"/>
          <w:sz w:val="20"/>
          <w:szCs w:val="20"/>
          <w:lang w:val="en-US" w:eastAsia="zh-CN"/>
        </w:rPr>
        <w:t>2.禁止开垦陡坡地范围划定</w:t>
      </w:r>
      <w:r>
        <w:rPr>
          <w:rFonts w:hint="eastAsia" w:ascii="仿宋" w:hAnsi="仿宋" w:eastAsia="仿宋" w:cs="仿宋"/>
          <w:b w:val="0"/>
          <w:bCs w:val="0"/>
          <w:sz w:val="20"/>
          <w:szCs w:val="20"/>
        </w:rPr>
        <w:tab/>
      </w:r>
      <w:r>
        <w:rPr>
          <w:rFonts w:hint="eastAsia" w:ascii="仿宋" w:hAnsi="仿宋" w:eastAsia="仿宋" w:cs="仿宋"/>
          <w:b w:val="0"/>
          <w:bCs w:val="0"/>
          <w:sz w:val="20"/>
          <w:szCs w:val="20"/>
        </w:rPr>
        <w:fldChar w:fldCharType="begin"/>
      </w:r>
      <w:r>
        <w:rPr>
          <w:rFonts w:hint="eastAsia" w:ascii="仿宋" w:hAnsi="仿宋" w:eastAsia="仿宋" w:cs="仿宋"/>
          <w:b w:val="0"/>
          <w:bCs w:val="0"/>
          <w:sz w:val="20"/>
          <w:szCs w:val="20"/>
        </w:rPr>
        <w:instrText xml:space="preserve"> PAGEREF _Toc493 \h </w:instrText>
      </w:r>
      <w:r>
        <w:rPr>
          <w:rFonts w:hint="eastAsia" w:ascii="仿宋" w:hAnsi="仿宋" w:eastAsia="仿宋" w:cs="仿宋"/>
          <w:b w:val="0"/>
          <w:bCs w:val="0"/>
          <w:sz w:val="20"/>
          <w:szCs w:val="20"/>
        </w:rPr>
        <w:fldChar w:fldCharType="separate"/>
      </w:r>
      <w:r>
        <w:rPr>
          <w:rFonts w:hint="eastAsia" w:ascii="仿宋" w:hAnsi="仿宋" w:eastAsia="仿宋" w:cs="仿宋"/>
          <w:b w:val="0"/>
          <w:bCs w:val="0"/>
          <w:sz w:val="20"/>
          <w:szCs w:val="20"/>
        </w:rPr>
        <w:t>17</w:t>
      </w:r>
      <w:r>
        <w:rPr>
          <w:rFonts w:hint="eastAsia" w:ascii="仿宋" w:hAnsi="仿宋" w:eastAsia="仿宋" w:cs="仿宋"/>
          <w:b w:val="0"/>
          <w:bCs w:val="0"/>
          <w:sz w:val="20"/>
          <w:szCs w:val="20"/>
        </w:rPr>
        <w:fldChar w:fldCharType="end"/>
      </w:r>
      <w:r>
        <w:rPr>
          <w:rFonts w:hint="eastAsia" w:ascii="仿宋" w:hAnsi="仿宋" w:eastAsia="仿宋" w:cs="仿宋"/>
          <w:b w:val="0"/>
          <w:bCs w:val="0"/>
          <w:sz w:val="20"/>
          <w:szCs w:val="22"/>
        </w:rPr>
        <w:fldChar w:fldCharType="end"/>
      </w:r>
    </w:p>
    <w:p w14:paraId="44E5B24E">
      <w:pPr>
        <w:pStyle w:val="8"/>
        <w:tabs>
          <w:tab w:val="right" w:leader="dot" w:pos="8307"/>
        </w:tabs>
        <w:spacing w:line="360" w:lineRule="auto"/>
        <w:rPr>
          <w:rFonts w:hint="eastAsia" w:ascii="仿宋" w:hAnsi="仿宋" w:eastAsia="仿宋" w:cs="仿宋"/>
          <w:b w:val="0"/>
          <w:bCs w:val="0"/>
          <w:sz w:val="20"/>
          <w:szCs w:val="20"/>
        </w:rPr>
      </w:pPr>
      <w:r>
        <w:rPr>
          <w:rFonts w:hint="eastAsia" w:ascii="仿宋" w:hAnsi="仿宋" w:eastAsia="仿宋" w:cs="仿宋"/>
          <w:b w:val="0"/>
          <w:bCs w:val="0"/>
          <w:sz w:val="20"/>
          <w:szCs w:val="22"/>
        </w:rPr>
        <w:fldChar w:fldCharType="begin"/>
      </w:r>
      <w:r>
        <w:rPr>
          <w:rFonts w:hint="eastAsia" w:ascii="仿宋" w:hAnsi="仿宋" w:eastAsia="仿宋" w:cs="仿宋"/>
          <w:b w:val="0"/>
          <w:bCs w:val="0"/>
          <w:sz w:val="20"/>
          <w:szCs w:val="22"/>
        </w:rPr>
        <w:instrText xml:space="preserve"> HYPERLINK \l _Toc1681 </w:instrText>
      </w:r>
      <w:r>
        <w:rPr>
          <w:rFonts w:hint="eastAsia" w:ascii="仿宋" w:hAnsi="仿宋" w:eastAsia="仿宋" w:cs="仿宋"/>
          <w:b w:val="0"/>
          <w:bCs w:val="0"/>
          <w:sz w:val="20"/>
          <w:szCs w:val="22"/>
        </w:rPr>
        <w:fldChar w:fldCharType="separate"/>
      </w:r>
      <w:r>
        <w:rPr>
          <w:rFonts w:hint="eastAsia" w:ascii="仿宋" w:hAnsi="仿宋" w:eastAsia="仿宋" w:cs="仿宋"/>
          <w:b w:val="0"/>
          <w:bCs w:val="0"/>
          <w:sz w:val="20"/>
          <w:szCs w:val="20"/>
          <w:lang w:val="en-US" w:eastAsia="zh-CN"/>
        </w:rPr>
        <w:t>3.初步形成城口县禁止开垦陡坡地范围</w:t>
      </w:r>
      <w:r>
        <w:rPr>
          <w:rFonts w:hint="eastAsia" w:ascii="仿宋" w:hAnsi="仿宋" w:eastAsia="仿宋" w:cs="仿宋"/>
          <w:b w:val="0"/>
          <w:bCs w:val="0"/>
          <w:sz w:val="20"/>
          <w:szCs w:val="20"/>
        </w:rPr>
        <w:tab/>
      </w:r>
      <w:r>
        <w:rPr>
          <w:rFonts w:hint="eastAsia" w:ascii="仿宋" w:hAnsi="仿宋" w:eastAsia="仿宋" w:cs="仿宋"/>
          <w:b w:val="0"/>
          <w:bCs w:val="0"/>
          <w:sz w:val="20"/>
          <w:szCs w:val="20"/>
        </w:rPr>
        <w:fldChar w:fldCharType="begin"/>
      </w:r>
      <w:r>
        <w:rPr>
          <w:rFonts w:hint="eastAsia" w:ascii="仿宋" w:hAnsi="仿宋" w:eastAsia="仿宋" w:cs="仿宋"/>
          <w:b w:val="0"/>
          <w:bCs w:val="0"/>
          <w:sz w:val="20"/>
          <w:szCs w:val="20"/>
        </w:rPr>
        <w:instrText xml:space="preserve"> PAGEREF _Toc1681 \h </w:instrText>
      </w:r>
      <w:r>
        <w:rPr>
          <w:rFonts w:hint="eastAsia" w:ascii="仿宋" w:hAnsi="仿宋" w:eastAsia="仿宋" w:cs="仿宋"/>
          <w:b w:val="0"/>
          <w:bCs w:val="0"/>
          <w:sz w:val="20"/>
          <w:szCs w:val="20"/>
        </w:rPr>
        <w:fldChar w:fldCharType="separate"/>
      </w:r>
      <w:r>
        <w:rPr>
          <w:rFonts w:hint="eastAsia" w:ascii="仿宋" w:hAnsi="仿宋" w:eastAsia="仿宋" w:cs="仿宋"/>
          <w:b w:val="0"/>
          <w:bCs w:val="0"/>
          <w:sz w:val="20"/>
          <w:szCs w:val="20"/>
        </w:rPr>
        <w:t>21</w:t>
      </w:r>
      <w:r>
        <w:rPr>
          <w:rFonts w:hint="eastAsia" w:ascii="仿宋" w:hAnsi="仿宋" w:eastAsia="仿宋" w:cs="仿宋"/>
          <w:b w:val="0"/>
          <w:bCs w:val="0"/>
          <w:sz w:val="20"/>
          <w:szCs w:val="20"/>
        </w:rPr>
        <w:fldChar w:fldCharType="end"/>
      </w:r>
      <w:r>
        <w:rPr>
          <w:rFonts w:hint="eastAsia" w:ascii="仿宋" w:hAnsi="仿宋" w:eastAsia="仿宋" w:cs="仿宋"/>
          <w:b w:val="0"/>
          <w:bCs w:val="0"/>
          <w:sz w:val="20"/>
          <w:szCs w:val="22"/>
        </w:rPr>
        <w:fldChar w:fldCharType="end"/>
      </w:r>
    </w:p>
    <w:p w14:paraId="535A79C5">
      <w:pPr>
        <w:pStyle w:val="8"/>
        <w:tabs>
          <w:tab w:val="right" w:leader="dot" w:pos="8307"/>
        </w:tabs>
        <w:spacing w:line="360" w:lineRule="auto"/>
        <w:rPr>
          <w:rFonts w:hint="eastAsia" w:ascii="仿宋" w:hAnsi="仿宋" w:eastAsia="仿宋" w:cs="仿宋"/>
          <w:b w:val="0"/>
          <w:bCs w:val="0"/>
          <w:sz w:val="20"/>
          <w:szCs w:val="20"/>
        </w:rPr>
      </w:pPr>
      <w:r>
        <w:rPr>
          <w:rFonts w:hint="eastAsia" w:ascii="仿宋" w:hAnsi="仿宋" w:eastAsia="仿宋" w:cs="仿宋"/>
          <w:b w:val="0"/>
          <w:bCs w:val="0"/>
          <w:sz w:val="20"/>
          <w:szCs w:val="22"/>
        </w:rPr>
        <w:fldChar w:fldCharType="begin"/>
      </w:r>
      <w:r>
        <w:rPr>
          <w:rFonts w:hint="eastAsia" w:ascii="仿宋" w:hAnsi="仿宋" w:eastAsia="仿宋" w:cs="仿宋"/>
          <w:b w:val="0"/>
          <w:bCs w:val="0"/>
          <w:sz w:val="20"/>
          <w:szCs w:val="22"/>
        </w:rPr>
        <w:instrText xml:space="preserve"> HYPERLINK \l _Toc21942 </w:instrText>
      </w:r>
      <w:r>
        <w:rPr>
          <w:rFonts w:hint="eastAsia" w:ascii="仿宋" w:hAnsi="仿宋" w:eastAsia="仿宋" w:cs="仿宋"/>
          <w:b w:val="0"/>
          <w:bCs w:val="0"/>
          <w:sz w:val="20"/>
          <w:szCs w:val="22"/>
        </w:rPr>
        <w:fldChar w:fldCharType="separate"/>
      </w:r>
      <w:r>
        <w:rPr>
          <w:rFonts w:hint="eastAsia" w:ascii="仿宋" w:hAnsi="仿宋" w:eastAsia="仿宋" w:cs="仿宋"/>
          <w:b w:val="0"/>
          <w:bCs w:val="0"/>
          <w:sz w:val="20"/>
          <w:szCs w:val="20"/>
          <w:lang w:val="en-US" w:eastAsia="zh-CN"/>
        </w:rPr>
        <w:t>4.划定范围边界修正</w:t>
      </w:r>
      <w:r>
        <w:rPr>
          <w:rFonts w:hint="eastAsia" w:ascii="仿宋" w:hAnsi="仿宋" w:eastAsia="仿宋" w:cs="仿宋"/>
          <w:b w:val="0"/>
          <w:bCs w:val="0"/>
          <w:sz w:val="20"/>
          <w:szCs w:val="20"/>
        </w:rPr>
        <w:tab/>
      </w:r>
      <w:r>
        <w:rPr>
          <w:rFonts w:hint="eastAsia" w:ascii="仿宋" w:hAnsi="仿宋" w:eastAsia="仿宋" w:cs="仿宋"/>
          <w:b w:val="0"/>
          <w:bCs w:val="0"/>
          <w:sz w:val="20"/>
          <w:szCs w:val="20"/>
        </w:rPr>
        <w:fldChar w:fldCharType="begin"/>
      </w:r>
      <w:r>
        <w:rPr>
          <w:rFonts w:hint="eastAsia" w:ascii="仿宋" w:hAnsi="仿宋" w:eastAsia="仿宋" w:cs="仿宋"/>
          <w:b w:val="0"/>
          <w:bCs w:val="0"/>
          <w:sz w:val="20"/>
          <w:szCs w:val="20"/>
        </w:rPr>
        <w:instrText xml:space="preserve"> PAGEREF _Toc21942 \h </w:instrText>
      </w:r>
      <w:r>
        <w:rPr>
          <w:rFonts w:hint="eastAsia" w:ascii="仿宋" w:hAnsi="仿宋" w:eastAsia="仿宋" w:cs="仿宋"/>
          <w:b w:val="0"/>
          <w:bCs w:val="0"/>
          <w:sz w:val="20"/>
          <w:szCs w:val="20"/>
        </w:rPr>
        <w:fldChar w:fldCharType="separate"/>
      </w:r>
      <w:r>
        <w:rPr>
          <w:rFonts w:hint="eastAsia" w:ascii="仿宋" w:hAnsi="仿宋" w:eastAsia="仿宋" w:cs="仿宋"/>
          <w:b w:val="0"/>
          <w:bCs w:val="0"/>
          <w:sz w:val="20"/>
          <w:szCs w:val="20"/>
        </w:rPr>
        <w:t>21</w:t>
      </w:r>
      <w:r>
        <w:rPr>
          <w:rFonts w:hint="eastAsia" w:ascii="仿宋" w:hAnsi="仿宋" w:eastAsia="仿宋" w:cs="仿宋"/>
          <w:b w:val="0"/>
          <w:bCs w:val="0"/>
          <w:sz w:val="20"/>
          <w:szCs w:val="20"/>
        </w:rPr>
        <w:fldChar w:fldCharType="end"/>
      </w:r>
      <w:r>
        <w:rPr>
          <w:rFonts w:hint="eastAsia" w:ascii="仿宋" w:hAnsi="仿宋" w:eastAsia="仿宋" w:cs="仿宋"/>
          <w:b w:val="0"/>
          <w:bCs w:val="0"/>
          <w:sz w:val="20"/>
          <w:szCs w:val="22"/>
        </w:rPr>
        <w:fldChar w:fldCharType="end"/>
      </w:r>
    </w:p>
    <w:p w14:paraId="051830FA">
      <w:pPr>
        <w:pStyle w:val="8"/>
        <w:tabs>
          <w:tab w:val="right" w:leader="dot" w:pos="8307"/>
        </w:tabs>
        <w:spacing w:line="360" w:lineRule="auto"/>
        <w:rPr>
          <w:rFonts w:hint="eastAsia" w:ascii="仿宋" w:hAnsi="仿宋" w:eastAsia="仿宋" w:cs="仿宋"/>
          <w:b w:val="0"/>
          <w:bCs w:val="0"/>
          <w:sz w:val="20"/>
          <w:szCs w:val="20"/>
        </w:rPr>
      </w:pPr>
      <w:r>
        <w:rPr>
          <w:rFonts w:hint="eastAsia" w:ascii="仿宋" w:hAnsi="仿宋" w:eastAsia="仿宋" w:cs="仿宋"/>
          <w:b w:val="0"/>
          <w:bCs w:val="0"/>
          <w:sz w:val="20"/>
          <w:szCs w:val="22"/>
        </w:rPr>
        <w:fldChar w:fldCharType="begin"/>
      </w:r>
      <w:r>
        <w:rPr>
          <w:rFonts w:hint="eastAsia" w:ascii="仿宋" w:hAnsi="仿宋" w:eastAsia="仿宋" w:cs="仿宋"/>
          <w:b w:val="0"/>
          <w:bCs w:val="0"/>
          <w:sz w:val="20"/>
          <w:szCs w:val="22"/>
        </w:rPr>
        <w:instrText xml:space="preserve"> HYPERLINK \l _Toc15751 </w:instrText>
      </w:r>
      <w:r>
        <w:rPr>
          <w:rFonts w:hint="eastAsia" w:ascii="仿宋" w:hAnsi="仿宋" w:eastAsia="仿宋" w:cs="仿宋"/>
          <w:b w:val="0"/>
          <w:bCs w:val="0"/>
          <w:sz w:val="20"/>
          <w:szCs w:val="22"/>
        </w:rPr>
        <w:fldChar w:fldCharType="separate"/>
      </w:r>
      <w:r>
        <w:rPr>
          <w:rFonts w:hint="eastAsia" w:ascii="仿宋" w:hAnsi="仿宋" w:eastAsia="仿宋" w:cs="仿宋"/>
          <w:b w:val="0"/>
          <w:bCs w:val="0"/>
          <w:sz w:val="20"/>
          <w:szCs w:val="20"/>
          <w:lang w:val="en-US" w:eastAsia="zh-CN"/>
        </w:rPr>
        <w:t>5.边界复核验证与调整</w:t>
      </w:r>
      <w:r>
        <w:rPr>
          <w:rFonts w:hint="eastAsia" w:ascii="仿宋" w:hAnsi="仿宋" w:eastAsia="仿宋" w:cs="仿宋"/>
          <w:b w:val="0"/>
          <w:bCs w:val="0"/>
          <w:sz w:val="20"/>
          <w:szCs w:val="20"/>
        </w:rPr>
        <w:tab/>
      </w:r>
      <w:r>
        <w:rPr>
          <w:rFonts w:hint="eastAsia" w:ascii="仿宋" w:hAnsi="仿宋" w:eastAsia="仿宋" w:cs="仿宋"/>
          <w:b w:val="0"/>
          <w:bCs w:val="0"/>
          <w:sz w:val="20"/>
          <w:szCs w:val="20"/>
        </w:rPr>
        <w:fldChar w:fldCharType="begin"/>
      </w:r>
      <w:r>
        <w:rPr>
          <w:rFonts w:hint="eastAsia" w:ascii="仿宋" w:hAnsi="仿宋" w:eastAsia="仿宋" w:cs="仿宋"/>
          <w:b w:val="0"/>
          <w:bCs w:val="0"/>
          <w:sz w:val="20"/>
          <w:szCs w:val="20"/>
        </w:rPr>
        <w:instrText xml:space="preserve"> PAGEREF _Toc15751 \h </w:instrText>
      </w:r>
      <w:r>
        <w:rPr>
          <w:rFonts w:hint="eastAsia" w:ascii="仿宋" w:hAnsi="仿宋" w:eastAsia="仿宋" w:cs="仿宋"/>
          <w:b w:val="0"/>
          <w:bCs w:val="0"/>
          <w:sz w:val="20"/>
          <w:szCs w:val="20"/>
        </w:rPr>
        <w:fldChar w:fldCharType="separate"/>
      </w:r>
      <w:r>
        <w:rPr>
          <w:rFonts w:hint="eastAsia" w:ascii="仿宋" w:hAnsi="仿宋" w:eastAsia="仿宋" w:cs="仿宋"/>
          <w:b w:val="0"/>
          <w:bCs w:val="0"/>
          <w:sz w:val="20"/>
          <w:szCs w:val="20"/>
        </w:rPr>
        <w:t>22</w:t>
      </w:r>
      <w:r>
        <w:rPr>
          <w:rFonts w:hint="eastAsia" w:ascii="仿宋" w:hAnsi="仿宋" w:eastAsia="仿宋" w:cs="仿宋"/>
          <w:b w:val="0"/>
          <w:bCs w:val="0"/>
          <w:sz w:val="20"/>
          <w:szCs w:val="20"/>
        </w:rPr>
        <w:fldChar w:fldCharType="end"/>
      </w:r>
      <w:r>
        <w:rPr>
          <w:rFonts w:hint="eastAsia" w:ascii="仿宋" w:hAnsi="仿宋" w:eastAsia="仿宋" w:cs="仿宋"/>
          <w:b w:val="0"/>
          <w:bCs w:val="0"/>
          <w:sz w:val="20"/>
          <w:szCs w:val="22"/>
        </w:rPr>
        <w:fldChar w:fldCharType="end"/>
      </w:r>
    </w:p>
    <w:p w14:paraId="5C19D8FB">
      <w:pPr>
        <w:pStyle w:val="8"/>
        <w:tabs>
          <w:tab w:val="right" w:leader="dot" w:pos="8307"/>
        </w:tabs>
        <w:spacing w:line="360" w:lineRule="auto"/>
        <w:rPr>
          <w:rFonts w:hint="eastAsia" w:ascii="仿宋" w:hAnsi="仿宋" w:eastAsia="仿宋" w:cs="仿宋"/>
          <w:b w:val="0"/>
          <w:bCs w:val="0"/>
          <w:sz w:val="20"/>
          <w:szCs w:val="20"/>
        </w:rPr>
      </w:pPr>
      <w:r>
        <w:rPr>
          <w:rFonts w:hint="eastAsia" w:ascii="仿宋" w:hAnsi="仿宋" w:eastAsia="仿宋" w:cs="仿宋"/>
          <w:b w:val="0"/>
          <w:bCs w:val="0"/>
          <w:sz w:val="20"/>
          <w:szCs w:val="22"/>
        </w:rPr>
        <w:fldChar w:fldCharType="begin"/>
      </w:r>
      <w:r>
        <w:rPr>
          <w:rFonts w:hint="eastAsia" w:ascii="仿宋" w:hAnsi="仿宋" w:eastAsia="仿宋" w:cs="仿宋"/>
          <w:b w:val="0"/>
          <w:bCs w:val="0"/>
          <w:sz w:val="20"/>
          <w:szCs w:val="22"/>
        </w:rPr>
        <w:instrText xml:space="preserve"> HYPERLINK \l _Toc263 </w:instrText>
      </w:r>
      <w:r>
        <w:rPr>
          <w:rFonts w:hint="eastAsia" w:ascii="仿宋" w:hAnsi="仿宋" w:eastAsia="仿宋" w:cs="仿宋"/>
          <w:b w:val="0"/>
          <w:bCs w:val="0"/>
          <w:sz w:val="20"/>
          <w:szCs w:val="22"/>
        </w:rPr>
        <w:fldChar w:fldCharType="separate"/>
      </w:r>
      <w:r>
        <w:rPr>
          <w:rFonts w:hint="eastAsia" w:ascii="仿宋" w:hAnsi="仿宋" w:eastAsia="仿宋" w:cs="仿宋"/>
          <w:b w:val="0"/>
          <w:bCs w:val="0"/>
          <w:sz w:val="20"/>
          <w:szCs w:val="20"/>
          <w:lang w:val="en-US" w:eastAsia="zh-CN"/>
        </w:rPr>
        <w:t>6.征求乡镇意见</w:t>
      </w:r>
      <w:r>
        <w:rPr>
          <w:rFonts w:hint="eastAsia" w:ascii="仿宋" w:hAnsi="仿宋" w:eastAsia="仿宋" w:cs="仿宋"/>
          <w:b w:val="0"/>
          <w:bCs w:val="0"/>
          <w:sz w:val="20"/>
          <w:szCs w:val="20"/>
        </w:rPr>
        <w:tab/>
      </w:r>
      <w:r>
        <w:rPr>
          <w:rFonts w:hint="eastAsia" w:ascii="仿宋" w:hAnsi="仿宋" w:eastAsia="仿宋" w:cs="仿宋"/>
          <w:b w:val="0"/>
          <w:bCs w:val="0"/>
          <w:sz w:val="20"/>
          <w:szCs w:val="20"/>
        </w:rPr>
        <w:fldChar w:fldCharType="begin"/>
      </w:r>
      <w:r>
        <w:rPr>
          <w:rFonts w:hint="eastAsia" w:ascii="仿宋" w:hAnsi="仿宋" w:eastAsia="仿宋" w:cs="仿宋"/>
          <w:b w:val="0"/>
          <w:bCs w:val="0"/>
          <w:sz w:val="20"/>
          <w:szCs w:val="20"/>
        </w:rPr>
        <w:instrText xml:space="preserve"> PAGEREF _Toc263 \h </w:instrText>
      </w:r>
      <w:r>
        <w:rPr>
          <w:rFonts w:hint="eastAsia" w:ascii="仿宋" w:hAnsi="仿宋" w:eastAsia="仿宋" w:cs="仿宋"/>
          <w:b w:val="0"/>
          <w:bCs w:val="0"/>
          <w:sz w:val="20"/>
          <w:szCs w:val="20"/>
        </w:rPr>
        <w:fldChar w:fldCharType="separate"/>
      </w:r>
      <w:r>
        <w:rPr>
          <w:rFonts w:hint="eastAsia" w:ascii="仿宋" w:hAnsi="仿宋" w:eastAsia="仿宋" w:cs="仿宋"/>
          <w:b w:val="0"/>
          <w:bCs w:val="0"/>
          <w:sz w:val="20"/>
          <w:szCs w:val="20"/>
        </w:rPr>
        <w:t>23</w:t>
      </w:r>
      <w:r>
        <w:rPr>
          <w:rFonts w:hint="eastAsia" w:ascii="仿宋" w:hAnsi="仿宋" w:eastAsia="仿宋" w:cs="仿宋"/>
          <w:b w:val="0"/>
          <w:bCs w:val="0"/>
          <w:sz w:val="20"/>
          <w:szCs w:val="20"/>
        </w:rPr>
        <w:fldChar w:fldCharType="end"/>
      </w:r>
      <w:r>
        <w:rPr>
          <w:rFonts w:hint="eastAsia" w:ascii="仿宋" w:hAnsi="仿宋" w:eastAsia="仿宋" w:cs="仿宋"/>
          <w:b w:val="0"/>
          <w:bCs w:val="0"/>
          <w:sz w:val="20"/>
          <w:szCs w:val="22"/>
        </w:rPr>
        <w:fldChar w:fldCharType="end"/>
      </w:r>
    </w:p>
    <w:p w14:paraId="431FC4AC">
      <w:pPr>
        <w:pStyle w:val="8"/>
        <w:tabs>
          <w:tab w:val="right" w:leader="dot" w:pos="8307"/>
        </w:tabs>
        <w:spacing w:line="360" w:lineRule="auto"/>
        <w:rPr>
          <w:rFonts w:hint="eastAsia" w:ascii="仿宋" w:hAnsi="仿宋" w:eastAsia="仿宋" w:cs="仿宋"/>
          <w:b w:val="0"/>
          <w:bCs w:val="0"/>
          <w:sz w:val="20"/>
          <w:szCs w:val="20"/>
        </w:rPr>
      </w:pPr>
      <w:r>
        <w:rPr>
          <w:rFonts w:hint="eastAsia" w:ascii="仿宋" w:hAnsi="仿宋" w:eastAsia="仿宋" w:cs="仿宋"/>
          <w:b w:val="0"/>
          <w:bCs w:val="0"/>
          <w:sz w:val="20"/>
          <w:szCs w:val="22"/>
        </w:rPr>
        <w:fldChar w:fldCharType="begin"/>
      </w:r>
      <w:r>
        <w:rPr>
          <w:rFonts w:hint="eastAsia" w:ascii="仿宋" w:hAnsi="仿宋" w:eastAsia="仿宋" w:cs="仿宋"/>
          <w:b w:val="0"/>
          <w:bCs w:val="0"/>
          <w:sz w:val="20"/>
          <w:szCs w:val="22"/>
        </w:rPr>
        <w:instrText xml:space="preserve"> HYPERLINK \l _Toc5535 </w:instrText>
      </w:r>
      <w:r>
        <w:rPr>
          <w:rFonts w:hint="eastAsia" w:ascii="仿宋" w:hAnsi="仿宋" w:eastAsia="仿宋" w:cs="仿宋"/>
          <w:b w:val="0"/>
          <w:bCs w:val="0"/>
          <w:sz w:val="20"/>
          <w:szCs w:val="22"/>
        </w:rPr>
        <w:fldChar w:fldCharType="separate"/>
      </w:r>
      <w:r>
        <w:rPr>
          <w:rFonts w:hint="eastAsia" w:ascii="仿宋" w:hAnsi="仿宋" w:eastAsia="仿宋" w:cs="仿宋"/>
          <w:b w:val="0"/>
          <w:bCs w:val="0"/>
          <w:sz w:val="20"/>
          <w:szCs w:val="20"/>
          <w:lang w:val="en-US" w:eastAsia="zh-CN"/>
        </w:rPr>
        <w:t>7.征求部门意见</w:t>
      </w:r>
      <w:r>
        <w:rPr>
          <w:rFonts w:hint="eastAsia" w:ascii="仿宋" w:hAnsi="仿宋" w:eastAsia="仿宋" w:cs="仿宋"/>
          <w:b w:val="0"/>
          <w:bCs w:val="0"/>
          <w:sz w:val="20"/>
          <w:szCs w:val="20"/>
        </w:rPr>
        <w:tab/>
      </w:r>
      <w:r>
        <w:rPr>
          <w:rFonts w:hint="eastAsia" w:ascii="仿宋" w:hAnsi="仿宋" w:eastAsia="仿宋" w:cs="仿宋"/>
          <w:b w:val="0"/>
          <w:bCs w:val="0"/>
          <w:sz w:val="20"/>
          <w:szCs w:val="20"/>
        </w:rPr>
        <w:fldChar w:fldCharType="begin"/>
      </w:r>
      <w:r>
        <w:rPr>
          <w:rFonts w:hint="eastAsia" w:ascii="仿宋" w:hAnsi="仿宋" w:eastAsia="仿宋" w:cs="仿宋"/>
          <w:b w:val="0"/>
          <w:bCs w:val="0"/>
          <w:sz w:val="20"/>
          <w:szCs w:val="20"/>
        </w:rPr>
        <w:instrText xml:space="preserve"> PAGEREF _Toc5535 \h </w:instrText>
      </w:r>
      <w:r>
        <w:rPr>
          <w:rFonts w:hint="eastAsia" w:ascii="仿宋" w:hAnsi="仿宋" w:eastAsia="仿宋" w:cs="仿宋"/>
          <w:b w:val="0"/>
          <w:bCs w:val="0"/>
          <w:sz w:val="20"/>
          <w:szCs w:val="20"/>
        </w:rPr>
        <w:fldChar w:fldCharType="separate"/>
      </w:r>
      <w:r>
        <w:rPr>
          <w:rFonts w:hint="eastAsia" w:ascii="仿宋" w:hAnsi="仿宋" w:eastAsia="仿宋" w:cs="仿宋"/>
          <w:b w:val="0"/>
          <w:bCs w:val="0"/>
          <w:sz w:val="20"/>
          <w:szCs w:val="20"/>
        </w:rPr>
        <w:t>24</w:t>
      </w:r>
      <w:r>
        <w:rPr>
          <w:rFonts w:hint="eastAsia" w:ascii="仿宋" w:hAnsi="仿宋" w:eastAsia="仿宋" w:cs="仿宋"/>
          <w:b w:val="0"/>
          <w:bCs w:val="0"/>
          <w:sz w:val="20"/>
          <w:szCs w:val="20"/>
        </w:rPr>
        <w:fldChar w:fldCharType="end"/>
      </w:r>
      <w:r>
        <w:rPr>
          <w:rFonts w:hint="eastAsia" w:ascii="仿宋" w:hAnsi="仿宋" w:eastAsia="仿宋" w:cs="仿宋"/>
          <w:b w:val="0"/>
          <w:bCs w:val="0"/>
          <w:sz w:val="20"/>
          <w:szCs w:val="22"/>
        </w:rPr>
        <w:fldChar w:fldCharType="end"/>
      </w:r>
    </w:p>
    <w:p w14:paraId="2A3EC7FF">
      <w:pPr>
        <w:pStyle w:val="8"/>
        <w:tabs>
          <w:tab w:val="right" w:leader="dot" w:pos="8307"/>
        </w:tabs>
        <w:spacing w:line="360" w:lineRule="auto"/>
        <w:rPr>
          <w:rFonts w:hint="eastAsia" w:ascii="仿宋" w:hAnsi="仿宋" w:eastAsia="仿宋" w:cs="仿宋"/>
          <w:b w:val="0"/>
          <w:bCs w:val="0"/>
          <w:sz w:val="20"/>
          <w:szCs w:val="20"/>
        </w:rPr>
      </w:pPr>
      <w:r>
        <w:rPr>
          <w:rFonts w:hint="eastAsia" w:ascii="仿宋" w:hAnsi="仿宋" w:eastAsia="仿宋" w:cs="仿宋"/>
          <w:b w:val="0"/>
          <w:bCs w:val="0"/>
          <w:sz w:val="20"/>
          <w:szCs w:val="22"/>
        </w:rPr>
        <w:fldChar w:fldCharType="begin"/>
      </w:r>
      <w:r>
        <w:rPr>
          <w:rFonts w:hint="eastAsia" w:ascii="仿宋" w:hAnsi="仿宋" w:eastAsia="仿宋" w:cs="仿宋"/>
          <w:b w:val="0"/>
          <w:bCs w:val="0"/>
          <w:sz w:val="20"/>
          <w:szCs w:val="22"/>
        </w:rPr>
        <w:instrText xml:space="preserve"> HYPERLINK \l _Toc2755 </w:instrText>
      </w:r>
      <w:r>
        <w:rPr>
          <w:rFonts w:hint="eastAsia" w:ascii="仿宋" w:hAnsi="仿宋" w:eastAsia="仿宋" w:cs="仿宋"/>
          <w:b w:val="0"/>
          <w:bCs w:val="0"/>
          <w:sz w:val="20"/>
          <w:szCs w:val="22"/>
        </w:rPr>
        <w:fldChar w:fldCharType="separate"/>
      </w:r>
      <w:r>
        <w:rPr>
          <w:rFonts w:hint="eastAsia" w:ascii="仿宋" w:hAnsi="仿宋" w:eastAsia="仿宋" w:cs="仿宋"/>
          <w:b w:val="0"/>
          <w:bCs w:val="0"/>
          <w:sz w:val="20"/>
          <w:szCs w:val="20"/>
          <w:lang w:val="en-US" w:eastAsia="zh-CN"/>
        </w:rPr>
        <w:t>8.成果编制</w:t>
      </w:r>
      <w:r>
        <w:rPr>
          <w:rFonts w:hint="eastAsia" w:ascii="仿宋" w:hAnsi="仿宋" w:eastAsia="仿宋" w:cs="仿宋"/>
          <w:b w:val="0"/>
          <w:bCs w:val="0"/>
          <w:sz w:val="20"/>
          <w:szCs w:val="20"/>
        </w:rPr>
        <w:tab/>
      </w:r>
      <w:r>
        <w:rPr>
          <w:rFonts w:hint="eastAsia" w:ascii="仿宋" w:hAnsi="仿宋" w:eastAsia="仿宋" w:cs="仿宋"/>
          <w:b w:val="0"/>
          <w:bCs w:val="0"/>
          <w:sz w:val="20"/>
          <w:szCs w:val="20"/>
        </w:rPr>
        <w:fldChar w:fldCharType="begin"/>
      </w:r>
      <w:r>
        <w:rPr>
          <w:rFonts w:hint="eastAsia" w:ascii="仿宋" w:hAnsi="仿宋" w:eastAsia="仿宋" w:cs="仿宋"/>
          <w:b w:val="0"/>
          <w:bCs w:val="0"/>
          <w:sz w:val="20"/>
          <w:szCs w:val="20"/>
        </w:rPr>
        <w:instrText xml:space="preserve"> PAGEREF _Toc2755 \h </w:instrText>
      </w:r>
      <w:r>
        <w:rPr>
          <w:rFonts w:hint="eastAsia" w:ascii="仿宋" w:hAnsi="仿宋" w:eastAsia="仿宋" w:cs="仿宋"/>
          <w:b w:val="0"/>
          <w:bCs w:val="0"/>
          <w:sz w:val="20"/>
          <w:szCs w:val="20"/>
        </w:rPr>
        <w:fldChar w:fldCharType="separate"/>
      </w:r>
      <w:r>
        <w:rPr>
          <w:rFonts w:hint="eastAsia" w:ascii="仿宋" w:hAnsi="仿宋" w:eastAsia="仿宋" w:cs="仿宋"/>
          <w:b w:val="0"/>
          <w:bCs w:val="0"/>
          <w:sz w:val="20"/>
          <w:szCs w:val="20"/>
        </w:rPr>
        <w:t>24</w:t>
      </w:r>
      <w:r>
        <w:rPr>
          <w:rFonts w:hint="eastAsia" w:ascii="仿宋" w:hAnsi="仿宋" w:eastAsia="仿宋" w:cs="仿宋"/>
          <w:b w:val="0"/>
          <w:bCs w:val="0"/>
          <w:sz w:val="20"/>
          <w:szCs w:val="20"/>
        </w:rPr>
        <w:fldChar w:fldCharType="end"/>
      </w:r>
      <w:r>
        <w:rPr>
          <w:rFonts w:hint="eastAsia" w:ascii="仿宋" w:hAnsi="仿宋" w:eastAsia="仿宋" w:cs="仿宋"/>
          <w:b w:val="0"/>
          <w:bCs w:val="0"/>
          <w:sz w:val="20"/>
          <w:szCs w:val="22"/>
        </w:rPr>
        <w:fldChar w:fldCharType="end"/>
      </w:r>
    </w:p>
    <w:p w14:paraId="2BD889B9">
      <w:pPr>
        <w:pStyle w:val="10"/>
        <w:tabs>
          <w:tab w:val="right" w:leader="dot" w:pos="8307"/>
        </w:tabs>
        <w:spacing w:line="360" w:lineRule="auto"/>
        <w:rPr>
          <w:rFonts w:hint="eastAsia" w:ascii="仿宋" w:hAnsi="仿宋" w:eastAsia="仿宋" w:cs="仿宋"/>
          <w:b w:val="0"/>
          <w:bCs w:val="0"/>
          <w:sz w:val="21"/>
          <w:szCs w:val="21"/>
        </w:rPr>
      </w:pPr>
      <w:r>
        <w:rPr>
          <w:rFonts w:hint="eastAsia" w:ascii="仿宋" w:hAnsi="仿宋" w:eastAsia="仿宋" w:cs="仿宋"/>
          <w:b w:val="0"/>
          <w:bCs w:val="0"/>
          <w:sz w:val="21"/>
          <w:szCs w:val="24"/>
        </w:rPr>
        <w:fldChar w:fldCharType="begin"/>
      </w:r>
      <w:r>
        <w:rPr>
          <w:rFonts w:hint="eastAsia" w:ascii="仿宋" w:hAnsi="仿宋" w:eastAsia="仿宋" w:cs="仿宋"/>
          <w:b w:val="0"/>
          <w:bCs w:val="0"/>
          <w:sz w:val="21"/>
          <w:szCs w:val="24"/>
        </w:rPr>
        <w:instrText xml:space="preserve"> HYPERLINK \l _Toc25087 </w:instrText>
      </w:r>
      <w:r>
        <w:rPr>
          <w:rFonts w:hint="eastAsia" w:ascii="仿宋" w:hAnsi="仿宋" w:eastAsia="仿宋" w:cs="仿宋"/>
          <w:b w:val="0"/>
          <w:bCs w:val="0"/>
          <w:sz w:val="21"/>
          <w:szCs w:val="24"/>
        </w:rPr>
        <w:fldChar w:fldCharType="separate"/>
      </w:r>
      <w:r>
        <w:rPr>
          <w:rFonts w:hint="eastAsia" w:ascii="黑体" w:hAnsi="黑体" w:eastAsia="黑体" w:cs="黑体"/>
          <w:b w:val="0"/>
          <w:bCs w:val="0"/>
          <w:sz w:val="21"/>
          <w:szCs w:val="24"/>
          <w:lang w:val="en-US" w:eastAsia="zh-CN"/>
        </w:rPr>
        <w:t>四、划定成果</w:t>
      </w:r>
      <w:r>
        <w:rPr>
          <w:rFonts w:hint="eastAsia" w:ascii="仿宋" w:hAnsi="仿宋" w:eastAsia="仿宋" w:cs="仿宋"/>
          <w:b/>
          <w:bCs/>
          <w:sz w:val="21"/>
          <w:szCs w:val="21"/>
        </w:rPr>
        <w:tab/>
      </w:r>
      <w:r>
        <w:rPr>
          <w:rFonts w:hint="eastAsia" w:ascii="仿宋" w:hAnsi="仿宋" w:eastAsia="仿宋" w:cs="仿宋"/>
          <w:b/>
          <w:bCs/>
          <w:sz w:val="21"/>
          <w:szCs w:val="21"/>
        </w:rPr>
        <w:fldChar w:fldCharType="begin"/>
      </w:r>
      <w:r>
        <w:rPr>
          <w:rFonts w:hint="eastAsia" w:ascii="仿宋" w:hAnsi="仿宋" w:eastAsia="仿宋" w:cs="仿宋"/>
          <w:b/>
          <w:bCs/>
          <w:sz w:val="21"/>
          <w:szCs w:val="21"/>
        </w:rPr>
        <w:instrText xml:space="preserve"> PAGEREF _Toc25087 \h </w:instrText>
      </w:r>
      <w:r>
        <w:rPr>
          <w:rFonts w:hint="eastAsia" w:ascii="仿宋" w:hAnsi="仿宋" w:eastAsia="仿宋" w:cs="仿宋"/>
          <w:b/>
          <w:bCs/>
          <w:sz w:val="21"/>
          <w:szCs w:val="21"/>
        </w:rPr>
        <w:fldChar w:fldCharType="separate"/>
      </w:r>
      <w:r>
        <w:rPr>
          <w:rFonts w:hint="eastAsia" w:ascii="仿宋" w:hAnsi="仿宋" w:eastAsia="仿宋" w:cs="仿宋"/>
          <w:b/>
          <w:bCs/>
          <w:sz w:val="21"/>
          <w:szCs w:val="21"/>
        </w:rPr>
        <w:t>24</w:t>
      </w:r>
      <w:r>
        <w:rPr>
          <w:rFonts w:hint="eastAsia" w:ascii="仿宋" w:hAnsi="仿宋" w:eastAsia="仿宋" w:cs="仿宋"/>
          <w:b/>
          <w:bCs/>
          <w:sz w:val="21"/>
          <w:szCs w:val="21"/>
        </w:rPr>
        <w:fldChar w:fldCharType="end"/>
      </w:r>
      <w:r>
        <w:rPr>
          <w:rFonts w:hint="eastAsia" w:ascii="仿宋" w:hAnsi="仿宋" w:eastAsia="仿宋" w:cs="仿宋"/>
          <w:b w:val="0"/>
          <w:bCs w:val="0"/>
          <w:sz w:val="21"/>
          <w:szCs w:val="24"/>
        </w:rPr>
        <w:fldChar w:fldCharType="end"/>
      </w:r>
    </w:p>
    <w:p w14:paraId="6C86B50A">
      <w:pPr>
        <w:pStyle w:val="11"/>
        <w:tabs>
          <w:tab w:val="right" w:leader="dot" w:pos="8307"/>
        </w:tabs>
        <w:spacing w:line="360" w:lineRule="auto"/>
        <w:rPr>
          <w:rFonts w:hint="eastAsia" w:ascii="仿宋" w:hAnsi="仿宋" w:eastAsia="仿宋" w:cs="仿宋"/>
          <w:b/>
          <w:bCs/>
          <w:sz w:val="20"/>
          <w:szCs w:val="20"/>
        </w:rPr>
      </w:pPr>
      <w:r>
        <w:rPr>
          <w:rFonts w:hint="eastAsia" w:ascii="仿宋" w:hAnsi="仿宋" w:eastAsia="仿宋" w:cs="仿宋"/>
          <w:b/>
          <w:bCs/>
          <w:sz w:val="20"/>
          <w:szCs w:val="22"/>
        </w:rPr>
        <w:fldChar w:fldCharType="begin"/>
      </w:r>
      <w:r>
        <w:rPr>
          <w:rFonts w:hint="eastAsia" w:ascii="仿宋" w:hAnsi="仿宋" w:eastAsia="仿宋" w:cs="仿宋"/>
          <w:b/>
          <w:bCs/>
          <w:sz w:val="20"/>
          <w:szCs w:val="22"/>
        </w:rPr>
        <w:instrText xml:space="preserve"> HYPERLINK \l _Toc2562 </w:instrText>
      </w:r>
      <w:r>
        <w:rPr>
          <w:rFonts w:hint="eastAsia" w:ascii="仿宋" w:hAnsi="仿宋" w:eastAsia="仿宋" w:cs="仿宋"/>
          <w:b/>
          <w:bCs/>
          <w:sz w:val="20"/>
          <w:szCs w:val="22"/>
        </w:rPr>
        <w:fldChar w:fldCharType="separate"/>
      </w:r>
      <w:r>
        <w:rPr>
          <w:rFonts w:hint="eastAsia" w:ascii="仿宋" w:hAnsi="仿宋" w:eastAsia="仿宋" w:cs="仿宋"/>
          <w:b/>
          <w:bCs/>
          <w:sz w:val="20"/>
          <w:szCs w:val="20"/>
          <w:lang w:eastAsia="zh-CN"/>
        </w:rPr>
        <w:t>（</w:t>
      </w:r>
      <w:r>
        <w:rPr>
          <w:rFonts w:hint="eastAsia" w:ascii="仿宋" w:hAnsi="仿宋" w:eastAsia="仿宋" w:cs="仿宋"/>
          <w:b/>
          <w:bCs/>
          <w:sz w:val="20"/>
          <w:szCs w:val="20"/>
          <w:lang w:val="en-US" w:eastAsia="zh-CN"/>
        </w:rPr>
        <w:t>一</w:t>
      </w:r>
      <w:r>
        <w:rPr>
          <w:rFonts w:hint="eastAsia" w:ascii="仿宋" w:hAnsi="仿宋" w:eastAsia="仿宋" w:cs="仿宋"/>
          <w:b/>
          <w:bCs/>
          <w:sz w:val="20"/>
          <w:szCs w:val="20"/>
          <w:lang w:eastAsia="zh-CN"/>
        </w:rPr>
        <w:t>）划定总体情况</w:t>
      </w:r>
      <w:r>
        <w:rPr>
          <w:rFonts w:hint="eastAsia" w:ascii="仿宋" w:hAnsi="仿宋" w:eastAsia="仿宋" w:cs="仿宋"/>
          <w:b/>
          <w:bCs/>
          <w:sz w:val="20"/>
          <w:szCs w:val="20"/>
        </w:rPr>
        <w:tab/>
      </w:r>
      <w:r>
        <w:rPr>
          <w:rFonts w:hint="eastAsia" w:ascii="仿宋" w:hAnsi="仿宋" w:eastAsia="仿宋" w:cs="仿宋"/>
          <w:b/>
          <w:bCs/>
          <w:sz w:val="20"/>
          <w:szCs w:val="20"/>
        </w:rPr>
        <w:fldChar w:fldCharType="begin"/>
      </w:r>
      <w:r>
        <w:rPr>
          <w:rFonts w:hint="eastAsia" w:ascii="仿宋" w:hAnsi="仿宋" w:eastAsia="仿宋" w:cs="仿宋"/>
          <w:b/>
          <w:bCs/>
          <w:sz w:val="20"/>
          <w:szCs w:val="20"/>
        </w:rPr>
        <w:instrText xml:space="preserve"> PAGEREF _Toc2562 \h </w:instrText>
      </w:r>
      <w:r>
        <w:rPr>
          <w:rFonts w:hint="eastAsia" w:ascii="仿宋" w:hAnsi="仿宋" w:eastAsia="仿宋" w:cs="仿宋"/>
          <w:b/>
          <w:bCs/>
          <w:sz w:val="20"/>
          <w:szCs w:val="20"/>
        </w:rPr>
        <w:fldChar w:fldCharType="separate"/>
      </w:r>
      <w:r>
        <w:rPr>
          <w:rFonts w:hint="eastAsia" w:ascii="仿宋" w:hAnsi="仿宋" w:eastAsia="仿宋" w:cs="仿宋"/>
          <w:b/>
          <w:bCs/>
          <w:sz w:val="20"/>
          <w:szCs w:val="20"/>
        </w:rPr>
        <w:t>24</w:t>
      </w:r>
      <w:r>
        <w:rPr>
          <w:rFonts w:hint="eastAsia" w:ascii="仿宋" w:hAnsi="仿宋" w:eastAsia="仿宋" w:cs="仿宋"/>
          <w:b/>
          <w:bCs/>
          <w:sz w:val="20"/>
          <w:szCs w:val="20"/>
        </w:rPr>
        <w:fldChar w:fldCharType="end"/>
      </w:r>
      <w:r>
        <w:rPr>
          <w:rFonts w:hint="eastAsia" w:ascii="仿宋" w:hAnsi="仿宋" w:eastAsia="仿宋" w:cs="仿宋"/>
          <w:b/>
          <w:bCs/>
          <w:sz w:val="20"/>
          <w:szCs w:val="22"/>
        </w:rPr>
        <w:fldChar w:fldCharType="end"/>
      </w:r>
    </w:p>
    <w:p w14:paraId="78B1186F">
      <w:pPr>
        <w:pStyle w:val="11"/>
        <w:tabs>
          <w:tab w:val="right" w:leader="dot" w:pos="8307"/>
        </w:tabs>
        <w:spacing w:line="360" w:lineRule="auto"/>
        <w:rPr>
          <w:rFonts w:hint="eastAsia" w:ascii="仿宋" w:hAnsi="仿宋" w:eastAsia="仿宋" w:cs="仿宋"/>
          <w:b/>
          <w:bCs/>
          <w:sz w:val="20"/>
          <w:szCs w:val="20"/>
        </w:rPr>
      </w:pPr>
      <w:r>
        <w:rPr>
          <w:rFonts w:hint="eastAsia" w:ascii="仿宋" w:hAnsi="仿宋" w:eastAsia="仿宋" w:cs="仿宋"/>
          <w:b/>
          <w:bCs/>
          <w:sz w:val="20"/>
          <w:szCs w:val="22"/>
        </w:rPr>
        <w:fldChar w:fldCharType="begin"/>
      </w:r>
      <w:r>
        <w:rPr>
          <w:rFonts w:hint="eastAsia" w:ascii="仿宋" w:hAnsi="仿宋" w:eastAsia="仿宋" w:cs="仿宋"/>
          <w:b/>
          <w:bCs/>
          <w:sz w:val="20"/>
          <w:szCs w:val="22"/>
        </w:rPr>
        <w:instrText xml:space="preserve"> HYPERLINK \l _Toc21447 </w:instrText>
      </w:r>
      <w:r>
        <w:rPr>
          <w:rFonts w:hint="eastAsia" w:ascii="仿宋" w:hAnsi="仿宋" w:eastAsia="仿宋" w:cs="仿宋"/>
          <w:b/>
          <w:bCs/>
          <w:sz w:val="20"/>
          <w:szCs w:val="22"/>
        </w:rPr>
        <w:fldChar w:fldCharType="separate"/>
      </w:r>
      <w:r>
        <w:rPr>
          <w:rFonts w:hint="eastAsia" w:ascii="仿宋" w:hAnsi="仿宋" w:eastAsia="仿宋" w:cs="仿宋"/>
          <w:b/>
          <w:bCs/>
          <w:sz w:val="20"/>
          <w:szCs w:val="20"/>
          <w:lang w:eastAsia="zh-CN"/>
        </w:rPr>
        <w:t>（</w:t>
      </w:r>
      <w:r>
        <w:rPr>
          <w:rFonts w:hint="eastAsia" w:ascii="仿宋" w:hAnsi="仿宋" w:eastAsia="仿宋" w:cs="仿宋"/>
          <w:b/>
          <w:bCs/>
          <w:sz w:val="20"/>
          <w:szCs w:val="20"/>
          <w:lang w:val="en-US" w:eastAsia="zh-CN"/>
        </w:rPr>
        <w:t>二</w:t>
      </w:r>
      <w:r>
        <w:rPr>
          <w:rFonts w:hint="eastAsia" w:ascii="仿宋" w:hAnsi="仿宋" w:eastAsia="仿宋" w:cs="仿宋"/>
          <w:b/>
          <w:bCs/>
          <w:sz w:val="20"/>
          <w:szCs w:val="20"/>
          <w:lang w:eastAsia="zh-CN"/>
        </w:rPr>
        <w:t>）乡镇（街道）划定情况</w:t>
      </w:r>
      <w:r>
        <w:rPr>
          <w:rFonts w:hint="eastAsia" w:ascii="仿宋" w:hAnsi="仿宋" w:eastAsia="仿宋" w:cs="仿宋"/>
          <w:b/>
          <w:bCs/>
          <w:sz w:val="20"/>
          <w:szCs w:val="20"/>
        </w:rPr>
        <w:tab/>
      </w:r>
      <w:r>
        <w:rPr>
          <w:rFonts w:hint="eastAsia" w:ascii="仿宋" w:hAnsi="仿宋" w:eastAsia="仿宋" w:cs="仿宋"/>
          <w:b/>
          <w:bCs/>
          <w:sz w:val="20"/>
          <w:szCs w:val="20"/>
        </w:rPr>
        <w:fldChar w:fldCharType="begin"/>
      </w:r>
      <w:r>
        <w:rPr>
          <w:rFonts w:hint="eastAsia" w:ascii="仿宋" w:hAnsi="仿宋" w:eastAsia="仿宋" w:cs="仿宋"/>
          <w:b/>
          <w:bCs/>
          <w:sz w:val="20"/>
          <w:szCs w:val="20"/>
        </w:rPr>
        <w:instrText xml:space="preserve"> PAGEREF _Toc21447 \h </w:instrText>
      </w:r>
      <w:r>
        <w:rPr>
          <w:rFonts w:hint="eastAsia" w:ascii="仿宋" w:hAnsi="仿宋" w:eastAsia="仿宋" w:cs="仿宋"/>
          <w:b/>
          <w:bCs/>
          <w:sz w:val="20"/>
          <w:szCs w:val="20"/>
        </w:rPr>
        <w:fldChar w:fldCharType="separate"/>
      </w:r>
      <w:r>
        <w:rPr>
          <w:rFonts w:hint="eastAsia" w:ascii="仿宋" w:hAnsi="仿宋" w:eastAsia="仿宋" w:cs="仿宋"/>
          <w:b/>
          <w:bCs/>
          <w:sz w:val="20"/>
          <w:szCs w:val="20"/>
        </w:rPr>
        <w:t>26</w:t>
      </w:r>
      <w:r>
        <w:rPr>
          <w:rFonts w:hint="eastAsia" w:ascii="仿宋" w:hAnsi="仿宋" w:eastAsia="仿宋" w:cs="仿宋"/>
          <w:b/>
          <w:bCs/>
          <w:sz w:val="20"/>
          <w:szCs w:val="20"/>
        </w:rPr>
        <w:fldChar w:fldCharType="end"/>
      </w:r>
      <w:r>
        <w:rPr>
          <w:rFonts w:hint="eastAsia" w:ascii="仿宋" w:hAnsi="仿宋" w:eastAsia="仿宋" w:cs="仿宋"/>
          <w:b/>
          <w:bCs/>
          <w:sz w:val="20"/>
          <w:szCs w:val="22"/>
        </w:rPr>
        <w:fldChar w:fldCharType="end"/>
      </w:r>
    </w:p>
    <w:p w14:paraId="06570A90">
      <w:pPr>
        <w:pStyle w:val="11"/>
        <w:tabs>
          <w:tab w:val="right" w:leader="dot" w:pos="8307"/>
        </w:tabs>
        <w:spacing w:line="360" w:lineRule="auto"/>
        <w:rPr>
          <w:rFonts w:hint="eastAsia" w:ascii="仿宋" w:hAnsi="仿宋" w:eastAsia="仿宋" w:cs="仿宋"/>
          <w:b/>
          <w:bCs/>
          <w:sz w:val="20"/>
          <w:szCs w:val="20"/>
        </w:rPr>
      </w:pPr>
      <w:r>
        <w:rPr>
          <w:rFonts w:hint="eastAsia" w:ascii="仿宋" w:hAnsi="仿宋" w:eastAsia="仿宋" w:cs="仿宋"/>
          <w:b/>
          <w:bCs/>
          <w:sz w:val="20"/>
          <w:szCs w:val="22"/>
        </w:rPr>
        <w:fldChar w:fldCharType="begin"/>
      </w:r>
      <w:r>
        <w:rPr>
          <w:rFonts w:hint="eastAsia" w:ascii="仿宋" w:hAnsi="仿宋" w:eastAsia="仿宋" w:cs="仿宋"/>
          <w:b/>
          <w:bCs/>
          <w:sz w:val="20"/>
          <w:szCs w:val="22"/>
        </w:rPr>
        <w:instrText xml:space="preserve"> HYPERLINK \l _Toc4159 </w:instrText>
      </w:r>
      <w:r>
        <w:rPr>
          <w:rFonts w:hint="eastAsia" w:ascii="仿宋" w:hAnsi="仿宋" w:eastAsia="仿宋" w:cs="仿宋"/>
          <w:b/>
          <w:bCs/>
          <w:sz w:val="20"/>
          <w:szCs w:val="22"/>
        </w:rPr>
        <w:fldChar w:fldCharType="separate"/>
      </w:r>
      <w:r>
        <w:rPr>
          <w:rFonts w:hint="eastAsia" w:ascii="仿宋" w:hAnsi="仿宋" w:eastAsia="仿宋" w:cs="仿宋"/>
          <w:b/>
          <w:bCs/>
          <w:sz w:val="20"/>
          <w:szCs w:val="20"/>
          <w:lang w:eastAsia="zh-CN"/>
        </w:rPr>
        <w:t>（</w:t>
      </w:r>
      <w:r>
        <w:rPr>
          <w:rFonts w:hint="eastAsia" w:ascii="仿宋" w:hAnsi="仿宋" w:eastAsia="仿宋" w:cs="仿宋"/>
          <w:b/>
          <w:bCs/>
          <w:sz w:val="20"/>
          <w:szCs w:val="20"/>
          <w:lang w:val="en-US" w:eastAsia="zh-CN"/>
        </w:rPr>
        <w:t>三</w:t>
      </w:r>
      <w:r>
        <w:rPr>
          <w:rFonts w:hint="eastAsia" w:ascii="仿宋" w:hAnsi="仿宋" w:eastAsia="仿宋" w:cs="仿宋"/>
          <w:b/>
          <w:bCs/>
          <w:sz w:val="20"/>
          <w:szCs w:val="20"/>
          <w:lang w:eastAsia="zh-CN"/>
        </w:rPr>
        <w:t>）与生态空间结合情况</w:t>
      </w:r>
      <w:r>
        <w:rPr>
          <w:rFonts w:hint="eastAsia" w:ascii="仿宋" w:hAnsi="仿宋" w:eastAsia="仿宋" w:cs="仿宋"/>
          <w:b/>
          <w:bCs/>
          <w:sz w:val="20"/>
          <w:szCs w:val="20"/>
        </w:rPr>
        <w:tab/>
      </w:r>
      <w:r>
        <w:rPr>
          <w:rFonts w:hint="eastAsia" w:ascii="仿宋" w:hAnsi="仿宋" w:eastAsia="仿宋" w:cs="仿宋"/>
          <w:b/>
          <w:bCs/>
          <w:sz w:val="20"/>
          <w:szCs w:val="20"/>
        </w:rPr>
        <w:fldChar w:fldCharType="begin"/>
      </w:r>
      <w:r>
        <w:rPr>
          <w:rFonts w:hint="eastAsia" w:ascii="仿宋" w:hAnsi="仿宋" w:eastAsia="仿宋" w:cs="仿宋"/>
          <w:b/>
          <w:bCs/>
          <w:sz w:val="20"/>
          <w:szCs w:val="20"/>
        </w:rPr>
        <w:instrText xml:space="preserve"> PAGEREF _Toc4159 \h </w:instrText>
      </w:r>
      <w:r>
        <w:rPr>
          <w:rFonts w:hint="eastAsia" w:ascii="仿宋" w:hAnsi="仿宋" w:eastAsia="仿宋" w:cs="仿宋"/>
          <w:b/>
          <w:bCs/>
          <w:sz w:val="20"/>
          <w:szCs w:val="20"/>
        </w:rPr>
        <w:fldChar w:fldCharType="separate"/>
      </w:r>
      <w:r>
        <w:rPr>
          <w:rFonts w:hint="eastAsia" w:ascii="仿宋" w:hAnsi="仿宋" w:eastAsia="仿宋" w:cs="仿宋"/>
          <w:b/>
          <w:bCs/>
          <w:sz w:val="20"/>
          <w:szCs w:val="20"/>
        </w:rPr>
        <w:t>27</w:t>
      </w:r>
      <w:r>
        <w:rPr>
          <w:rFonts w:hint="eastAsia" w:ascii="仿宋" w:hAnsi="仿宋" w:eastAsia="仿宋" w:cs="仿宋"/>
          <w:b/>
          <w:bCs/>
          <w:sz w:val="20"/>
          <w:szCs w:val="20"/>
        </w:rPr>
        <w:fldChar w:fldCharType="end"/>
      </w:r>
      <w:r>
        <w:rPr>
          <w:rFonts w:hint="eastAsia" w:ascii="仿宋" w:hAnsi="仿宋" w:eastAsia="仿宋" w:cs="仿宋"/>
          <w:b/>
          <w:bCs/>
          <w:sz w:val="20"/>
          <w:szCs w:val="22"/>
        </w:rPr>
        <w:fldChar w:fldCharType="end"/>
      </w:r>
    </w:p>
    <w:p w14:paraId="5B0518A8">
      <w:pPr>
        <w:pStyle w:val="10"/>
        <w:tabs>
          <w:tab w:val="right" w:leader="dot" w:pos="8307"/>
        </w:tabs>
        <w:spacing w:line="360" w:lineRule="auto"/>
        <w:rPr>
          <w:rFonts w:hint="eastAsia" w:ascii="仿宋" w:hAnsi="仿宋" w:eastAsia="仿宋" w:cs="仿宋"/>
          <w:b w:val="0"/>
          <w:bCs w:val="0"/>
          <w:sz w:val="21"/>
          <w:szCs w:val="21"/>
        </w:rPr>
      </w:pPr>
      <w:r>
        <w:rPr>
          <w:rFonts w:hint="eastAsia" w:ascii="仿宋" w:hAnsi="仿宋" w:eastAsia="仿宋" w:cs="仿宋"/>
          <w:b w:val="0"/>
          <w:bCs w:val="0"/>
          <w:sz w:val="21"/>
          <w:szCs w:val="24"/>
        </w:rPr>
        <w:fldChar w:fldCharType="begin"/>
      </w:r>
      <w:r>
        <w:rPr>
          <w:rFonts w:hint="eastAsia" w:ascii="仿宋" w:hAnsi="仿宋" w:eastAsia="仿宋" w:cs="仿宋"/>
          <w:b w:val="0"/>
          <w:bCs w:val="0"/>
          <w:sz w:val="21"/>
          <w:szCs w:val="24"/>
        </w:rPr>
        <w:instrText xml:space="preserve"> HYPERLINK \l _Toc12277 </w:instrText>
      </w:r>
      <w:r>
        <w:rPr>
          <w:rFonts w:hint="eastAsia" w:ascii="仿宋" w:hAnsi="仿宋" w:eastAsia="仿宋" w:cs="仿宋"/>
          <w:b w:val="0"/>
          <w:bCs w:val="0"/>
          <w:sz w:val="21"/>
          <w:szCs w:val="24"/>
        </w:rPr>
        <w:fldChar w:fldCharType="separate"/>
      </w:r>
      <w:r>
        <w:rPr>
          <w:rFonts w:hint="eastAsia" w:ascii="黑体" w:hAnsi="黑体" w:eastAsia="黑体" w:cs="黑体"/>
          <w:b w:val="0"/>
          <w:bCs w:val="0"/>
          <w:sz w:val="21"/>
          <w:szCs w:val="24"/>
          <w:lang w:val="en-US" w:eastAsia="zh-CN"/>
        </w:rPr>
        <w:t>附表 城口县各乡镇禁止开垦陡坡地面积统计表</w:t>
      </w:r>
      <w:r>
        <w:rPr>
          <w:rFonts w:hint="eastAsia" w:ascii="仿宋" w:hAnsi="仿宋" w:eastAsia="仿宋" w:cs="仿宋"/>
          <w:b/>
          <w:bCs/>
          <w:sz w:val="21"/>
          <w:szCs w:val="21"/>
        </w:rPr>
        <w:tab/>
      </w:r>
      <w:r>
        <w:rPr>
          <w:rFonts w:hint="eastAsia" w:ascii="仿宋" w:hAnsi="仿宋" w:eastAsia="仿宋" w:cs="仿宋"/>
          <w:b/>
          <w:bCs/>
          <w:sz w:val="21"/>
          <w:szCs w:val="21"/>
        </w:rPr>
        <w:fldChar w:fldCharType="begin"/>
      </w:r>
      <w:r>
        <w:rPr>
          <w:rFonts w:hint="eastAsia" w:ascii="仿宋" w:hAnsi="仿宋" w:eastAsia="仿宋" w:cs="仿宋"/>
          <w:b/>
          <w:bCs/>
          <w:sz w:val="21"/>
          <w:szCs w:val="21"/>
        </w:rPr>
        <w:instrText xml:space="preserve"> PAGEREF _Toc12277 \h </w:instrText>
      </w:r>
      <w:r>
        <w:rPr>
          <w:rFonts w:hint="eastAsia" w:ascii="仿宋" w:hAnsi="仿宋" w:eastAsia="仿宋" w:cs="仿宋"/>
          <w:b/>
          <w:bCs/>
          <w:sz w:val="21"/>
          <w:szCs w:val="21"/>
        </w:rPr>
        <w:fldChar w:fldCharType="separate"/>
      </w:r>
      <w:r>
        <w:rPr>
          <w:rFonts w:hint="eastAsia" w:ascii="仿宋" w:hAnsi="仿宋" w:eastAsia="仿宋" w:cs="仿宋"/>
          <w:b/>
          <w:bCs/>
          <w:sz w:val="21"/>
          <w:szCs w:val="21"/>
        </w:rPr>
        <w:t>28</w:t>
      </w:r>
      <w:r>
        <w:rPr>
          <w:rFonts w:hint="eastAsia" w:ascii="仿宋" w:hAnsi="仿宋" w:eastAsia="仿宋" w:cs="仿宋"/>
          <w:b/>
          <w:bCs/>
          <w:sz w:val="21"/>
          <w:szCs w:val="21"/>
        </w:rPr>
        <w:fldChar w:fldCharType="end"/>
      </w:r>
      <w:r>
        <w:rPr>
          <w:rFonts w:hint="eastAsia" w:ascii="仿宋" w:hAnsi="仿宋" w:eastAsia="仿宋" w:cs="仿宋"/>
          <w:b w:val="0"/>
          <w:bCs w:val="0"/>
          <w:sz w:val="21"/>
          <w:szCs w:val="24"/>
        </w:rPr>
        <w:fldChar w:fldCharType="end"/>
      </w:r>
    </w:p>
    <w:p w14:paraId="540BBDD6">
      <w:pPr>
        <w:pStyle w:val="10"/>
        <w:tabs>
          <w:tab w:val="right" w:leader="dot" w:pos="8307"/>
        </w:tabs>
        <w:spacing w:line="360" w:lineRule="auto"/>
        <w:rPr>
          <w:rFonts w:hint="eastAsia" w:ascii="仿宋" w:hAnsi="仿宋" w:eastAsia="仿宋" w:cs="仿宋"/>
          <w:b w:val="0"/>
          <w:bCs w:val="0"/>
          <w:sz w:val="21"/>
          <w:szCs w:val="21"/>
        </w:rPr>
      </w:pPr>
      <w:r>
        <w:rPr>
          <w:rFonts w:hint="eastAsia" w:ascii="仿宋" w:hAnsi="仿宋" w:eastAsia="仿宋" w:cs="仿宋"/>
          <w:b w:val="0"/>
          <w:bCs w:val="0"/>
          <w:sz w:val="21"/>
          <w:szCs w:val="24"/>
        </w:rPr>
        <w:fldChar w:fldCharType="begin"/>
      </w:r>
      <w:r>
        <w:rPr>
          <w:rFonts w:hint="eastAsia" w:ascii="仿宋" w:hAnsi="仿宋" w:eastAsia="仿宋" w:cs="仿宋"/>
          <w:b w:val="0"/>
          <w:bCs w:val="0"/>
          <w:sz w:val="21"/>
          <w:szCs w:val="24"/>
        </w:rPr>
        <w:instrText xml:space="preserve"> HYPERLINK \l _Toc10790 </w:instrText>
      </w:r>
      <w:r>
        <w:rPr>
          <w:rFonts w:hint="eastAsia" w:ascii="仿宋" w:hAnsi="仿宋" w:eastAsia="仿宋" w:cs="仿宋"/>
          <w:b w:val="0"/>
          <w:bCs w:val="0"/>
          <w:sz w:val="21"/>
          <w:szCs w:val="24"/>
        </w:rPr>
        <w:fldChar w:fldCharType="separate"/>
      </w:r>
      <w:r>
        <w:rPr>
          <w:rFonts w:hint="eastAsia" w:ascii="黑体" w:hAnsi="黑体" w:eastAsia="黑体" w:cs="黑体"/>
          <w:b w:val="0"/>
          <w:bCs w:val="0"/>
          <w:sz w:val="21"/>
          <w:szCs w:val="24"/>
          <w:lang w:val="en-US" w:eastAsia="zh-CN"/>
        </w:rPr>
        <w:t>附图 城口县禁止开垦陡坡地范围示意图</w:t>
      </w:r>
      <w:r>
        <w:rPr>
          <w:rFonts w:hint="eastAsia" w:ascii="仿宋" w:hAnsi="仿宋" w:eastAsia="仿宋" w:cs="仿宋"/>
          <w:b/>
          <w:bCs/>
          <w:sz w:val="21"/>
          <w:szCs w:val="21"/>
        </w:rPr>
        <w:tab/>
      </w:r>
      <w:r>
        <w:rPr>
          <w:rFonts w:hint="eastAsia" w:ascii="仿宋" w:hAnsi="仿宋" w:eastAsia="仿宋" w:cs="仿宋"/>
          <w:b/>
          <w:bCs/>
          <w:sz w:val="21"/>
          <w:szCs w:val="21"/>
        </w:rPr>
        <w:fldChar w:fldCharType="begin"/>
      </w:r>
      <w:r>
        <w:rPr>
          <w:rFonts w:hint="eastAsia" w:ascii="仿宋" w:hAnsi="仿宋" w:eastAsia="仿宋" w:cs="仿宋"/>
          <w:b/>
          <w:bCs/>
          <w:sz w:val="21"/>
          <w:szCs w:val="21"/>
        </w:rPr>
        <w:instrText xml:space="preserve"> PAGEREF _Toc10790 \h </w:instrText>
      </w:r>
      <w:r>
        <w:rPr>
          <w:rFonts w:hint="eastAsia" w:ascii="仿宋" w:hAnsi="仿宋" w:eastAsia="仿宋" w:cs="仿宋"/>
          <w:b/>
          <w:bCs/>
          <w:sz w:val="21"/>
          <w:szCs w:val="21"/>
        </w:rPr>
        <w:fldChar w:fldCharType="separate"/>
      </w:r>
      <w:r>
        <w:rPr>
          <w:rFonts w:hint="eastAsia" w:ascii="仿宋" w:hAnsi="仿宋" w:eastAsia="仿宋" w:cs="仿宋"/>
          <w:b/>
          <w:bCs/>
          <w:sz w:val="21"/>
          <w:szCs w:val="21"/>
        </w:rPr>
        <w:t>29</w:t>
      </w:r>
      <w:r>
        <w:rPr>
          <w:rFonts w:hint="eastAsia" w:ascii="仿宋" w:hAnsi="仿宋" w:eastAsia="仿宋" w:cs="仿宋"/>
          <w:b/>
          <w:bCs/>
          <w:sz w:val="21"/>
          <w:szCs w:val="21"/>
        </w:rPr>
        <w:fldChar w:fldCharType="end"/>
      </w:r>
      <w:r>
        <w:rPr>
          <w:rFonts w:hint="eastAsia" w:ascii="仿宋" w:hAnsi="仿宋" w:eastAsia="仿宋" w:cs="仿宋"/>
          <w:b w:val="0"/>
          <w:bCs w:val="0"/>
          <w:sz w:val="21"/>
          <w:szCs w:val="24"/>
        </w:rPr>
        <w:fldChar w:fldCharType="end"/>
      </w:r>
    </w:p>
    <w:p w14:paraId="62B6C688">
      <w:pPr>
        <w:keepNext w:val="0"/>
        <w:keepLines w:val="0"/>
        <w:pageBreakBefore w:val="0"/>
        <w:widowControl/>
        <w:kinsoku/>
        <w:wordWrap/>
        <w:overflowPunct/>
        <w:topLinePunct w:val="0"/>
        <w:autoSpaceDE w:val="0"/>
        <w:autoSpaceDN w:val="0"/>
        <w:bidi w:val="0"/>
        <w:adjustRightInd w:val="0"/>
        <w:snapToGrid w:val="0"/>
        <w:spacing w:line="360" w:lineRule="auto"/>
        <w:jc w:val="both"/>
        <w:sectPr>
          <w:headerReference r:id="rId6" w:type="default"/>
          <w:footerReference r:id="rId7" w:type="default"/>
          <w:pgSz w:w="11907" w:h="16839"/>
          <w:pgMar w:top="1440" w:right="1800" w:bottom="1440" w:left="1800" w:header="0" w:footer="0" w:gutter="0"/>
          <w:pgNumType w:fmt="decimal"/>
          <w:cols w:space="720" w:num="1"/>
        </w:sectPr>
      </w:pPr>
      <w:r>
        <w:rPr>
          <w:rFonts w:hint="eastAsia" w:ascii="仿宋" w:hAnsi="仿宋" w:eastAsia="仿宋" w:cs="仿宋"/>
          <w:b w:val="0"/>
          <w:bCs w:val="0"/>
          <w:sz w:val="20"/>
          <w:szCs w:val="22"/>
        </w:rPr>
        <w:fldChar w:fldCharType="end"/>
      </w:r>
    </w:p>
    <w:p w14:paraId="7809AECE">
      <w:pPr>
        <w:pStyle w:val="3"/>
        <w:keepNext w:val="0"/>
        <w:keepLines w:val="0"/>
        <w:pageBreakBefore w:val="0"/>
        <w:widowControl w:val="0"/>
        <w:kinsoku/>
        <w:wordWrap/>
        <w:overflowPunct/>
        <w:topLinePunct w:val="0"/>
        <w:autoSpaceDE/>
        <w:autoSpaceDN/>
        <w:bidi w:val="0"/>
        <w:adjustRightInd/>
        <w:snapToGrid/>
        <w:ind w:firstLine="0" w:firstLineChars="0"/>
        <w:jc w:val="center"/>
        <w:textAlignment w:val="auto"/>
        <w:rPr>
          <w:lang w:eastAsia="zh-CN"/>
        </w:rPr>
      </w:pPr>
      <w:bookmarkStart w:id="0" w:name="bookmark1"/>
      <w:bookmarkEnd w:id="0"/>
      <w:bookmarkStart w:id="1" w:name="_Toc17608"/>
      <w:r>
        <w:rPr>
          <w:lang w:eastAsia="zh-CN"/>
        </w:rPr>
        <w:t>前  言</w:t>
      </w:r>
      <w:bookmarkEnd w:id="1"/>
    </w:p>
    <w:p w14:paraId="04DF7BE3">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为认真贯彻落实《中华人民共和国水土保持法》和中共中央办公厅、国务院办公厅《关于加强新时代水土保持工作的意见》，加快构建党委领导、政府参与、部门协同、全社会共同参与的水土保持格局，重庆市委办公厅、市政府办公厅印发了《重庆市贯彻落实〈关于加强新时代水土保持工作的意见〉具体措施》，明确要建立水土保持空间管控制度，落实差别化保护治理措施，保护好三峡库区和长江母亲河，筑牢长江上游重要生态屏障，从而全面推动重庆市水土保持高质量发展，高水平建设美丽重庆。在此背景下，重庆市水利局、重庆市规划和自然资源局联合印发了《关于开展禁止开垦陡坡地范围划定工作的函》，要求各区县政府于2024年12月底前完成本区域内禁止开垦陡坡地范围的划定工作，并于2025年3月底由区县人民政府向社会公告禁止开垦陡坡地范围。</w:t>
      </w:r>
    </w:p>
    <w:p w14:paraId="0BCED311">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本次禁止开垦陡坡地范围划定工作主要包括前期工作准备、基础资料收集及数据预处理、禁止开垦陡坡地范围图斑划定、边界修正与复核验证、征求意见、划定成果编制六个阶段。划定使</w:t>
      </w:r>
      <w:r>
        <w:rPr>
          <w:rFonts w:hint="eastAsia" w:ascii="Times New Roman" w:hAnsi="Times New Roman" w:eastAsia="方正仿宋_GB2312" w:cs="方正仿宋_GB2312"/>
          <w:b w:val="0"/>
          <w:bCs w:val="0"/>
          <w:snapToGrid/>
          <w:color w:val="auto"/>
          <w:kern w:val="2"/>
          <w:sz w:val="32"/>
          <w:szCs w:val="32"/>
          <w:highlight w:val="none"/>
          <w:lang w:val="en-US" w:eastAsia="zh-CN"/>
        </w:rPr>
        <w:t>用</w:t>
      </w:r>
      <w:r>
        <w:rPr>
          <w:rFonts w:hint="eastAsia" w:ascii="Times New Roman" w:hAnsi="Times New Roman" w:eastAsia="方正仿宋_GB2312" w:cs="方正仿宋_GB2312"/>
          <w:b w:val="0"/>
          <w:bCs w:val="0"/>
          <w:snapToGrid/>
          <w:color w:val="auto"/>
          <w:kern w:val="2"/>
          <w:sz w:val="32"/>
          <w:szCs w:val="32"/>
          <w:highlight w:val="none"/>
          <w:lang w:eastAsia="zh-CN"/>
        </w:rPr>
        <w:t>ArcGIS软件，基于城口县第三次国土资源调查成果中坡度分级数据，将坡度25°以上的林地、草地和裸地矢量范围作为底图，依次剔除与耕地保护红线、永久基本农田、高标准农田、补充及耕地后备资源相重叠的部分，并在全县范围内征求划定意见，遵循科学划定、落地准确、边界清晰、便于管理的原则，采用自上而下、自下而上相结合的方式，以定量判别为主、定性判定为辅的方法开展。</w:t>
      </w:r>
    </w:p>
    <w:p w14:paraId="2E5B1270">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仿宋_GB2312" w:cs="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城口县禁止开垦陡坡地范围划定图斑共</w:t>
      </w:r>
      <w:r>
        <w:rPr>
          <w:rFonts w:hint="eastAsia" w:ascii="Times New Roman" w:hAnsi="Times New Roman" w:eastAsia="方正仿宋_GB2312" w:cs="方正仿宋_GB2312"/>
          <w:b w:val="0"/>
          <w:bCs w:val="0"/>
          <w:snapToGrid/>
          <w:color w:val="auto"/>
          <w:kern w:val="2"/>
          <w:sz w:val="32"/>
          <w:szCs w:val="32"/>
          <w:highlight w:val="none"/>
          <w:lang w:val="en-US" w:eastAsia="zh-CN"/>
        </w:rPr>
        <w:t>598</w:t>
      </w:r>
      <w:r>
        <w:rPr>
          <w:rFonts w:hint="eastAsia" w:ascii="Times New Roman" w:hAnsi="Times New Roman" w:eastAsia="方正仿宋_GB2312" w:cs="方正仿宋_GB2312"/>
          <w:b w:val="0"/>
          <w:bCs w:val="0"/>
          <w:snapToGrid/>
          <w:color w:val="auto"/>
          <w:kern w:val="2"/>
          <w:sz w:val="32"/>
          <w:szCs w:val="32"/>
          <w:highlight w:val="none"/>
          <w:lang w:eastAsia="zh-CN"/>
        </w:rPr>
        <w:t>个，涉及</w:t>
      </w:r>
      <w:r>
        <w:rPr>
          <w:rFonts w:hint="eastAsia" w:ascii="Times New Roman" w:hAnsi="Times New Roman" w:eastAsia="方正仿宋_GB2312" w:cs="方正仿宋_GB2312"/>
          <w:b w:val="0"/>
          <w:bCs w:val="0"/>
          <w:snapToGrid/>
          <w:color w:val="auto"/>
          <w:kern w:val="2"/>
          <w:sz w:val="32"/>
          <w:szCs w:val="32"/>
          <w:highlight w:val="none"/>
          <w:lang w:val="en-US" w:eastAsia="zh-CN"/>
        </w:rPr>
        <w:t>25</w:t>
      </w:r>
      <w:r>
        <w:rPr>
          <w:rFonts w:hint="eastAsia" w:ascii="Times New Roman" w:hAnsi="Times New Roman" w:eastAsia="方正仿宋_GB2312" w:cs="方正仿宋_GB2312"/>
          <w:b w:val="0"/>
          <w:bCs w:val="0"/>
          <w:snapToGrid/>
          <w:color w:val="auto"/>
          <w:kern w:val="2"/>
          <w:sz w:val="32"/>
          <w:szCs w:val="32"/>
          <w:highlight w:val="none"/>
          <w:lang w:eastAsia="zh-CN"/>
        </w:rPr>
        <w:t>个乡镇（街道），面积共计</w:t>
      </w:r>
      <w:r>
        <w:rPr>
          <w:rFonts w:hint="eastAsia" w:ascii="Times New Roman" w:hAnsi="Times New Roman" w:eastAsia="方正仿宋_GB2312" w:cs="方正仿宋_GB2312"/>
          <w:b w:val="0"/>
          <w:bCs w:val="0"/>
          <w:snapToGrid/>
          <w:color w:val="auto"/>
          <w:kern w:val="2"/>
          <w:sz w:val="32"/>
          <w:szCs w:val="32"/>
          <w:highlight w:val="none"/>
          <w:lang w:val="en-US" w:eastAsia="zh-CN"/>
        </w:rPr>
        <w:t>1114.36</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，占全县土地面积的</w:t>
      </w:r>
      <w:r>
        <w:rPr>
          <w:rFonts w:hint="eastAsia" w:ascii="Times New Roman" w:hAnsi="Times New Roman" w:eastAsia="方正仿宋_GB2312" w:cs="方正仿宋_GB2312"/>
          <w:b w:val="0"/>
          <w:bCs w:val="0"/>
          <w:snapToGrid/>
          <w:color w:val="auto"/>
          <w:kern w:val="2"/>
          <w:sz w:val="32"/>
          <w:szCs w:val="32"/>
          <w:highlight w:val="none"/>
          <w:lang w:val="en-US" w:eastAsia="zh-CN"/>
        </w:rPr>
        <w:t>33.88</w:t>
      </w:r>
      <w:r>
        <w:rPr>
          <w:rFonts w:hint="eastAsia" w:ascii="Times New Roman" w:hAnsi="Times New Roman" w:eastAsia="方正仿宋_GB2312" w:cs="方正仿宋_GB2312"/>
          <w:b w:val="0"/>
          <w:bCs w:val="0"/>
          <w:snapToGrid/>
          <w:color w:val="auto"/>
          <w:kern w:val="2"/>
          <w:sz w:val="32"/>
          <w:szCs w:val="32"/>
          <w:highlight w:val="none"/>
          <w:lang w:eastAsia="zh-CN"/>
        </w:rPr>
        <w:t>%，划定范围均为林地，占全县林地面积</w:t>
      </w:r>
      <w:r>
        <w:rPr>
          <w:rFonts w:hint="eastAsia" w:ascii="Times New Roman" w:hAnsi="Times New Roman" w:eastAsia="方正仿宋_GB2312" w:cs="方正仿宋_GB2312"/>
          <w:b w:val="0"/>
          <w:bCs w:val="0"/>
          <w:snapToGrid/>
          <w:color w:val="auto"/>
          <w:kern w:val="2"/>
          <w:sz w:val="32"/>
          <w:szCs w:val="32"/>
          <w:highlight w:val="none"/>
          <w:lang w:val="en-US" w:eastAsia="zh-CN"/>
        </w:rPr>
        <w:t>36.81</w:t>
      </w:r>
      <w:r>
        <w:rPr>
          <w:rFonts w:hint="eastAsia" w:ascii="Times New Roman" w:hAnsi="Times New Roman" w:eastAsia="方正仿宋_GB2312" w:cs="方正仿宋_GB2312"/>
          <w:b w:val="0"/>
          <w:bCs w:val="0"/>
          <w:snapToGrid/>
          <w:color w:val="auto"/>
          <w:kern w:val="2"/>
          <w:sz w:val="32"/>
          <w:szCs w:val="32"/>
          <w:highlight w:val="none"/>
          <w:lang w:eastAsia="zh-CN"/>
        </w:rPr>
        <w:t>%。</w:t>
      </w:r>
    </w:p>
    <w:p w14:paraId="50249925">
      <w:pPr>
        <w:keepNext w:val="0"/>
        <w:keepLines w:val="0"/>
        <w:pageBreakBefore w:val="0"/>
        <w:widowControl/>
        <w:kinsoku/>
        <w:wordWrap/>
        <w:overflowPunct/>
        <w:topLinePunct w:val="0"/>
        <w:autoSpaceDE w:val="0"/>
        <w:autoSpaceDN w:val="0"/>
        <w:bidi w:val="0"/>
        <w:adjustRightInd w:val="0"/>
        <w:snapToGrid w:val="0"/>
        <w:spacing w:line="348" w:lineRule="auto"/>
        <w:jc w:val="both"/>
        <w:rPr>
          <w:color w:val="215968" w:themeColor="accent5" w:themeShade="80"/>
        </w:rPr>
        <w:sectPr>
          <w:footerReference r:id="rId8" w:type="default"/>
          <w:pgSz w:w="11907" w:h="16839"/>
          <w:pgMar w:top="1440" w:right="1800" w:bottom="1440" w:left="1800" w:header="0" w:footer="1624" w:gutter="0"/>
          <w:pgNumType w:fmt="decimal" w:start="1"/>
          <w:cols w:space="720" w:num="1"/>
        </w:sectPr>
      </w:pPr>
    </w:p>
    <w:p w14:paraId="259BCC8F">
      <w:pPr>
        <w:pStyle w:val="3"/>
        <w:bidi w:val="0"/>
        <w:rPr>
          <w:lang w:eastAsia="zh-CN"/>
        </w:rPr>
      </w:pPr>
      <w:bookmarkStart w:id="2" w:name="_Toc1701"/>
      <w:r>
        <w:rPr>
          <w:rFonts w:hint="eastAsia"/>
          <w:lang w:val="en-US" w:eastAsia="zh-CN"/>
        </w:rPr>
        <w:t>一、</w:t>
      </w:r>
      <w:r>
        <w:rPr>
          <w:lang w:eastAsia="zh-CN"/>
        </w:rPr>
        <w:t>基本概况</w:t>
      </w:r>
      <w:bookmarkEnd w:id="2"/>
    </w:p>
    <w:p w14:paraId="3414FA5F">
      <w:pPr>
        <w:pStyle w:val="4"/>
        <w:bidi w:val="0"/>
        <w:rPr>
          <w:rFonts w:hint="eastAsia"/>
          <w:lang w:eastAsia="zh-CN"/>
        </w:rPr>
      </w:pPr>
      <w:bookmarkStart w:id="3" w:name="_Toc4946"/>
      <w:r>
        <w:rPr>
          <w:rFonts w:hint="eastAsia"/>
          <w:lang w:eastAsia="zh-CN"/>
        </w:rPr>
        <w:t>（</w:t>
      </w:r>
      <w:r>
        <w:rPr>
          <w:rFonts w:hint="eastAsia"/>
          <w:lang w:val="en-US" w:eastAsia="zh-CN"/>
        </w:rPr>
        <w:t>一</w:t>
      </w:r>
      <w:r>
        <w:rPr>
          <w:rFonts w:hint="eastAsia"/>
          <w:lang w:eastAsia="zh-CN"/>
        </w:rPr>
        <w:t>）工作背景</w:t>
      </w:r>
      <w:bookmarkEnd w:id="3"/>
    </w:p>
    <w:p w14:paraId="33853811">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强化国土空间规划和用途管制、构建国土空间开发保护新格局，是以习近平同志为核心的党中央作出的重大战略部署。2022年10月，中共中央、国务院印发《全国国土空间规划纲要（2021—2035年）》，对水土保持工作提出了新的要求。2022年12月，中共中央办公厅、国务院办公厅印发的《关于加强新时代水土保持工作的意见》明确提出，按照国土空间规划和用途管制要求，建立水土保持空间管控制度，落实差别化保护治理措施，守住自然生态安全边界。2023年12月，中共重庆市委办公厅、重庆市人民政府办公厅印发的《重庆市贯彻落实〈关于加强新时代水土保持工作的意见〉具体措施》，明确各区县要依法依规划定并公告禁止开垦的陡坡地范围。</w:t>
      </w:r>
    </w:p>
    <w:p w14:paraId="16E7DB79">
      <w:pPr>
        <w:pStyle w:val="4"/>
        <w:bidi w:val="0"/>
        <w:rPr>
          <w:rFonts w:hint="eastAsia"/>
          <w:lang w:eastAsia="zh-CN"/>
        </w:rPr>
      </w:pPr>
      <w:bookmarkStart w:id="4" w:name="_Toc1005"/>
      <w:r>
        <w:rPr>
          <w:rFonts w:hint="eastAsia"/>
          <w:lang w:eastAsia="zh-CN"/>
        </w:rPr>
        <w:t>（</w:t>
      </w:r>
      <w:r>
        <w:rPr>
          <w:rFonts w:hint="eastAsia"/>
          <w:lang w:val="en-US" w:eastAsia="zh-CN"/>
        </w:rPr>
        <w:t>二</w:t>
      </w:r>
      <w:r>
        <w:rPr>
          <w:rFonts w:hint="eastAsia"/>
          <w:lang w:eastAsia="zh-CN"/>
        </w:rPr>
        <w:t>）自然状况</w:t>
      </w:r>
      <w:bookmarkEnd w:id="4"/>
    </w:p>
    <w:p w14:paraId="69108ADD">
      <w:pPr>
        <w:pStyle w:val="6"/>
        <w:keepNext w:val="0"/>
        <w:keepLines w:val="0"/>
        <w:pageBreakBefore w:val="0"/>
        <w:widowControl w:val="0"/>
        <w:kinsoku/>
        <w:wordWrap/>
        <w:overflowPunct/>
        <w:topLinePunct w:val="0"/>
        <w:autoSpaceDE/>
        <w:autoSpaceDN/>
        <w:bidi w:val="0"/>
        <w:adjustRightInd/>
        <w:snapToGrid/>
        <w:spacing w:afterLines="0"/>
        <w:textAlignment w:val="auto"/>
        <w:rPr>
          <w:rFonts w:hint="default"/>
          <w:lang w:val="en-US" w:eastAsia="en-US"/>
        </w:rPr>
      </w:pPr>
      <w:bookmarkStart w:id="5" w:name="_Toc1509"/>
      <w:r>
        <w:rPr>
          <w:rFonts w:hint="eastAsia"/>
          <w:lang w:val="en-US" w:eastAsia="zh-CN"/>
        </w:rPr>
        <w:t>1.</w:t>
      </w:r>
      <w:r>
        <w:rPr>
          <w:rFonts w:hint="default"/>
          <w:lang w:val="en-US" w:eastAsia="en-US"/>
        </w:rPr>
        <w:t>地理位置</w:t>
      </w:r>
      <w:bookmarkEnd w:id="5"/>
    </w:p>
    <w:p w14:paraId="7340D4DE">
      <w:pPr>
        <w:pStyle w:val="5"/>
        <w:widowControl w:val="0"/>
        <w:kinsoku/>
        <w:autoSpaceDE/>
        <w:autoSpaceDN/>
        <w:adjustRightInd/>
        <w:snapToGrid/>
        <w:spacing w:after="0" w:line="600" w:lineRule="exact"/>
        <w:ind w:firstLine="640" w:firstLineChars="200"/>
        <w:jc w:val="both"/>
        <w:textAlignment w:val="auto"/>
        <w:rPr>
          <w:rFonts w:hint="default" w:ascii="Times New Roman" w:hAnsi="Times New Roman" w:eastAsia="方正仿宋_GB2312" w:cs="方正仿宋_GB2312"/>
          <w:b w:val="0"/>
          <w:bCs w:val="0"/>
          <w:snapToGrid/>
          <w:color w:val="auto"/>
          <w:kern w:val="2"/>
          <w:sz w:val="32"/>
          <w:szCs w:val="32"/>
          <w:highlight w:val="none"/>
          <w:lang w:val="en-US" w:eastAsia="en-US"/>
        </w:rPr>
      </w:pPr>
      <w:r>
        <w:rPr>
          <w:rFonts w:hint="eastAsia" w:ascii="Times New Roman" w:hAnsi="Times New Roman" w:eastAsia="方正仿宋_GB2312" w:cs="方正仿宋_GB2312"/>
          <w:b w:val="0"/>
          <w:bCs w:val="0"/>
          <w:snapToGrid/>
          <w:color w:val="auto"/>
          <w:kern w:val="2"/>
          <w:sz w:val="32"/>
          <w:szCs w:val="32"/>
          <w:highlight w:val="none"/>
          <w:lang w:val="en-US" w:eastAsia="en-US"/>
        </w:rPr>
        <w:t>城口县，地处</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begin"/>
      </w:r>
      <w:r>
        <w:rPr>
          <w:rFonts w:hint="default" w:ascii="Times New Roman" w:hAnsi="Times New Roman" w:eastAsia="方正仿宋_GB2312" w:cs="方正仿宋_GB2312"/>
          <w:b w:val="0"/>
          <w:bCs w:val="0"/>
          <w:snapToGrid/>
          <w:color w:val="auto"/>
          <w:kern w:val="2"/>
          <w:sz w:val="32"/>
          <w:szCs w:val="32"/>
          <w:highlight w:val="none"/>
          <w:lang w:val="en-US" w:eastAsia="en-US"/>
        </w:rPr>
        <w:instrText xml:space="preserve"> HYPERLINK "https://baike.baidu.com/item/%E5%A4%A7%E5%B7%B4%E5%B1%B1/800887?fromModule=lemma_inlink" \t "https://baike.baidu.com/item/%E5%9F%8E%E5%8F%A3%E5%8E%BF/_blank" </w:instrTex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separate"/>
      </w:r>
      <w:r>
        <w:rPr>
          <w:rFonts w:hint="default" w:ascii="Times New Roman" w:hAnsi="Times New Roman" w:eastAsia="方正仿宋_GB2312" w:cs="方正仿宋_GB2312"/>
          <w:b w:val="0"/>
          <w:bCs w:val="0"/>
          <w:snapToGrid/>
          <w:color w:val="auto"/>
          <w:kern w:val="2"/>
          <w:sz w:val="32"/>
          <w:szCs w:val="32"/>
          <w:highlight w:val="none"/>
          <w:lang w:val="en-US" w:eastAsia="en-US"/>
        </w:rPr>
        <w:t>大巴山</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end"/>
      </w:r>
      <w:r>
        <w:rPr>
          <w:rFonts w:hint="default" w:ascii="Times New Roman" w:hAnsi="Times New Roman" w:eastAsia="方正仿宋_GB2312" w:cs="方正仿宋_GB2312"/>
          <w:b w:val="0"/>
          <w:bCs w:val="0"/>
          <w:snapToGrid/>
          <w:color w:val="auto"/>
          <w:kern w:val="2"/>
          <w:sz w:val="32"/>
          <w:szCs w:val="32"/>
          <w:highlight w:val="none"/>
          <w:lang w:val="en-US" w:eastAsia="en-US"/>
        </w:rPr>
        <w:t>南麓，位于长江上游地区、重庆市东北部，介于北纬31°37</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default" w:ascii="Times New Roman" w:hAnsi="Times New Roman" w:eastAsia="方正仿宋_GB2312" w:cs="方正仿宋_GB2312"/>
          <w:b w:val="0"/>
          <w:bCs w:val="0"/>
          <w:snapToGrid/>
          <w:color w:val="auto"/>
          <w:kern w:val="2"/>
          <w:sz w:val="32"/>
          <w:szCs w:val="32"/>
          <w:highlight w:val="none"/>
          <w:lang w:val="en-US" w:eastAsia="en-US"/>
        </w:rPr>
        <w:t>~32°12</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default" w:ascii="Times New Roman" w:hAnsi="Times New Roman" w:eastAsia="方正仿宋_GB2312" w:cs="方正仿宋_GB2312"/>
          <w:b w:val="0"/>
          <w:bCs w:val="0"/>
          <w:snapToGrid/>
          <w:color w:val="auto"/>
          <w:kern w:val="2"/>
          <w:sz w:val="32"/>
          <w:szCs w:val="32"/>
          <w:highlight w:val="none"/>
          <w:lang w:val="en-US" w:eastAsia="en-US"/>
        </w:rPr>
        <w:t>，东经108°15</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default" w:ascii="Times New Roman" w:hAnsi="Times New Roman" w:eastAsia="方正仿宋_GB2312" w:cs="方正仿宋_GB2312"/>
          <w:b w:val="0"/>
          <w:bCs w:val="0"/>
          <w:snapToGrid/>
          <w:color w:val="auto"/>
          <w:kern w:val="2"/>
          <w:sz w:val="32"/>
          <w:szCs w:val="32"/>
          <w:highlight w:val="none"/>
          <w:lang w:val="en-US" w:eastAsia="en-US"/>
        </w:rPr>
        <w:t>~109°16</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default" w:ascii="Times New Roman" w:hAnsi="Times New Roman" w:eastAsia="方正仿宋_GB2312" w:cs="方正仿宋_GB2312"/>
          <w:b w:val="0"/>
          <w:bCs w:val="0"/>
          <w:snapToGrid/>
          <w:color w:val="auto"/>
          <w:kern w:val="2"/>
          <w:sz w:val="32"/>
          <w:szCs w:val="32"/>
          <w:highlight w:val="none"/>
          <w:lang w:val="en-US" w:eastAsia="en-US"/>
        </w:rPr>
        <w:t>之间。东与陕西省</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begin"/>
      </w:r>
      <w:r>
        <w:rPr>
          <w:rFonts w:hint="default" w:ascii="Times New Roman" w:hAnsi="Times New Roman" w:eastAsia="方正仿宋_GB2312" w:cs="方正仿宋_GB2312"/>
          <w:b w:val="0"/>
          <w:bCs w:val="0"/>
          <w:snapToGrid/>
          <w:color w:val="auto"/>
          <w:kern w:val="2"/>
          <w:sz w:val="32"/>
          <w:szCs w:val="32"/>
          <w:highlight w:val="none"/>
          <w:lang w:val="en-US" w:eastAsia="en-US"/>
        </w:rPr>
        <w:instrText xml:space="preserve"> HYPERLINK "https://baike.baidu.com/item/%E9%95%87%E5%9D%AA%E5%8E%BF/345508?fromModule=lemma_inlink" \t "https://baike.baidu.com/item/%E5%9F%8E%E5%8F%A3%E5%8E%BF/_blank" </w:instrTex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separate"/>
      </w:r>
      <w:r>
        <w:rPr>
          <w:rFonts w:hint="default" w:ascii="Times New Roman" w:hAnsi="Times New Roman" w:eastAsia="方正仿宋_GB2312" w:cs="方正仿宋_GB2312"/>
          <w:b w:val="0"/>
          <w:bCs w:val="0"/>
          <w:snapToGrid/>
          <w:color w:val="auto"/>
          <w:kern w:val="2"/>
          <w:sz w:val="32"/>
          <w:szCs w:val="32"/>
          <w:highlight w:val="none"/>
          <w:lang w:val="en-US" w:eastAsia="en-US"/>
        </w:rPr>
        <w:t>镇坪县</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end"/>
      </w:r>
      <w:r>
        <w:rPr>
          <w:rFonts w:hint="default" w:ascii="Times New Roman" w:hAnsi="Times New Roman" w:eastAsia="方正仿宋_GB2312" w:cs="方正仿宋_GB2312"/>
          <w:b w:val="0"/>
          <w:bCs w:val="0"/>
          <w:snapToGrid/>
          <w:color w:val="auto"/>
          <w:kern w:val="2"/>
          <w:sz w:val="32"/>
          <w:szCs w:val="32"/>
          <w:highlight w:val="none"/>
          <w:lang w:val="en-US" w:eastAsia="en-US"/>
        </w:rPr>
        <w:t>、</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begin"/>
      </w:r>
      <w:r>
        <w:rPr>
          <w:rFonts w:hint="default" w:ascii="Times New Roman" w:hAnsi="Times New Roman" w:eastAsia="方正仿宋_GB2312" w:cs="方正仿宋_GB2312"/>
          <w:b w:val="0"/>
          <w:bCs w:val="0"/>
          <w:snapToGrid/>
          <w:color w:val="auto"/>
          <w:kern w:val="2"/>
          <w:sz w:val="32"/>
          <w:szCs w:val="32"/>
          <w:highlight w:val="none"/>
          <w:lang w:val="en-US" w:eastAsia="en-US"/>
        </w:rPr>
        <w:instrText xml:space="preserve"> HYPERLINK "https://baike.baidu.com/item/%E5%B9%B3%E5%88%A9%E5%8E%BF/5010293?fromModule=lemma_inlink" \t "https://baike.baidu.com/item/%E5%9F%8E%E5%8F%A3%E5%8E%BF/_blank" </w:instrTex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separate"/>
      </w:r>
      <w:r>
        <w:rPr>
          <w:rFonts w:hint="default" w:ascii="Times New Roman" w:hAnsi="Times New Roman" w:eastAsia="方正仿宋_GB2312" w:cs="方正仿宋_GB2312"/>
          <w:b w:val="0"/>
          <w:bCs w:val="0"/>
          <w:snapToGrid/>
          <w:color w:val="auto"/>
          <w:kern w:val="2"/>
          <w:sz w:val="32"/>
          <w:szCs w:val="32"/>
          <w:highlight w:val="none"/>
          <w:lang w:val="en-US" w:eastAsia="en-US"/>
        </w:rPr>
        <w:t>平利县</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end"/>
      </w:r>
      <w:r>
        <w:rPr>
          <w:rFonts w:hint="default" w:ascii="Times New Roman" w:hAnsi="Times New Roman" w:eastAsia="方正仿宋_GB2312" w:cs="方正仿宋_GB2312"/>
          <w:b w:val="0"/>
          <w:bCs w:val="0"/>
          <w:snapToGrid/>
          <w:color w:val="auto"/>
          <w:kern w:val="2"/>
          <w:sz w:val="32"/>
          <w:szCs w:val="32"/>
          <w:highlight w:val="none"/>
          <w:lang w:val="en-US" w:eastAsia="en-US"/>
        </w:rPr>
        <w:t>毗邻，西与四川省</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begin"/>
      </w:r>
      <w:r>
        <w:rPr>
          <w:rFonts w:hint="default" w:ascii="Times New Roman" w:hAnsi="Times New Roman" w:eastAsia="方正仿宋_GB2312" w:cs="方正仿宋_GB2312"/>
          <w:b w:val="0"/>
          <w:bCs w:val="0"/>
          <w:snapToGrid/>
          <w:color w:val="auto"/>
          <w:kern w:val="2"/>
          <w:sz w:val="32"/>
          <w:szCs w:val="32"/>
          <w:highlight w:val="none"/>
          <w:lang w:val="en-US" w:eastAsia="en-US"/>
        </w:rPr>
        <w:instrText xml:space="preserve"> HYPERLINK "https://baike.baidu.com/item/%E5%AE%A3%E6%B1%89%E5%8E%BF/11011329?fromModule=lemma_inlink" \t "https://baike.baidu.com/item/%E5%9F%8E%E5%8F%A3%E5%8E%BF/_blank" </w:instrTex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separate"/>
      </w:r>
      <w:r>
        <w:rPr>
          <w:rFonts w:hint="default" w:ascii="Times New Roman" w:hAnsi="Times New Roman" w:eastAsia="方正仿宋_GB2312" w:cs="方正仿宋_GB2312"/>
          <w:b w:val="0"/>
          <w:bCs w:val="0"/>
          <w:snapToGrid/>
          <w:color w:val="auto"/>
          <w:kern w:val="2"/>
          <w:sz w:val="32"/>
          <w:szCs w:val="32"/>
          <w:highlight w:val="none"/>
          <w:lang w:val="en-US" w:eastAsia="en-US"/>
        </w:rPr>
        <w:t>宣汉县</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end"/>
      </w:r>
      <w:r>
        <w:rPr>
          <w:rFonts w:hint="default" w:ascii="Times New Roman" w:hAnsi="Times New Roman" w:eastAsia="方正仿宋_GB2312" w:cs="方正仿宋_GB2312"/>
          <w:b w:val="0"/>
          <w:bCs w:val="0"/>
          <w:snapToGrid/>
          <w:color w:val="auto"/>
          <w:kern w:val="2"/>
          <w:sz w:val="32"/>
          <w:szCs w:val="32"/>
          <w:highlight w:val="none"/>
          <w:lang w:val="en-US" w:eastAsia="en-US"/>
        </w:rPr>
        <w:t>、</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begin"/>
      </w:r>
      <w:r>
        <w:rPr>
          <w:rFonts w:hint="default" w:ascii="Times New Roman" w:hAnsi="Times New Roman" w:eastAsia="方正仿宋_GB2312" w:cs="方正仿宋_GB2312"/>
          <w:b w:val="0"/>
          <w:bCs w:val="0"/>
          <w:snapToGrid/>
          <w:color w:val="auto"/>
          <w:kern w:val="2"/>
          <w:sz w:val="32"/>
          <w:szCs w:val="32"/>
          <w:highlight w:val="none"/>
          <w:lang w:val="en-US" w:eastAsia="en-US"/>
        </w:rPr>
        <w:instrText xml:space="preserve"> HYPERLINK "https://baike.baidu.com/item/%E4%B8%87%E6%BA%90%E5%B8%82/10878588?fromModule=lemma_inlink" \t "https://baike.baidu.com/item/%E5%9F%8E%E5%8F%A3%E5%8E%BF/_blank" </w:instrTex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separate"/>
      </w:r>
      <w:r>
        <w:rPr>
          <w:rFonts w:hint="default" w:ascii="Times New Roman" w:hAnsi="Times New Roman" w:eastAsia="方正仿宋_GB2312" w:cs="方正仿宋_GB2312"/>
          <w:b w:val="0"/>
          <w:bCs w:val="0"/>
          <w:snapToGrid/>
          <w:color w:val="auto"/>
          <w:kern w:val="2"/>
          <w:sz w:val="32"/>
          <w:szCs w:val="32"/>
          <w:highlight w:val="none"/>
          <w:lang w:val="en-US" w:eastAsia="en-US"/>
        </w:rPr>
        <w:t>万源市</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end"/>
      </w:r>
      <w:r>
        <w:rPr>
          <w:rFonts w:hint="default" w:ascii="Times New Roman" w:hAnsi="Times New Roman" w:eastAsia="方正仿宋_GB2312" w:cs="方正仿宋_GB2312"/>
          <w:b w:val="0"/>
          <w:bCs w:val="0"/>
          <w:snapToGrid/>
          <w:color w:val="auto"/>
          <w:kern w:val="2"/>
          <w:sz w:val="32"/>
          <w:szCs w:val="32"/>
          <w:highlight w:val="none"/>
          <w:lang w:val="en-US" w:eastAsia="en-US"/>
        </w:rPr>
        <w:t>相交，南与重庆市</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begin"/>
      </w:r>
      <w:r>
        <w:rPr>
          <w:rFonts w:hint="default" w:ascii="Times New Roman" w:hAnsi="Times New Roman" w:eastAsia="方正仿宋_GB2312" w:cs="方正仿宋_GB2312"/>
          <w:b w:val="0"/>
          <w:bCs w:val="0"/>
          <w:snapToGrid/>
          <w:color w:val="auto"/>
          <w:kern w:val="2"/>
          <w:sz w:val="32"/>
          <w:szCs w:val="32"/>
          <w:highlight w:val="none"/>
          <w:lang w:val="en-US" w:eastAsia="en-US"/>
        </w:rPr>
        <w:instrText xml:space="preserve"> HYPERLINK "https://baike.baidu.com/item/%E5%BC%80%E5%B7%9E%E5%8C%BA/1463471?fromModule=lemma_inlink" \t "https://baike.baidu.com/item/%E5%9F%8E%E5%8F%A3%E5%8E%BF/_blank" </w:instrTex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separate"/>
      </w:r>
      <w:r>
        <w:rPr>
          <w:rFonts w:hint="default" w:ascii="Times New Roman" w:hAnsi="Times New Roman" w:eastAsia="方正仿宋_GB2312" w:cs="方正仿宋_GB2312"/>
          <w:b w:val="0"/>
          <w:bCs w:val="0"/>
          <w:snapToGrid/>
          <w:color w:val="auto"/>
          <w:kern w:val="2"/>
          <w:sz w:val="32"/>
          <w:szCs w:val="32"/>
          <w:highlight w:val="none"/>
          <w:lang w:val="en-US" w:eastAsia="en-US"/>
        </w:rPr>
        <w:t>开州区</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end"/>
      </w:r>
      <w:r>
        <w:rPr>
          <w:rFonts w:hint="default" w:ascii="Times New Roman" w:hAnsi="Times New Roman" w:eastAsia="方正仿宋_GB2312" w:cs="方正仿宋_GB2312"/>
          <w:b w:val="0"/>
          <w:bCs w:val="0"/>
          <w:snapToGrid/>
          <w:color w:val="auto"/>
          <w:kern w:val="2"/>
          <w:sz w:val="32"/>
          <w:szCs w:val="32"/>
          <w:highlight w:val="none"/>
          <w:lang w:val="en-US" w:eastAsia="en-US"/>
        </w:rPr>
        <w:t>、</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begin"/>
      </w:r>
      <w:r>
        <w:rPr>
          <w:rFonts w:hint="default" w:ascii="Times New Roman" w:hAnsi="Times New Roman" w:eastAsia="方正仿宋_GB2312" w:cs="方正仿宋_GB2312"/>
          <w:b w:val="0"/>
          <w:bCs w:val="0"/>
          <w:snapToGrid/>
          <w:color w:val="auto"/>
          <w:kern w:val="2"/>
          <w:sz w:val="32"/>
          <w:szCs w:val="32"/>
          <w:highlight w:val="none"/>
          <w:lang w:val="en-US" w:eastAsia="en-US"/>
        </w:rPr>
        <w:instrText xml:space="preserve"> HYPERLINK "https://baike.baidu.com/item/%E5%B7%AB%E6%BA%AA%E5%8E%BF/10976233?fromModule=lemma_inlink" \t "https://baike.baidu.com/item/%E5%9F%8E%E5%8F%A3%E5%8E%BF/_blank" </w:instrTex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separate"/>
      </w:r>
      <w:r>
        <w:rPr>
          <w:rFonts w:hint="default" w:ascii="Times New Roman" w:hAnsi="Times New Roman" w:eastAsia="方正仿宋_GB2312" w:cs="方正仿宋_GB2312"/>
          <w:b w:val="0"/>
          <w:bCs w:val="0"/>
          <w:snapToGrid/>
          <w:color w:val="auto"/>
          <w:kern w:val="2"/>
          <w:sz w:val="32"/>
          <w:szCs w:val="32"/>
          <w:highlight w:val="none"/>
          <w:lang w:val="en-US" w:eastAsia="en-US"/>
        </w:rPr>
        <w:t>巫溪县</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end"/>
      </w:r>
      <w:r>
        <w:rPr>
          <w:rFonts w:hint="default" w:ascii="Times New Roman" w:hAnsi="Times New Roman" w:eastAsia="方正仿宋_GB2312" w:cs="方正仿宋_GB2312"/>
          <w:b w:val="0"/>
          <w:bCs w:val="0"/>
          <w:snapToGrid/>
          <w:color w:val="auto"/>
          <w:kern w:val="2"/>
          <w:sz w:val="32"/>
          <w:szCs w:val="32"/>
          <w:highlight w:val="none"/>
          <w:lang w:val="en-US" w:eastAsia="en-US"/>
        </w:rPr>
        <w:t>接壤，北与陕西</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begin"/>
      </w:r>
      <w:r>
        <w:rPr>
          <w:rFonts w:hint="default" w:ascii="Times New Roman" w:hAnsi="Times New Roman" w:eastAsia="方正仿宋_GB2312" w:cs="方正仿宋_GB2312"/>
          <w:b w:val="0"/>
          <w:bCs w:val="0"/>
          <w:snapToGrid/>
          <w:color w:val="auto"/>
          <w:kern w:val="2"/>
          <w:sz w:val="32"/>
          <w:szCs w:val="32"/>
          <w:highlight w:val="none"/>
          <w:lang w:val="en-US" w:eastAsia="en-US"/>
        </w:rPr>
        <w:instrText xml:space="preserve"> HYPERLINK "https://baike.baidu.com/item/%E5%B2%9A%E7%9A%8B%E5%8E%BF/345525?fromModule=lemma_inlink" \t "https://baike.baidu.com/item/%E5%9F%8E%E5%8F%A3%E5%8E%BF/_blank" </w:instrTex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separate"/>
      </w:r>
      <w:r>
        <w:rPr>
          <w:rFonts w:hint="default" w:ascii="Times New Roman" w:hAnsi="Times New Roman" w:eastAsia="方正仿宋_GB2312" w:cs="方正仿宋_GB2312"/>
          <w:b w:val="0"/>
          <w:bCs w:val="0"/>
          <w:snapToGrid/>
          <w:color w:val="auto"/>
          <w:kern w:val="2"/>
          <w:sz w:val="32"/>
          <w:szCs w:val="32"/>
          <w:highlight w:val="none"/>
          <w:lang w:val="en-US" w:eastAsia="en-US"/>
        </w:rPr>
        <w:t>岚皋县</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end"/>
      </w:r>
      <w:r>
        <w:rPr>
          <w:rFonts w:hint="default" w:ascii="Times New Roman" w:hAnsi="Times New Roman" w:eastAsia="方正仿宋_GB2312" w:cs="方正仿宋_GB2312"/>
          <w:b w:val="0"/>
          <w:bCs w:val="0"/>
          <w:snapToGrid/>
          <w:color w:val="auto"/>
          <w:kern w:val="2"/>
          <w:sz w:val="32"/>
          <w:szCs w:val="32"/>
          <w:highlight w:val="none"/>
          <w:lang w:val="en-US" w:eastAsia="en-US"/>
        </w:rPr>
        <w:t>、</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begin"/>
      </w:r>
      <w:r>
        <w:rPr>
          <w:rFonts w:hint="default" w:ascii="Times New Roman" w:hAnsi="Times New Roman" w:eastAsia="方正仿宋_GB2312" w:cs="方正仿宋_GB2312"/>
          <w:b w:val="0"/>
          <w:bCs w:val="0"/>
          <w:snapToGrid/>
          <w:color w:val="auto"/>
          <w:kern w:val="2"/>
          <w:sz w:val="32"/>
          <w:szCs w:val="32"/>
          <w:highlight w:val="none"/>
          <w:lang w:val="en-US" w:eastAsia="en-US"/>
        </w:rPr>
        <w:instrText xml:space="preserve"> HYPERLINK "https://baike.baidu.com/item/%E7%B4%AB%E9%98%B3%E5%8E%BF/10964465?fromModule=lemma_inlink" \t "https://baike.baidu.com/item/%E5%9F%8E%E5%8F%A3%E5%8E%BF/_blank" </w:instrTex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separate"/>
      </w:r>
      <w:r>
        <w:rPr>
          <w:rFonts w:hint="default" w:ascii="Times New Roman" w:hAnsi="Times New Roman" w:eastAsia="方正仿宋_GB2312" w:cs="方正仿宋_GB2312"/>
          <w:b w:val="0"/>
          <w:bCs w:val="0"/>
          <w:snapToGrid/>
          <w:color w:val="auto"/>
          <w:kern w:val="2"/>
          <w:sz w:val="32"/>
          <w:szCs w:val="32"/>
          <w:highlight w:val="none"/>
          <w:lang w:val="en-US" w:eastAsia="en-US"/>
        </w:rPr>
        <w:t>紫阳县</w:t>
      </w:r>
      <w:r>
        <w:rPr>
          <w:rFonts w:hint="default" w:ascii="Times New Roman" w:hAnsi="Times New Roman" w:eastAsia="方正仿宋_GB2312" w:cs="方正仿宋_GB2312"/>
          <w:b w:val="0"/>
          <w:bCs w:val="0"/>
          <w:snapToGrid/>
          <w:color w:val="auto"/>
          <w:kern w:val="2"/>
          <w:sz w:val="32"/>
          <w:szCs w:val="32"/>
          <w:highlight w:val="none"/>
          <w:lang w:val="en-US" w:eastAsia="en-US"/>
        </w:rPr>
        <w:fldChar w:fldCharType="end"/>
      </w:r>
      <w:r>
        <w:rPr>
          <w:rFonts w:hint="default" w:ascii="Times New Roman" w:hAnsi="Times New Roman" w:eastAsia="方正仿宋_GB2312" w:cs="方正仿宋_GB2312"/>
          <w:b w:val="0"/>
          <w:bCs w:val="0"/>
          <w:snapToGrid/>
          <w:color w:val="auto"/>
          <w:kern w:val="2"/>
          <w:sz w:val="32"/>
          <w:szCs w:val="32"/>
          <w:highlight w:val="none"/>
          <w:lang w:val="en-US" w:eastAsia="en-US"/>
        </w:rPr>
        <w:t>相连。东西长96</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km</w:t>
      </w:r>
      <w:r>
        <w:rPr>
          <w:rFonts w:hint="default" w:ascii="Times New Roman" w:hAnsi="Times New Roman" w:eastAsia="方正仿宋_GB2312" w:cs="方正仿宋_GB2312"/>
          <w:b w:val="0"/>
          <w:bCs w:val="0"/>
          <w:snapToGrid/>
          <w:color w:val="auto"/>
          <w:kern w:val="2"/>
          <w:sz w:val="32"/>
          <w:szCs w:val="32"/>
          <w:highlight w:val="none"/>
          <w:lang w:val="en-US" w:eastAsia="en-US"/>
        </w:rPr>
        <w:t>，南北宽66</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km</w:t>
      </w:r>
      <w:r>
        <w:rPr>
          <w:rFonts w:hint="default" w:ascii="Times New Roman" w:hAnsi="Times New Roman" w:eastAsia="方正仿宋_GB2312" w:cs="方正仿宋_GB2312"/>
          <w:b w:val="0"/>
          <w:bCs w:val="0"/>
          <w:snapToGrid/>
          <w:color w:val="auto"/>
          <w:kern w:val="2"/>
          <w:sz w:val="32"/>
          <w:szCs w:val="32"/>
          <w:highlight w:val="none"/>
          <w:lang w:val="en-US" w:eastAsia="en-US"/>
        </w:rPr>
        <w:t>，总面积3289.</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52 </w:t>
      </w:r>
      <w:r>
        <w:rPr>
          <w:rFonts w:hint="eastAsia" w:ascii="Times New Roman" w:hAnsi="Times New Roman" w:eastAsia="方正仿宋_GB2312" w:cs="方正仿宋_GB2312"/>
          <w:b w:val="0"/>
          <w:bCs w:val="0"/>
          <w:snapToGrid/>
          <w:color w:val="auto"/>
          <w:kern w:val="2"/>
          <w:sz w:val="32"/>
          <w:szCs w:val="32"/>
          <w:highlight w:val="none"/>
          <w:lang w:val="en-US" w:eastAsia="en-US"/>
        </w:rPr>
        <w:t>km</w:t>
      </w:r>
      <w:r>
        <w:rPr>
          <w:rFonts w:hint="eastAsia" w:ascii="Times New Roman" w:hAnsi="Times New Roman" w:eastAsia="方正仿宋_GB2312" w:cs="方正仿宋_GB2312"/>
          <w:b w:val="0"/>
          <w:bCs w:val="0"/>
          <w:snapToGrid/>
          <w:color w:val="auto"/>
          <w:kern w:val="2"/>
          <w:sz w:val="32"/>
          <w:szCs w:val="32"/>
          <w:highlight w:val="none"/>
          <w:lang w:val="en-US" w:eastAsia="zh-CN"/>
        </w:rPr>
        <w:t>²</w:t>
      </w:r>
      <w:r>
        <w:rPr>
          <w:rFonts w:hint="default" w:ascii="Times New Roman" w:hAnsi="Times New Roman" w:eastAsia="方正仿宋_GB2312" w:cs="方正仿宋_GB2312"/>
          <w:b w:val="0"/>
          <w:bCs w:val="0"/>
          <w:snapToGrid/>
          <w:color w:val="auto"/>
          <w:kern w:val="2"/>
          <w:sz w:val="32"/>
          <w:szCs w:val="32"/>
          <w:highlight w:val="none"/>
          <w:lang w:val="en-US" w:eastAsia="en-US"/>
        </w:rPr>
        <w:t>。</w:t>
      </w:r>
    </w:p>
    <w:p w14:paraId="6D5B9A6D">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val="en-US" w:eastAsia="zh-CN"/>
        </w:rPr>
      </w:pPr>
    </w:p>
    <w:p w14:paraId="2358842A">
      <w:pPr>
        <w:pStyle w:val="6"/>
        <w:keepNext w:val="0"/>
        <w:keepLines w:val="0"/>
        <w:pageBreakBefore w:val="0"/>
        <w:widowControl w:val="0"/>
        <w:kinsoku/>
        <w:wordWrap/>
        <w:overflowPunct/>
        <w:topLinePunct w:val="0"/>
        <w:autoSpaceDE/>
        <w:autoSpaceDN/>
        <w:bidi w:val="0"/>
        <w:adjustRightInd/>
        <w:snapToGrid/>
        <w:spacing w:afterLines="0"/>
        <w:textAlignment w:val="auto"/>
        <w:rPr>
          <w:rFonts w:hint="default"/>
          <w:lang w:val="en-US" w:eastAsia="en-US"/>
        </w:rPr>
      </w:pPr>
      <w:bookmarkStart w:id="6" w:name="_Toc32144"/>
      <w:r>
        <w:rPr>
          <w:rFonts w:hint="eastAsia"/>
          <w:lang w:val="en-US" w:eastAsia="zh-CN"/>
        </w:rPr>
        <w:t>2.</w:t>
      </w:r>
      <w:r>
        <w:rPr>
          <w:rFonts w:hint="default"/>
          <w:lang w:val="en-US" w:eastAsia="en-US"/>
        </w:rPr>
        <w:t>地形地貌</w:t>
      </w:r>
      <w:bookmarkEnd w:id="6"/>
    </w:p>
    <w:p w14:paraId="6AAD435B">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val="en-US" w:eastAsia="en-US"/>
        </w:rPr>
      </w:pPr>
      <w:r>
        <w:rPr>
          <w:rFonts w:hint="eastAsia" w:ascii="Times New Roman" w:hAnsi="Times New Roman" w:eastAsia="方正仿宋_GB2312" w:cs="方正仿宋_GB2312"/>
          <w:b w:val="0"/>
          <w:bCs w:val="0"/>
          <w:snapToGrid/>
          <w:color w:val="auto"/>
          <w:kern w:val="2"/>
          <w:sz w:val="32"/>
          <w:szCs w:val="32"/>
          <w:highlight w:val="none"/>
          <w:lang w:val="en-US" w:eastAsia="en-US"/>
        </w:rPr>
        <w:t>城口县属米仓山、大巴山中山区，山脉受地质构造和岩性的控制，排列较为整齐。诸列山岭均由北西向南东展布。由北而南</w:t>
      </w:r>
      <w:r>
        <w:rPr>
          <w:rFonts w:hint="eastAsia" w:ascii="Times New Roman" w:hAnsi="Times New Roman" w:eastAsia="方正仿宋_GB2312" w:cs="方正仿宋_GB2312"/>
          <w:b w:val="0"/>
          <w:bCs w:val="0"/>
          <w:snapToGrid/>
          <w:color w:val="auto"/>
          <w:kern w:val="2"/>
          <w:sz w:val="32"/>
          <w:szCs w:val="32"/>
          <w:highlight w:val="none"/>
          <w:lang w:val="en-US" w:eastAsia="zh-CN"/>
        </w:rPr>
        <w:t>依次</w:t>
      </w:r>
      <w:r>
        <w:rPr>
          <w:rFonts w:hint="eastAsia" w:ascii="Times New Roman" w:hAnsi="Times New Roman" w:eastAsia="方正仿宋_GB2312" w:cs="方正仿宋_GB2312"/>
          <w:b w:val="0"/>
          <w:bCs w:val="0"/>
          <w:snapToGrid/>
          <w:color w:val="auto"/>
          <w:kern w:val="2"/>
          <w:sz w:val="32"/>
          <w:szCs w:val="32"/>
          <w:highlight w:val="none"/>
          <w:lang w:val="en-US" w:eastAsia="en-US"/>
        </w:rPr>
        <w:t>为大巴山、牛心山、旗杆山、梆梆梁、八台山五座大山。其间是海拔2000—2500米的群峰。中部旗杆山为南北水系的分水岭。</w:t>
      </w:r>
      <w:r>
        <w:rPr>
          <w:rFonts w:hint="default" w:ascii="Times New Roman" w:hAnsi="Times New Roman" w:eastAsia="方正仿宋_GB2312" w:cs="方正仿宋_GB2312"/>
          <w:b w:val="0"/>
          <w:bCs w:val="0"/>
          <w:snapToGrid/>
          <w:color w:val="auto"/>
          <w:kern w:val="2"/>
          <w:sz w:val="32"/>
          <w:szCs w:val="32"/>
          <w:highlight w:val="none"/>
          <w:lang w:val="en-US" w:eastAsia="en-US"/>
        </w:rPr>
        <w:t>由于河谷相对高差在1000米以上，谷坡陡峻，地貌明显形成4级夷平面，由北而南层层下降。分别有海拔2200</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default" w:ascii="Times New Roman" w:hAnsi="Times New Roman" w:eastAsia="方正仿宋_GB2312" w:cs="方正仿宋_GB2312"/>
          <w:b w:val="0"/>
          <w:bCs w:val="0"/>
          <w:snapToGrid/>
          <w:color w:val="auto"/>
          <w:kern w:val="2"/>
          <w:sz w:val="32"/>
          <w:szCs w:val="32"/>
          <w:highlight w:val="none"/>
          <w:lang w:val="en-US" w:eastAsia="en-US"/>
        </w:rPr>
        <w:t>2400米、1800</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default" w:ascii="Times New Roman" w:hAnsi="Times New Roman" w:eastAsia="方正仿宋_GB2312" w:cs="方正仿宋_GB2312"/>
          <w:b w:val="0"/>
          <w:bCs w:val="0"/>
          <w:snapToGrid/>
          <w:color w:val="auto"/>
          <w:kern w:val="2"/>
          <w:sz w:val="32"/>
          <w:szCs w:val="32"/>
          <w:highlight w:val="none"/>
          <w:lang w:val="en-US" w:eastAsia="en-US"/>
        </w:rPr>
        <w:t>2000米、1100</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default" w:ascii="Times New Roman" w:hAnsi="Times New Roman" w:eastAsia="方正仿宋_GB2312" w:cs="方正仿宋_GB2312"/>
          <w:b w:val="0"/>
          <w:bCs w:val="0"/>
          <w:snapToGrid/>
          <w:color w:val="auto"/>
          <w:kern w:val="2"/>
          <w:sz w:val="32"/>
          <w:szCs w:val="32"/>
          <w:highlight w:val="none"/>
          <w:lang w:val="en-US" w:eastAsia="en-US"/>
        </w:rPr>
        <w:t>1400米及600</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default" w:ascii="Times New Roman" w:hAnsi="Times New Roman" w:eastAsia="方正仿宋_GB2312" w:cs="方正仿宋_GB2312"/>
          <w:b w:val="0"/>
          <w:bCs w:val="0"/>
          <w:snapToGrid/>
          <w:color w:val="auto"/>
          <w:kern w:val="2"/>
          <w:sz w:val="32"/>
          <w:szCs w:val="32"/>
          <w:highlight w:val="none"/>
          <w:lang w:val="en-US" w:eastAsia="en-US"/>
        </w:rPr>
        <w:t>800米的河谷地带4个级。地貌分低山河谷、中山和峰丛台地3种类型。低山河谷主要分布在</w:t>
      </w:r>
      <w:r>
        <w:rPr>
          <w:rFonts w:hint="eastAsia" w:ascii="Times New Roman" w:hAnsi="Times New Roman" w:eastAsia="方正仿宋_GB2312" w:cs="方正仿宋_GB2312"/>
          <w:b w:val="0"/>
          <w:bCs w:val="0"/>
          <w:snapToGrid/>
          <w:color w:val="auto"/>
          <w:kern w:val="2"/>
          <w:sz w:val="32"/>
          <w:szCs w:val="32"/>
          <w:highlight w:val="none"/>
          <w:lang w:val="en-US" w:eastAsia="zh-CN"/>
        </w:rPr>
        <w:t>任</w:t>
      </w:r>
      <w:r>
        <w:rPr>
          <w:rFonts w:hint="default" w:ascii="Times New Roman" w:hAnsi="Times New Roman" w:eastAsia="方正仿宋_GB2312" w:cs="方正仿宋_GB2312"/>
          <w:b w:val="0"/>
          <w:bCs w:val="0"/>
          <w:snapToGrid/>
          <w:color w:val="auto"/>
          <w:kern w:val="2"/>
          <w:sz w:val="32"/>
          <w:szCs w:val="32"/>
          <w:highlight w:val="none"/>
          <w:lang w:val="en-US" w:eastAsia="en-US"/>
        </w:rPr>
        <w:t>河、前河、</w:t>
      </w:r>
      <w:r>
        <w:rPr>
          <w:rFonts w:hint="eastAsia" w:ascii="Times New Roman" w:hAnsi="Times New Roman" w:eastAsia="方正仿宋_GB2312" w:cs="方正仿宋_GB2312"/>
          <w:b w:val="0"/>
          <w:bCs w:val="0"/>
          <w:snapToGrid/>
          <w:color w:val="auto"/>
          <w:kern w:val="2"/>
          <w:sz w:val="32"/>
          <w:szCs w:val="32"/>
          <w:highlight w:val="none"/>
          <w:lang w:val="en-US" w:eastAsia="zh-CN"/>
        </w:rPr>
        <w:t>燕子</w:t>
      </w:r>
      <w:r>
        <w:rPr>
          <w:rFonts w:hint="default" w:ascii="Times New Roman" w:hAnsi="Times New Roman" w:eastAsia="方正仿宋_GB2312" w:cs="方正仿宋_GB2312"/>
          <w:b w:val="0"/>
          <w:bCs w:val="0"/>
          <w:snapToGrid/>
          <w:color w:val="auto"/>
          <w:kern w:val="2"/>
          <w:sz w:val="32"/>
          <w:szCs w:val="32"/>
          <w:highlight w:val="none"/>
          <w:lang w:val="en-US" w:eastAsia="en-US"/>
        </w:rPr>
        <w:t>河、坪坝河两岸海拔1500米以下的山体下部，占全县辖区面积的54.66%。中山分布于海拔1500</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default" w:ascii="Times New Roman" w:hAnsi="Times New Roman" w:eastAsia="方正仿宋_GB2312" w:cs="方正仿宋_GB2312"/>
          <w:b w:val="0"/>
          <w:bCs w:val="0"/>
          <w:snapToGrid/>
          <w:color w:val="auto"/>
          <w:kern w:val="2"/>
          <w:sz w:val="32"/>
          <w:szCs w:val="32"/>
          <w:highlight w:val="none"/>
          <w:lang w:val="en-US" w:eastAsia="en-US"/>
        </w:rPr>
        <w:t>2000米之间的地区，占全县辖区面积的42.36%。峰丛台地主要分布在海拔2000米左右的中山宽阔顶部。</w:t>
      </w:r>
    </w:p>
    <w:p w14:paraId="33CD3993">
      <w:pPr>
        <w:pStyle w:val="6"/>
        <w:keepNext w:val="0"/>
        <w:keepLines w:val="0"/>
        <w:pageBreakBefore w:val="0"/>
        <w:widowControl w:val="0"/>
        <w:kinsoku/>
        <w:wordWrap/>
        <w:overflowPunct/>
        <w:topLinePunct w:val="0"/>
        <w:autoSpaceDE/>
        <w:autoSpaceDN/>
        <w:bidi w:val="0"/>
        <w:adjustRightInd/>
        <w:snapToGrid/>
        <w:spacing w:afterLines="0"/>
        <w:textAlignment w:val="auto"/>
        <w:rPr>
          <w:rFonts w:hint="default"/>
          <w:lang w:val="en-US" w:eastAsia="en-US"/>
        </w:rPr>
      </w:pPr>
      <w:bookmarkStart w:id="7" w:name="_Toc29446"/>
      <w:r>
        <w:rPr>
          <w:rFonts w:hint="eastAsia"/>
          <w:lang w:val="en-US" w:eastAsia="zh-CN"/>
        </w:rPr>
        <w:t>3.</w:t>
      </w:r>
      <w:r>
        <w:rPr>
          <w:rFonts w:hint="default"/>
          <w:lang w:val="en-US" w:eastAsia="en-US"/>
        </w:rPr>
        <w:t>气候特征</w:t>
      </w:r>
      <w:bookmarkEnd w:id="7"/>
    </w:p>
    <w:p w14:paraId="3361F7EA">
      <w:pPr>
        <w:pStyle w:val="5"/>
        <w:widowControl w:val="0"/>
        <w:kinsoku/>
        <w:autoSpaceDE/>
        <w:autoSpaceDN/>
        <w:adjustRightInd/>
        <w:snapToGrid/>
        <w:spacing w:after="0" w:line="600" w:lineRule="exact"/>
        <w:ind w:firstLine="640" w:firstLineChars="200"/>
        <w:jc w:val="both"/>
        <w:textAlignment w:val="auto"/>
        <w:rPr>
          <w:rFonts w:hint="default"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城口县属四川盆地北亚热带山地气候，系亚热带季风气候。由于山高谷深，高差大，具有山区立体气候的特征。气候温和，雨量充沛，日照较足，四季分明，冬长夏短。</w:t>
      </w:r>
      <w:r>
        <w:rPr>
          <w:rFonts w:hint="default" w:ascii="Times New Roman" w:hAnsi="Times New Roman" w:eastAsia="方正仿宋_GB2312" w:cs="方正仿宋_GB2312"/>
          <w:b w:val="0"/>
          <w:bCs w:val="0"/>
          <w:snapToGrid/>
          <w:color w:val="auto"/>
          <w:kern w:val="2"/>
          <w:sz w:val="32"/>
          <w:szCs w:val="32"/>
          <w:highlight w:val="none"/>
          <w:lang w:eastAsia="zh-CN"/>
        </w:rPr>
        <w:t>春季气温回升快，但不稳定，常有“倒春寒”天气出现；夏季降水集中，七、八月多干旱，伏前、伏后多洪涝；秋季降温快，多连阴雨天气；冬季时间较长、气温低。常年平均气温13.8℃。年际变化比较稳定。年均最高气温14.5℃，最低气温为13.0℃。平均无霜期234天，年均降雨日166天，常年平均日照时数为1534小时；年均降水量1261.4毫米，降水趋势由西南向东北渐少，年均风速为0.2米／秒，风向多为西南风。因地处大巴山，海拔高差大，不同的地理位置对气候有一定的影响。春、夏随山体高度的增加而推迟，秋冬则随着山体增高而相应提前和延长。低、中山地区气候条件较好。在</w:t>
      </w:r>
      <w:r>
        <w:rPr>
          <w:rFonts w:hint="eastAsia" w:ascii="Times New Roman" w:hAnsi="Times New Roman" w:eastAsia="方正仿宋_GB2312" w:cs="方正仿宋_GB2312"/>
          <w:b w:val="0"/>
          <w:bCs w:val="0"/>
          <w:snapToGrid/>
          <w:color w:val="auto"/>
          <w:kern w:val="2"/>
          <w:sz w:val="32"/>
          <w:szCs w:val="32"/>
          <w:highlight w:val="none"/>
          <w:lang w:eastAsia="zh-CN"/>
        </w:rPr>
        <w:t>海拔</w:t>
      </w:r>
      <w:r>
        <w:rPr>
          <w:rFonts w:hint="default" w:ascii="Times New Roman" w:hAnsi="Times New Roman" w:eastAsia="方正仿宋_GB2312" w:cs="方正仿宋_GB2312"/>
          <w:b w:val="0"/>
          <w:bCs w:val="0"/>
          <w:snapToGrid/>
          <w:color w:val="auto"/>
          <w:kern w:val="2"/>
          <w:sz w:val="32"/>
          <w:szCs w:val="32"/>
          <w:highlight w:val="none"/>
          <w:lang w:eastAsia="zh-CN"/>
        </w:rPr>
        <w:t>相同的情况下，城口境内最南地区比最北地区年平均气温要高1度左右。南部地区降雨量比北部地区偏多。</w:t>
      </w:r>
    </w:p>
    <w:p w14:paraId="2B7388B9">
      <w:pPr>
        <w:pStyle w:val="6"/>
        <w:keepNext w:val="0"/>
        <w:keepLines w:val="0"/>
        <w:pageBreakBefore w:val="0"/>
        <w:widowControl w:val="0"/>
        <w:kinsoku/>
        <w:wordWrap/>
        <w:overflowPunct/>
        <w:topLinePunct w:val="0"/>
        <w:autoSpaceDE/>
        <w:autoSpaceDN/>
        <w:bidi w:val="0"/>
        <w:adjustRightInd/>
        <w:snapToGrid/>
        <w:spacing w:afterLines="0"/>
        <w:textAlignment w:val="auto"/>
        <w:rPr>
          <w:rFonts w:hint="default"/>
          <w:lang w:val="en-US" w:eastAsia="en-US"/>
        </w:rPr>
      </w:pPr>
      <w:bookmarkStart w:id="8" w:name="_Toc15796"/>
      <w:r>
        <w:rPr>
          <w:rFonts w:hint="eastAsia"/>
          <w:lang w:val="en-US" w:eastAsia="zh-CN"/>
        </w:rPr>
        <w:t>4.</w:t>
      </w:r>
      <w:r>
        <w:rPr>
          <w:rFonts w:hint="default"/>
          <w:lang w:val="en-US" w:eastAsia="en-US"/>
        </w:rPr>
        <w:t>河流水系</w:t>
      </w:r>
      <w:bookmarkEnd w:id="8"/>
    </w:p>
    <w:p w14:paraId="395F066D">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城口县境内共有大小河流779条，有任河、前河、中河、后裕河四条出境河流。其中集雨面积在100</w:t>
      </w:r>
      <w:r>
        <w:rPr>
          <w:rFonts w:hint="eastAsia" w:ascii="Times New Roman" w:hAnsi="Times New Roman" w:eastAsia="方正仿宋_GB2312" w:cs="方正仿宋_GB2312"/>
          <w:b w:val="0"/>
          <w:bCs w:val="0"/>
          <w:snapToGrid/>
          <w:color w:val="auto"/>
          <w:kern w:val="2"/>
          <w:sz w:val="32"/>
          <w:szCs w:val="32"/>
          <w:highlight w:val="none"/>
          <w:lang w:val="en-US" w:eastAsia="en-US"/>
        </w:rPr>
        <w:t>km</w:t>
      </w:r>
      <w:r>
        <w:rPr>
          <w:rFonts w:hint="eastAsia" w:ascii="Times New Roman" w:hAnsi="Times New Roman" w:eastAsia="方正仿宋_GB2312" w:cs="方正仿宋_GB2312"/>
          <w:b w:val="0"/>
          <w:bCs w:val="0"/>
          <w:snapToGrid/>
          <w:color w:val="auto"/>
          <w:kern w:val="2"/>
          <w:sz w:val="32"/>
          <w:szCs w:val="32"/>
          <w:highlight w:val="none"/>
          <w:lang w:val="en-US" w:eastAsia="zh-CN"/>
        </w:rPr>
        <w:t>²</w:t>
      </w:r>
      <w:r>
        <w:rPr>
          <w:rFonts w:hint="eastAsia" w:ascii="Times New Roman" w:hAnsi="Times New Roman" w:eastAsia="方正仿宋_GB2312" w:cs="方正仿宋_GB2312"/>
          <w:b w:val="0"/>
          <w:bCs w:val="0"/>
          <w:snapToGrid/>
          <w:color w:val="auto"/>
          <w:kern w:val="2"/>
          <w:sz w:val="32"/>
          <w:szCs w:val="32"/>
          <w:highlight w:val="none"/>
          <w:lang w:eastAsia="zh-CN"/>
        </w:rPr>
        <w:t>以上的河流有13条，集雨面积在10</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val="en-US" w:eastAsia="en-US"/>
        </w:rPr>
        <w:t>km</w:t>
      </w:r>
      <w:r>
        <w:rPr>
          <w:rFonts w:hint="eastAsia" w:ascii="Times New Roman" w:hAnsi="Times New Roman" w:eastAsia="方正仿宋_GB2312" w:cs="方正仿宋_GB2312"/>
          <w:b w:val="0"/>
          <w:bCs w:val="0"/>
          <w:snapToGrid/>
          <w:color w:val="auto"/>
          <w:kern w:val="2"/>
          <w:sz w:val="32"/>
          <w:szCs w:val="32"/>
          <w:highlight w:val="none"/>
          <w:lang w:val="en-US" w:eastAsia="zh-CN"/>
        </w:rPr>
        <w:t>²</w:t>
      </w:r>
      <w:r>
        <w:rPr>
          <w:rFonts w:hint="eastAsia" w:ascii="Times New Roman" w:hAnsi="Times New Roman" w:eastAsia="方正仿宋_GB2312" w:cs="方正仿宋_GB2312"/>
          <w:b w:val="0"/>
          <w:bCs w:val="0"/>
          <w:snapToGrid/>
          <w:color w:val="auto"/>
          <w:kern w:val="2"/>
          <w:sz w:val="32"/>
          <w:szCs w:val="32"/>
          <w:highlight w:val="none"/>
          <w:lang w:eastAsia="zh-CN"/>
        </w:rPr>
        <w:t>以上的河流有45条。任河、前河两大干流东西向贯穿全县，是城口县两大主要河流，其中任河境内河长128</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val="en-US" w:eastAsia="en-US"/>
        </w:rPr>
        <w:t>km</w:t>
      </w:r>
      <w:r>
        <w:rPr>
          <w:rFonts w:hint="eastAsia" w:ascii="Times New Roman" w:hAnsi="Times New Roman" w:eastAsia="方正仿宋_GB2312" w:cs="方正仿宋_GB2312"/>
          <w:b w:val="0"/>
          <w:bCs w:val="0"/>
          <w:snapToGrid/>
          <w:color w:val="auto"/>
          <w:kern w:val="2"/>
          <w:sz w:val="32"/>
          <w:szCs w:val="32"/>
          <w:highlight w:val="none"/>
          <w:lang w:eastAsia="zh-CN"/>
        </w:rPr>
        <w:t>，流域面积2356</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val="en-US" w:eastAsia="en-US"/>
        </w:rPr>
        <w:t>km</w:t>
      </w:r>
      <w:r>
        <w:rPr>
          <w:rFonts w:hint="eastAsia" w:ascii="Times New Roman" w:hAnsi="Times New Roman" w:eastAsia="方正仿宋_GB2312" w:cs="方正仿宋_GB2312"/>
          <w:b w:val="0"/>
          <w:bCs w:val="0"/>
          <w:snapToGrid/>
          <w:color w:val="auto"/>
          <w:kern w:val="2"/>
          <w:sz w:val="32"/>
          <w:szCs w:val="32"/>
          <w:highlight w:val="none"/>
          <w:lang w:val="en-US" w:eastAsia="zh-CN"/>
        </w:rPr>
        <w:t>²</w:t>
      </w:r>
      <w:r>
        <w:rPr>
          <w:rFonts w:hint="eastAsia" w:ascii="Times New Roman" w:hAnsi="Times New Roman" w:eastAsia="方正仿宋_GB2312" w:cs="方正仿宋_GB2312"/>
          <w:b w:val="0"/>
          <w:bCs w:val="0"/>
          <w:snapToGrid/>
          <w:color w:val="auto"/>
          <w:kern w:val="2"/>
          <w:sz w:val="32"/>
          <w:szCs w:val="32"/>
          <w:highlight w:val="none"/>
          <w:lang w:eastAsia="zh-CN"/>
        </w:rPr>
        <w:t>；前河境内河长62</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val="en-US" w:eastAsia="en-US"/>
        </w:rPr>
        <w:t>km</w:t>
      </w:r>
      <w:r>
        <w:rPr>
          <w:rFonts w:hint="eastAsia" w:ascii="Times New Roman" w:hAnsi="Times New Roman" w:eastAsia="方正仿宋_GB2312" w:cs="方正仿宋_GB2312"/>
          <w:b w:val="0"/>
          <w:bCs w:val="0"/>
          <w:snapToGrid/>
          <w:color w:val="auto"/>
          <w:kern w:val="2"/>
          <w:sz w:val="32"/>
          <w:szCs w:val="32"/>
          <w:highlight w:val="none"/>
          <w:lang w:eastAsia="zh-CN"/>
        </w:rPr>
        <w:t>，流域面积</w:t>
      </w:r>
      <w:r>
        <w:rPr>
          <w:rFonts w:hint="eastAsia" w:ascii="Times New Roman" w:hAnsi="Times New Roman" w:eastAsia="方正仿宋_GB2312" w:cs="方正仿宋_GB2312"/>
          <w:b w:val="0"/>
          <w:bCs w:val="0"/>
          <w:snapToGrid/>
          <w:color w:val="auto"/>
          <w:kern w:val="2"/>
          <w:sz w:val="32"/>
          <w:szCs w:val="32"/>
          <w:highlight w:val="none"/>
          <w:lang w:val="en-US" w:eastAsia="zh-CN"/>
        </w:rPr>
        <w:t>927.86</w:t>
      </w:r>
      <w:r>
        <w:rPr>
          <w:rFonts w:hint="eastAsia" w:ascii="Times New Roman" w:hAnsi="Times New Roman" w:eastAsia="方正仿宋_GB2312" w:cs="方正仿宋_GB2312"/>
          <w:b w:val="0"/>
          <w:bCs w:val="0"/>
          <w:snapToGrid/>
          <w:color w:val="auto"/>
          <w:kern w:val="2"/>
          <w:sz w:val="32"/>
          <w:szCs w:val="32"/>
          <w:highlight w:val="none"/>
          <w:lang w:val="en-US" w:eastAsia="en-US"/>
        </w:rPr>
        <w:t>km</w:t>
      </w:r>
      <w:r>
        <w:rPr>
          <w:rFonts w:hint="eastAsia" w:ascii="Times New Roman" w:hAnsi="Times New Roman" w:eastAsia="方正仿宋_GB2312" w:cs="方正仿宋_GB2312"/>
          <w:b w:val="0"/>
          <w:bCs w:val="0"/>
          <w:snapToGrid/>
          <w:color w:val="auto"/>
          <w:kern w:val="2"/>
          <w:sz w:val="32"/>
          <w:szCs w:val="32"/>
          <w:highlight w:val="none"/>
          <w:lang w:val="en-US" w:eastAsia="zh-CN"/>
        </w:rPr>
        <w:t>²</w:t>
      </w:r>
      <w:r>
        <w:rPr>
          <w:rFonts w:hint="eastAsia" w:ascii="Times New Roman" w:hAnsi="Times New Roman" w:eastAsia="方正仿宋_GB2312" w:cs="方正仿宋_GB2312"/>
          <w:b w:val="0"/>
          <w:bCs w:val="0"/>
          <w:snapToGrid/>
          <w:color w:val="auto"/>
          <w:kern w:val="2"/>
          <w:sz w:val="32"/>
          <w:szCs w:val="32"/>
          <w:highlight w:val="none"/>
          <w:lang w:eastAsia="zh-CN"/>
        </w:rPr>
        <w:t>。最大的河流为任河，集雨面积为2356</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val="en-US" w:eastAsia="en-US"/>
        </w:rPr>
        <w:t>km</w:t>
      </w:r>
      <w:r>
        <w:rPr>
          <w:rFonts w:hint="eastAsia" w:ascii="Times New Roman" w:hAnsi="Times New Roman" w:eastAsia="方正仿宋_GB2312" w:cs="方正仿宋_GB2312"/>
          <w:b w:val="0"/>
          <w:bCs w:val="0"/>
          <w:snapToGrid/>
          <w:color w:val="auto"/>
          <w:kern w:val="2"/>
          <w:sz w:val="32"/>
          <w:szCs w:val="32"/>
          <w:highlight w:val="none"/>
          <w:lang w:val="en-US" w:eastAsia="zh-CN"/>
        </w:rPr>
        <w:t>²</w:t>
      </w:r>
      <w:r>
        <w:rPr>
          <w:rFonts w:hint="eastAsia" w:ascii="Times New Roman" w:hAnsi="Times New Roman" w:eastAsia="方正仿宋_GB2312" w:cs="方正仿宋_GB2312"/>
          <w:b w:val="0"/>
          <w:bCs w:val="0"/>
          <w:snapToGrid/>
          <w:color w:val="auto"/>
          <w:kern w:val="2"/>
          <w:sz w:val="32"/>
          <w:szCs w:val="32"/>
          <w:highlight w:val="none"/>
          <w:lang w:eastAsia="zh-CN"/>
        </w:rPr>
        <w:t>。</w:t>
      </w:r>
    </w:p>
    <w:p w14:paraId="2198E400">
      <w:pPr>
        <w:pStyle w:val="6"/>
        <w:keepNext w:val="0"/>
        <w:keepLines w:val="0"/>
        <w:pageBreakBefore w:val="0"/>
        <w:widowControl w:val="0"/>
        <w:kinsoku/>
        <w:wordWrap/>
        <w:overflowPunct/>
        <w:topLinePunct w:val="0"/>
        <w:autoSpaceDE/>
        <w:autoSpaceDN/>
        <w:bidi w:val="0"/>
        <w:adjustRightInd/>
        <w:snapToGrid/>
        <w:spacing w:afterLines="0"/>
        <w:textAlignment w:val="auto"/>
        <w:rPr>
          <w:rFonts w:hint="default"/>
          <w:lang w:val="en-US" w:eastAsia="en-US"/>
        </w:rPr>
      </w:pPr>
      <w:bookmarkStart w:id="9" w:name="_Toc23337"/>
      <w:r>
        <w:rPr>
          <w:rFonts w:hint="eastAsia"/>
          <w:lang w:val="en-US" w:eastAsia="zh-CN"/>
        </w:rPr>
        <w:t>5.</w:t>
      </w:r>
      <w:r>
        <w:rPr>
          <w:rFonts w:hint="default"/>
          <w:lang w:val="en-US" w:eastAsia="en-US"/>
        </w:rPr>
        <w:t>地质条件</w:t>
      </w:r>
      <w:bookmarkEnd w:id="9"/>
    </w:p>
    <w:p w14:paraId="70556431">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位于大巴山南麓，属大巴山弧形断褶带的南缘部分，由一系列西北至东西走向的雁列式褶皱和冲断层组成。岩层走向为北西至南东向，并向南弧形凸出。境内计有第四系、三叠系、二叠系、志留系、奥陶系、寒武系、震旦系7个系，37个组、群的地层。地质构造多复式背（向）斜和穹隆构造，岩层倾角多为50~70°。境内</w:t>
      </w:r>
      <w:r>
        <w:rPr>
          <w:rFonts w:hint="eastAsia" w:ascii="Times New Roman" w:hAnsi="Times New Roman" w:eastAsia="方正仿宋_GB2312" w:cs="方正仿宋_GB2312"/>
          <w:b w:val="0"/>
          <w:bCs w:val="0"/>
          <w:snapToGrid/>
          <w:color w:val="auto"/>
          <w:kern w:val="2"/>
          <w:sz w:val="32"/>
          <w:szCs w:val="32"/>
          <w:highlight w:val="none"/>
          <w:lang w:val="en-US" w:eastAsia="zh-CN"/>
        </w:rPr>
        <w:t>断裂十分发育。多数断裂与岩层走向基本一致，全县分为3个地质构造带</w:t>
      </w:r>
      <w:r>
        <w:rPr>
          <w:rFonts w:hint="eastAsia" w:ascii="Times New Roman" w:hAnsi="Times New Roman" w:eastAsia="方正仿宋_GB2312" w:cs="方正仿宋_GB2312"/>
          <w:b w:val="0"/>
          <w:bCs w:val="0"/>
          <w:snapToGrid/>
          <w:color w:val="auto"/>
          <w:kern w:val="2"/>
          <w:sz w:val="32"/>
          <w:szCs w:val="32"/>
          <w:highlight w:val="none"/>
          <w:lang w:eastAsia="zh-CN"/>
        </w:rPr>
        <w:t>。</w:t>
      </w:r>
    </w:p>
    <w:p w14:paraId="172AB63C">
      <w:pPr>
        <w:pStyle w:val="6"/>
        <w:keepNext w:val="0"/>
        <w:keepLines w:val="0"/>
        <w:pageBreakBefore w:val="0"/>
        <w:widowControl w:val="0"/>
        <w:kinsoku/>
        <w:wordWrap/>
        <w:overflowPunct/>
        <w:topLinePunct w:val="0"/>
        <w:autoSpaceDE/>
        <w:autoSpaceDN/>
        <w:bidi w:val="0"/>
        <w:adjustRightInd/>
        <w:snapToGrid/>
        <w:spacing w:afterLines="0"/>
        <w:textAlignment w:val="auto"/>
        <w:rPr>
          <w:rFonts w:hint="default"/>
          <w:lang w:val="en-US" w:eastAsia="en-US"/>
        </w:rPr>
      </w:pPr>
      <w:bookmarkStart w:id="10" w:name="_Toc20026"/>
      <w:r>
        <w:rPr>
          <w:rFonts w:hint="eastAsia"/>
          <w:lang w:val="en-US" w:eastAsia="zh-CN"/>
        </w:rPr>
        <w:t>6.</w:t>
      </w:r>
      <w:r>
        <w:rPr>
          <w:rFonts w:hint="default"/>
          <w:lang w:val="en-US" w:eastAsia="en-US"/>
        </w:rPr>
        <w:t>土壤植被</w:t>
      </w:r>
      <w:bookmarkEnd w:id="10"/>
    </w:p>
    <w:p w14:paraId="4D432505">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土壤分为6个土类、10个亚类、14个土属、73个土种。城口县属川东盆地偏湿性常绿阔叶林亚带，盆地东北部中山植被区，大巴山植被小区。森森绝大部分是天然次生林。自然植被因长期受到破坏，原始森林不多，主要分布在大巴山主脉一带。植被分布的水平地带性差异不大，而垂直带上树种分布和组合变化比较明显，自下而上为马尾松常绿阔叶林带，山地常绿、落叶阔叶林，针叶林带和山地暗，针叶林带。</w:t>
      </w:r>
    </w:p>
    <w:p w14:paraId="2DFDDAE2">
      <w:pPr>
        <w:pStyle w:val="4"/>
        <w:bidi w:val="0"/>
        <w:rPr>
          <w:rFonts w:hint="eastAsia"/>
          <w:lang w:eastAsia="zh-CN"/>
        </w:rPr>
      </w:pPr>
      <w:bookmarkStart w:id="11" w:name="_Toc1768"/>
      <w:r>
        <w:rPr>
          <w:rFonts w:hint="eastAsia"/>
          <w:lang w:eastAsia="zh-CN"/>
        </w:rPr>
        <w:t>（</w:t>
      </w:r>
      <w:r>
        <w:rPr>
          <w:rFonts w:hint="eastAsia"/>
          <w:lang w:val="en-US" w:eastAsia="zh-CN"/>
        </w:rPr>
        <w:t>三</w:t>
      </w:r>
      <w:r>
        <w:rPr>
          <w:rFonts w:hint="eastAsia"/>
          <w:lang w:eastAsia="zh-CN"/>
        </w:rPr>
        <w:t>）社会经济</w:t>
      </w:r>
      <w:bookmarkEnd w:id="11"/>
    </w:p>
    <w:p w14:paraId="4C93200B">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城口县辖2个街道、1</w:t>
      </w:r>
      <w:r>
        <w:rPr>
          <w:rFonts w:hint="eastAsia" w:ascii="Times New Roman" w:hAnsi="Times New Roman" w:eastAsia="方正仿宋_GB2312" w:cs="方正仿宋_GB2312"/>
          <w:b w:val="0"/>
          <w:bCs w:val="0"/>
          <w:snapToGrid/>
          <w:color w:val="auto"/>
          <w:kern w:val="2"/>
          <w:sz w:val="32"/>
          <w:szCs w:val="32"/>
          <w:highlight w:val="none"/>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个镇、1</w:t>
      </w:r>
      <w:r>
        <w:rPr>
          <w:rFonts w:hint="eastAsia" w:ascii="Times New Roman" w:hAnsi="Times New Roman" w:eastAsia="方正仿宋_GB2312" w:cs="方正仿宋_GB2312"/>
          <w:b w:val="0"/>
          <w:bCs w:val="0"/>
          <w:snapToGrid/>
          <w:color w:val="auto"/>
          <w:kern w:val="2"/>
          <w:sz w:val="32"/>
          <w:szCs w:val="32"/>
          <w:highlight w:val="none"/>
          <w:lang w:val="en-US" w:eastAsia="zh-CN"/>
        </w:rPr>
        <w:t>1</w:t>
      </w:r>
      <w:r>
        <w:rPr>
          <w:rFonts w:hint="eastAsia" w:ascii="Times New Roman" w:hAnsi="Times New Roman" w:eastAsia="方正仿宋_GB2312" w:cs="方正仿宋_GB2312"/>
          <w:b w:val="0"/>
          <w:bCs w:val="0"/>
          <w:snapToGrid/>
          <w:color w:val="auto"/>
          <w:kern w:val="2"/>
          <w:sz w:val="32"/>
          <w:szCs w:val="32"/>
          <w:highlight w:val="none"/>
          <w:lang w:eastAsia="zh-CN"/>
        </w:rPr>
        <w:t>个乡。共173个行政村、31个社区。</w:t>
      </w:r>
      <w:r>
        <w:rPr>
          <w:rFonts w:hint="default" w:ascii="Times New Roman" w:hAnsi="Times New Roman" w:eastAsia="方正仿宋_GB2312" w:cs="方正仿宋_GB2312"/>
          <w:b w:val="0"/>
          <w:bCs w:val="0"/>
          <w:snapToGrid/>
          <w:color w:val="auto"/>
          <w:kern w:val="2"/>
          <w:sz w:val="32"/>
          <w:szCs w:val="32"/>
          <w:highlight w:val="none"/>
          <w:lang w:eastAsia="zh-CN"/>
        </w:rPr>
        <w:t>城口县常住人口19.65万人，其中城镇常住人口8.45万人，占常住人口比重（常住人口城镇化率）为43.0</w:t>
      </w:r>
      <w:r>
        <w:rPr>
          <w:rFonts w:hint="eastAsia" w:ascii="Times New Roman" w:hAnsi="Times New Roman" w:eastAsia="方正仿宋_GB2312" w:cs="方正仿宋_GB2312"/>
          <w:b w:val="0"/>
          <w:bCs w:val="0"/>
          <w:snapToGrid/>
          <w:color w:val="auto"/>
          <w:kern w:val="2"/>
          <w:sz w:val="32"/>
          <w:szCs w:val="32"/>
          <w:highlight w:val="none"/>
          <w:lang w:val="en-US" w:eastAsia="zh-CN"/>
        </w:rPr>
        <w:t>0</w:t>
      </w:r>
      <w:r>
        <w:rPr>
          <w:rFonts w:hint="default" w:ascii="Times New Roman" w:hAnsi="Times New Roman" w:eastAsia="方正仿宋_GB2312" w:cs="方正仿宋_GB2312"/>
          <w:b w:val="0"/>
          <w:bCs w:val="0"/>
          <w:snapToGrid/>
          <w:color w:val="auto"/>
          <w:kern w:val="2"/>
          <w:sz w:val="32"/>
          <w:szCs w:val="32"/>
          <w:highlight w:val="none"/>
          <w:lang w:eastAsia="zh-CN"/>
        </w:rPr>
        <w:t>%。全县户籍户数8.77万户，户籍总人口24.76万人。其中，男性人口13.07万人，女性人口11.69万人。全年出生人口1492人，出生率为6.03%；死亡人口2047人，死亡率为8.27%。</w:t>
      </w:r>
    </w:p>
    <w:p w14:paraId="50B54F18">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2023年城口县实现地区生产总值72.40亿元，比上年增长6.0%。按产业分，第一产业增加值13.81亿元，比上年增长4.4%；第二产业增加值19.42亿元，增长6.8%；第三产业增加值39.17亿元，增长6.1%。三次产业结构比为19.1:26.8:54.1。分季度看，1季度地区生产总值比上年增长4.5%，1-2季度增长3.6%，1-3季度增长5.8%，1-4季度增长6.0%。按常住人口计算，全年人均地区生产总值36660元，比上年增长6.0%。民营经济增加值39.28亿元增长11.5%，占全县经济总量的54.3%。</w:t>
      </w:r>
    </w:p>
    <w:p w14:paraId="77F2F478">
      <w:pPr>
        <w:pStyle w:val="4"/>
        <w:bidi w:val="0"/>
        <w:rPr>
          <w:rFonts w:hint="eastAsia"/>
          <w:lang w:eastAsia="zh-CN"/>
        </w:rPr>
      </w:pPr>
      <w:bookmarkStart w:id="12" w:name="_Toc2729"/>
      <w:r>
        <w:rPr>
          <w:rFonts w:hint="eastAsia"/>
          <w:lang w:eastAsia="zh-CN"/>
        </w:rPr>
        <w:t>（</w:t>
      </w:r>
      <w:r>
        <w:rPr>
          <w:rFonts w:hint="eastAsia"/>
          <w:lang w:val="en-US" w:eastAsia="zh-CN"/>
        </w:rPr>
        <w:t>四</w:t>
      </w:r>
      <w:r>
        <w:rPr>
          <w:rFonts w:hint="eastAsia"/>
          <w:lang w:eastAsia="zh-CN"/>
        </w:rPr>
        <w:t>）水土流失与水土保持状况</w:t>
      </w:r>
      <w:bookmarkEnd w:id="12"/>
    </w:p>
    <w:p w14:paraId="30F2355D">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水土流失是在水力、风力、重力及冻融等自然营力和人类活动的综合作用下，形成水土资源和土地生产力发生破坏和损失的现象，包括表层土壤侵蚀和水的损失。水土流失破坏水土资源，威胁粮食安全；易造成泥沙淤堵，影响行洪安全；加剧农业面源污染，危害饮水安全；造成泥石流和滑坡，严重威胁人民生命财产安全。因此，水土流失是制约区域社会经济发展的重要生态环境问题。</w:t>
      </w:r>
    </w:p>
    <w:p w14:paraId="72B47B3E">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城口县属于全国水土流失区划中的</w:t>
      </w:r>
      <w:r>
        <w:rPr>
          <w:rFonts w:hint="eastAsia" w:ascii="Times New Roman" w:hAnsi="Times New Roman" w:eastAsia="方正仿宋_GB2312" w:cs="方正仿宋_GB2312"/>
          <w:b w:val="0"/>
          <w:bCs w:val="0"/>
          <w:snapToGrid/>
          <w:color w:val="auto"/>
          <w:kern w:val="2"/>
          <w:sz w:val="32"/>
          <w:szCs w:val="32"/>
          <w:highlight w:val="none"/>
          <w:lang w:val="en-US" w:eastAsia="zh-CN"/>
        </w:rPr>
        <w:t>丹江口库区及重点预防区</w:t>
      </w:r>
      <w:r>
        <w:rPr>
          <w:rFonts w:hint="eastAsia" w:ascii="Times New Roman" w:hAnsi="Times New Roman" w:eastAsia="方正仿宋_GB2312" w:cs="方正仿宋_GB2312"/>
          <w:b w:val="0"/>
          <w:bCs w:val="0"/>
          <w:snapToGrid/>
          <w:color w:val="auto"/>
          <w:kern w:val="2"/>
          <w:sz w:val="32"/>
          <w:szCs w:val="32"/>
          <w:highlight w:val="none"/>
          <w:lang w:eastAsia="zh-CN"/>
        </w:rPr>
        <w:t>，水土流失类型以水力侵蚀为主，局部地区也存在重力侵蚀，流失形式主要为面蚀和沟蚀。面蚀主要发生在坡耕地、幼疏林地和荒山荒坡上，而沟蚀主要发生在溪沟两岸古地层冲堆积物和陡坡地上。从空间分布看，城口县位于</w:t>
      </w:r>
      <w:r>
        <w:rPr>
          <w:rFonts w:hint="eastAsia" w:ascii="Times New Roman" w:hAnsi="Times New Roman" w:eastAsia="方正仿宋_GB2312" w:cs="方正仿宋_GB2312"/>
          <w:b w:val="0"/>
          <w:bCs w:val="0"/>
          <w:snapToGrid/>
          <w:color w:val="auto"/>
          <w:kern w:val="2"/>
          <w:sz w:val="32"/>
          <w:szCs w:val="32"/>
          <w:highlight w:val="none"/>
          <w:lang w:val="en-US" w:eastAsia="zh-CN"/>
        </w:rPr>
        <w:t>重庆市北部</w:t>
      </w:r>
      <w:r>
        <w:rPr>
          <w:rFonts w:hint="eastAsia" w:ascii="Times New Roman" w:hAnsi="Times New Roman" w:eastAsia="方正仿宋_GB2312" w:cs="方正仿宋_GB2312"/>
          <w:b w:val="0"/>
          <w:bCs w:val="0"/>
          <w:snapToGrid/>
          <w:color w:val="auto"/>
          <w:kern w:val="2"/>
          <w:sz w:val="32"/>
          <w:szCs w:val="32"/>
          <w:highlight w:val="none"/>
          <w:lang w:eastAsia="zh-CN"/>
        </w:rPr>
        <w:t>，受地势影响，属于重庆市水土流失严重的区域之一，水土流失在区域内广泛分布，如图1-1所示。城口县长期受坡地农业生产与降水量季节分布不均等因素的影响，整体上全县水土流失防治形势严峻。</w:t>
      </w:r>
    </w:p>
    <w:p w14:paraId="5F893EF5">
      <w:pPr>
        <w:keepNext w:val="0"/>
        <w:keepLines w:val="0"/>
        <w:pageBreakBefore w:val="0"/>
        <w:widowControl/>
        <w:kinsoku/>
        <w:wordWrap/>
        <w:overflowPunct/>
        <w:topLinePunct w:val="0"/>
        <w:autoSpaceDE w:val="0"/>
        <w:autoSpaceDN w:val="0"/>
        <w:bidi w:val="0"/>
        <w:adjustRightInd w:val="0"/>
        <w:snapToGrid w:val="0"/>
        <w:spacing w:line="240" w:lineRule="auto"/>
        <w:ind w:firstLine="14"/>
        <w:jc w:val="both"/>
        <w:rPr>
          <w:rFonts w:hint="eastAsia" w:eastAsia="宋体"/>
          <w:color w:val="215968" w:themeColor="accent5" w:themeShade="80"/>
          <w:lang w:eastAsia="zh-CN"/>
        </w:rPr>
      </w:pPr>
      <w:r>
        <w:rPr>
          <w:rFonts w:hint="eastAsia" w:eastAsia="宋体"/>
          <w:color w:val="215968" w:themeColor="accent5" w:themeShade="80"/>
          <w:lang w:eastAsia="zh-CN"/>
        </w:rPr>
        <w:drawing>
          <wp:inline distT="0" distB="0" distL="114300" distR="114300">
            <wp:extent cx="5273040" cy="3728085"/>
            <wp:effectExtent l="0" t="0" r="10160" b="5715"/>
            <wp:docPr id="15" name="图片 15" descr="500229_城口县_123Trqs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0229_城口县_123TrqsTheme"/>
                    <pic:cNvPicPr>
                      <a:picLocks noChangeAspect="1"/>
                    </pic:cNvPicPr>
                  </pic:nvPicPr>
                  <pic:blipFill>
                    <a:blip r:embed="rId17"/>
                    <a:stretch>
                      <a:fillRect/>
                    </a:stretch>
                  </pic:blipFill>
                  <pic:spPr>
                    <a:xfrm>
                      <a:off x="0" y="0"/>
                      <a:ext cx="5273040" cy="3728085"/>
                    </a:xfrm>
                    <a:prstGeom prst="rect">
                      <a:avLst/>
                    </a:prstGeom>
                  </pic:spPr>
                </pic:pic>
              </a:graphicData>
            </a:graphic>
          </wp:inline>
        </w:drawing>
      </w:r>
    </w:p>
    <w:p w14:paraId="4EC13C9E">
      <w:pPr>
        <w:keepNext w:val="0"/>
        <w:keepLines w:val="0"/>
        <w:pageBreakBefore w:val="0"/>
        <w:widowControl/>
        <w:kinsoku/>
        <w:wordWrap/>
        <w:overflowPunct/>
        <w:topLinePunct w:val="0"/>
        <w:autoSpaceDE w:val="0"/>
        <w:autoSpaceDN w:val="0"/>
        <w:bidi w:val="0"/>
        <w:adjustRightInd w:val="0"/>
        <w:snapToGrid w:val="0"/>
        <w:spacing w:before="91" w:line="220" w:lineRule="auto"/>
        <w:ind w:left="1733"/>
        <w:jc w:val="both"/>
        <w:rPr>
          <w:rFonts w:ascii="黑体" w:hAnsi="黑体" w:eastAsia="黑体" w:cs="黑体"/>
          <w:color w:val="auto"/>
          <w:spacing w:val="-3"/>
          <w:sz w:val="28"/>
          <w:szCs w:val="28"/>
        </w:rPr>
      </w:pPr>
      <w:r>
        <w:rPr>
          <w:rFonts w:ascii="黑体" w:hAnsi="黑体" w:eastAsia="黑体" w:cs="黑体"/>
          <w:color w:val="auto"/>
          <w:spacing w:val="-3"/>
          <w:sz w:val="28"/>
          <w:szCs w:val="28"/>
        </w:rPr>
        <w:t>图1-1</w:t>
      </w:r>
      <w:r>
        <w:rPr>
          <w:rFonts w:hint="eastAsia" w:ascii="黑体" w:hAnsi="黑体" w:eastAsia="黑体" w:cs="黑体"/>
          <w:color w:val="auto"/>
          <w:spacing w:val="-3"/>
          <w:sz w:val="28"/>
          <w:szCs w:val="28"/>
          <w:lang w:val="en-US" w:eastAsia="zh-CN"/>
        </w:rPr>
        <w:t xml:space="preserve"> </w:t>
      </w:r>
      <w:r>
        <w:rPr>
          <w:rFonts w:hint="eastAsia" w:ascii="黑体" w:hAnsi="黑体" w:eastAsia="黑体" w:cs="黑体"/>
          <w:color w:val="auto"/>
          <w:spacing w:val="-3"/>
          <w:sz w:val="28"/>
          <w:szCs w:val="28"/>
          <w:lang w:eastAsia="zh-CN"/>
        </w:rPr>
        <w:t>城口县</w:t>
      </w:r>
      <w:r>
        <w:rPr>
          <w:rFonts w:ascii="黑体" w:hAnsi="黑体" w:eastAsia="黑体" w:cs="黑体"/>
          <w:color w:val="auto"/>
          <w:spacing w:val="-3"/>
          <w:sz w:val="28"/>
          <w:szCs w:val="28"/>
        </w:rPr>
        <w:t>202</w:t>
      </w:r>
      <w:r>
        <w:rPr>
          <w:rFonts w:hint="eastAsia" w:ascii="黑体" w:hAnsi="黑体" w:eastAsia="黑体" w:cs="黑体"/>
          <w:color w:val="auto"/>
          <w:spacing w:val="-3"/>
          <w:sz w:val="28"/>
          <w:szCs w:val="28"/>
          <w:lang w:val="en-US" w:eastAsia="zh-CN"/>
        </w:rPr>
        <w:t>4</w:t>
      </w:r>
      <w:r>
        <w:rPr>
          <w:rFonts w:ascii="黑体" w:hAnsi="黑体" w:eastAsia="黑体" w:cs="黑体"/>
          <w:color w:val="auto"/>
          <w:spacing w:val="-3"/>
          <w:sz w:val="28"/>
          <w:szCs w:val="28"/>
        </w:rPr>
        <w:t>年土壤侵蚀分布情况</w:t>
      </w:r>
    </w:p>
    <w:p w14:paraId="09ADA1CC">
      <w:pPr>
        <w:pStyle w:val="5"/>
        <w:widowControl w:val="0"/>
        <w:kinsoku/>
        <w:autoSpaceDE/>
        <w:autoSpaceDN/>
        <w:adjustRightInd/>
        <w:snapToGrid/>
        <w:spacing w:after="0" w:line="600" w:lineRule="exact"/>
        <w:ind w:firstLine="640" w:firstLineChars="200"/>
        <w:jc w:val="both"/>
        <w:textAlignment w:val="auto"/>
        <w:rPr>
          <w:color w:val="auto"/>
        </w:rPr>
      </w:pPr>
      <w:r>
        <w:rPr>
          <w:rFonts w:hint="eastAsia" w:ascii="Times New Roman" w:hAnsi="Times New Roman" w:eastAsia="方正仿宋_GB2312" w:cs="方正仿宋_GB2312"/>
          <w:b w:val="0"/>
          <w:bCs w:val="0"/>
          <w:snapToGrid/>
          <w:color w:val="auto"/>
          <w:kern w:val="2"/>
          <w:sz w:val="32"/>
          <w:szCs w:val="32"/>
          <w:highlight w:val="none"/>
          <w:lang w:val="en-US" w:eastAsia="zh-CN"/>
        </w:rPr>
        <w:t>根据</w:t>
      </w:r>
      <w:r>
        <w:rPr>
          <w:rFonts w:hint="eastAsia" w:ascii="Times New Roman" w:hAnsi="Times New Roman" w:eastAsia="方正仿宋_GB2312" w:cs="方正仿宋_GB2312"/>
          <w:b w:val="0"/>
          <w:bCs w:val="0"/>
          <w:snapToGrid/>
          <w:color w:val="auto"/>
          <w:kern w:val="2"/>
          <w:sz w:val="32"/>
          <w:szCs w:val="32"/>
          <w:highlight w:val="none"/>
          <w:lang w:eastAsia="zh-CN"/>
        </w:rPr>
        <w:t>重庆市2023年水土保持公报数据显示，全县以轻度侵蚀为主</w:t>
      </w:r>
      <w:r>
        <w:rPr>
          <w:rFonts w:hint="eastAsia" w:ascii="Times New Roman" w:hAnsi="Times New Roman" w:eastAsia="方正仿宋_GB2312" w:cs="方正仿宋_GB2312"/>
          <w:b w:val="0"/>
          <w:bCs w:val="0"/>
          <w:snapToGrid/>
          <w:color w:val="auto"/>
          <w:kern w:val="2"/>
          <w:sz w:val="32"/>
          <w:szCs w:val="32"/>
          <w:highlight w:val="none"/>
          <w:lang w:val="en-US" w:eastAsia="zh-CN"/>
        </w:rPr>
        <w:t>，</w:t>
      </w:r>
      <w:r>
        <w:rPr>
          <w:rFonts w:hint="eastAsia" w:ascii="Times New Roman" w:hAnsi="Times New Roman" w:eastAsia="方正仿宋_GB2312" w:cs="方正仿宋_GB2312"/>
          <w:b w:val="0"/>
          <w:bCs w:val="0"/>
          <w:snapToGrid/>
          <w:color w:val="auto"/>
          <w:kern w:val="2"/>
          <w:sz w:val="32"/>
          <w:szCs w:val="32"/>
          <w:highlight w:val="none"/>
          <w:lang w:eastAsia="zh-CN"/>
        </w:rPr>
        <w:t>轻度侵蚀区域面积</w:t>
      </w:r>
      <w:r>
        <w:rPr>
          <w:rFonts w:hint="eastAsia" w:ascii="Times New Roman" w:hAnsi="Times New Roman" w:eastAsia="方正仿宋_GB2312" w:cs="方正仿宋_GB2312"/>
          <w:b w:val="0"/>
          <w:bCs w:val="0"/>
          <w:snapToGrid/>
          <w:color w:val="auto"/>
          <w:kern w:val="2"/>
          <w:sz w:val="32"/>
          <w:szCs w:val="32"/>
          <w:highlight w:val="none"/>
          <w:lang w:val="en-US" w:eastAsia="zh-CN"/>
        </w:rPr>
        <w:t>540.04</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，占比</w:t>
      </w:r>
      <w:r>
        <w:rPr>
          <w:rFonts w:hint="eastAsia" w:ascii="Times New Roman" w:hAnsi="Times New Roman" w:eastAsia="方正仿宋_GB2312" w:cs="方正仿宋_GB2312"/>
          <w:b w:val="0"/>
          <w:bCs w:val="0"/>
          <w:snapToGrid/>
          <w:color w:val="auto"/>
          <w:kern w:val="2"/>
          <w:sz w:val="32"/>
          <w:szCs w:val="32"/>
          <w:highlight w:val="none"/>
          <w:lang w:val="en-US" w:eastAsia="zh-CN"/>
        </w:rPr>
        <w:t>88.19</w:t>
      </w:r>
      <w:r>
        <w:rPr>
          <w:rFonts w:hint="eastAsia" w:ascii="Times New Roman" w:hAnsi="Times New Roman" w:eastAsia="方正仿宋_GB2312" w:cs="方正仿宋_GB2312"/>
          <w:b w:val="0"/>
          <w:bCs w:val="0"/>
          <w:snapToGrid/>
          <w:color w:val="auto"/>
          <w:kern w:val="2"/>
          <w:sz w:val="32"/>
          <w:szCs w:val="32"/>
          <w:highlight w:val="none"/>
          <w:lang w:eastAsia="zh-CN"/>
        </w:rPr>
        <w:t>%；中度侵蚀面积</w:t>
      </w:r>
      <w:r>
        <w:rPr>
          <w:rFonts w:hint="eastAsia" w:ascii="Times New Roman" w:hAnsi="Times New Roman" w:eastAsia="方正仿宋_GB2312" w:cs="方正仿宋_GB2312"/>
          <w:b w:val="0"/>
          <w:bCs w:val="0"/>
          <w:snapToGrid/>
          <w:color w:val="auto"/>
          <w:kern w:val="2"/>
          <w:sz w:val="32"/>
          <w:szCs w:val="32"/>
          <w:highlight w:val="none"/>
          <w:lang w:val="en-US" w:eastAsia="zh-CN"/>
        </w:rPr>
        <w:t>16.24</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，占比</w:t>
      </w:r>
      <w:r>
        <w:rPr>
          <w:rFonts w:hint="eastAsia" w:ascii="Times New Roman" w:hAnsi="Times New Roman" w:eastAsia="方正仿宋_GB2312" w:cs="方正仿宋_GB2312"/>
          <w:b w:val="0"/>
          <w:bCs w:val="0"/>
          <w:snapToGrid/>
          <w:color w:val="auto"/>
          <w:kern w:val="2"/>
          <w:sz w:val="32"/>
          <w:szCs w:val="32"/>
          <w:highlight w:val="none"/>
          <w:lang w:val="en-US" w:eastAsia="zh-CN"/>
        </w:rPr>
        <w:t>2.65</w:t>
      </w:r>
      <w:r>
        <w:rPr>
          <w:rFonts w:hint="eastAsia" w:ascii="Times New Roman" w:hAnsi="Times New Roman" w:eastAsia="方正仿宋_GB2312" w:cs="方正仿宋_GB2312"/>
          <w:b w:val="0"/>
          <w:bCs w:val="0"/>
          <w:snapToGrid/>
          <w:color w:val="auto"/>
          <w:kern w:val="2"/>
          <w:sz w:val="32"/>
          <w:szCs w:val="32"/>
          <w:highlight w:val="none"/>
          <w:lang w:eastAsia="zh-CN"/>
        </w:rPr>
        <w:t>%；强烈</w:t>
      </w:r>
      <w:r>
        <w:rPr>
          <w:rFonts w:hint="eastAsia" w:ascii="Times New Roman" w:hAnsi="Times New Roman" w:eastAsia="方正仿宋_GB2312" w:cs="方正仿宋_GB2312"/>
          <w:b w:val="0"/>
          <w:bCs w:val="0"/>
          <w:snapToGrid/>
          <w:color w:val="auto"/>
          <w:kern w:val="2"/>
          <w:sz w:val="32"/>
          <w:szCs w:val="32"/>
          <w:highlight w:val="none"/>
          <w:lang w:val="en-US" w:eastAsia="zh-CN"/>
        </w:rPr>
        <w:t>及以上</w:t>
      </w:r>
      <w:r>
        <w:rPr>
          <w:rFonts w:hint="eastAsia" w:ascii="Times New Roman" w:hAnsi="Times New Roman" w:eastAsia="方正仿宋_GB2312" w:cs="方正仿宋_GB2312"/>
          <w:b w:val="0"/>
          <w:bCs w:val="0"/>
          <w:snapToGrid/>
          <w:color w:val="auto"/>
          <w:kern w:val="2"/>
          <w:sz w:val="32"/>
          <w:szCs w:val="32"/>
          <w:highlight w:val="none"/>
          <w:lang w:eastAsia="zh-CN"/>
        </w:rPr>
        <w:t>侵蚀面积</w:t>
      </w:r>
      <w:r>
        <w:rPr>
          <w:rFonts w:hint="eastAsia" w:ascii="Times New Roman" w:hAnsi="Times New Roman" w:eastAsia="方正仿宋_GB2312" w:cs="方正仿宋_GB2312"/>
          <w:b w:val="0"/>
          <w:bCs w:val="0"/>
          <w:snapToGrid/>
          <w:color w:val="auto"/>
          <w:kern w:val="2"/>
          <w:sz w:val="32"/>
          <w:szCs w:val="32"/>
          <w:highlight w:val="none"/>
          <w:lang w:val="en-US" w:eastAsia="zh-CN"/>
        </w:rPr>
        <w:t>56.07</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w:t>
      </w:r>
      <w:r>
        <w:rPr>
          <w:rFonts w:hint="eastAsia" w:ascii="Times New Roman" w:hAnsi="Times New Roman" w:eastAsia="方正仿宋_GB2312" w:cs="方正仿宋_GB2312"/>
          <w:b w:val="0"/>
          <w:bCs w:val="0"/>
          <w:snapToGrid/>
          <w:color w:val="auto"/>
          <w:kern w:val="2"/>
          <w:sz w:val="32"/>
          <w:szCs w:val="32"/>
          <w:highlight w:val="none"/>
          <w:lang w:val="en-US" w:eastAsia="zh-CN"/>
        </w:rPr>
        <w:t>占比9.16%。城口县土地利用面积3289km</w:t>
      </w:r>
      <w:r>
        <w:rPr>
          <w:rFonts w:hint="eastAsia" w:ascii="Times New Roman" w:hAnsi="Times New Roman" w:eastAsia="方正仿宋_GB2312" w:cs="方正仿宋_GB2312"/>
          <w:b w:val="0"/>
          <w:bCs w:val="0"/>
          <w:snapToGrid/>
          <w:color w:val="auto"/>
          <w:kern w:val="2"/>
          <w:sz w:val="32"/>
          <w:szCs w:val="32"/>
          <w:highlight w:val="none"/>
          <w:vertAlign w:val="superscript"/>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val="en-US" w:eastAsia="zh-CN"/>
        </w:rPr>
        <w:t>，水土流失总面积612.35km</w:t>
      </w:r>
      <w:r>
        <w:rPr>
          <w:rFonts w:hint="eastAsia" w:ascii="Times New Roman" w:hAnsi="Times New Roman" w:eastAsia="方正仿宋_GB2312" w:cs="方正仿宋_GB2312"/>
          <w:b w:val="0"/>
          <w:bCs w:val="0"/>
          <w:snapToGrid/>
          <w:color w:val="auto"/>
          <w:kern w:val="2"/>
          <w:sz w:val="32"/>
          <w:szCs w:val="32"/>
          <w:highlight w:val="none"/>
          <w:vertAlign w:val="superscript"/>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val="en-US" w:eastAsia="zh-CN"/>
        </w:rPr>
        <w:t>，占土地总面积比例18.62%，较2022年减少19.37km</w:t>
      </w:r>
      <w:r>
        <w:rPr>
          <w:rFonts w:hint="eastAsia" w:ascii="Times New Roman" w:hAnsi="Times New Roman" w:eastAsia="方正仿宋_GB2312" w:cs="方正仿宋_GB2312"/>
          <w:b w:val="0"/>
          <w:bCs w:val="0"/>
          <w:snapToGrid/>
          <w:color w:val="auto"/>
          <w:kern w:val="2"/>
          <w:sz w:val="32"/>
          <w:szCs w:val="32"/>
          <w:highlight w:val="none"/>
          <w:vertAlign w:val="superscript"/>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val="en-US" w:eastAsia="zh-CN"/>
        </w:rPr>
        <w:t>，减幅为3.07%。2023年城口县水土保持率为81.38%。依据2023年全国水土流失动态监测成果，城口县耕地为153.76km</w:t>
      </w:r>
      <w:r>
        <w:rPr>
          <w:rFonts w:hint="eastAsia" w:ascii="Times New Roman" w:hAnsi="Times New Roman" w:eastAsia="方正仿宋_GB2312" w:cs="方正仿宋_GB2312"/>
          <w:b w:val="0"/>
          <w:bCs w:val="0"/>
          <w:snapToGrid/>
          <w:color w:val="auto"/>
          <w:kern w:val="2"/>
          <w:sz w:val="32"/>
          <w:szCs w:val="32"/>
          <w:highlight w:val="none"/>
          <w:vertAlign w:val="superscript"/>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val="en-US" w:eastAsia="zh-CN"/>
        </w:rPr>
        <w:t>，占土地总面积比例4.68%，耕地内水土流失面积为77.27km</w:t>
      </w:r>
      <w:r>
        <w:rPr>
          <w:rFonts w:hint="eastAsia" w:ascii="Times New Roman" w:hAnsi="Times New Roman" w:eastAsia="方正仿宋_GB2312" w:cs="方正仿宋_GB2312"/>
          <w:b w:val="0"/>
          <w:bCs w:val="0"/>
          <w:snapToGrid/>
          <w:color w:val="auto"/>
          <w:kern w:val="2"/>
          <w:sz w:val="32"/>
          <w:szCs w:val="32"/>
          <w:highlight w:val="none"/>
          <w:vertAlign w:val="superscript"/>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val="en-US" w:eastAsia="zh-CN"/>
        </w:rPr>
        <w:t>；城口县林地水土流失面积为520.37km</w:t>
      </w:r>
      <w:r>
        <w:rPr>
          <w:rFonts w:hint="eastAsia" w:ascii="Times New Roman" w:hAnsi="Times New Roman" w:eastAsia="方正仿宋_GB2312" w:cs="方正仿宋_GB2312"/>
          <w:b w:val="0"/>
          <w:bCs w:val="0"/>
          <w:snapToGrid/>
          <w:color w:val="auto"/>
          <w:kern w:val="2"/>
          <w:sz w:val="32"/>
          <w:szCs w:val="32"/>
          <w:highlight w:val="none"/>
          <w:vertAlign w:val="superscript"/>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val="en-US" w:eastAsia="zh-CN"/>
        </w:rPr>
        <w:t>，水土流失区域主要分布于高坡度的高植被覆盖度林地，其面积达491.71km</w:t>
      </w:r>
      <w:r>
        <w:rPr>
          <w:rFonts w:hint="eastAsia" w:ascii="Times New Roman" w:hAnsi="Times New Roman" w:eastAsia="方正仿宋_GB2312" w:cs="方正仿宋_GB2312"/>
          <w:b w:val="0"/>
          <w:bCs w:val="0"/>
          <w:snapToGrid/>
          <w:color w:val="auto"/>
          <w:kern w:val="2"/>
          <w:sz w:val="32"/>
          <w:szCs w:val="32"/>
          <w:highlight w:val="none"/>
          <w:vertAlign w:val="superscript"/>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val="en-US" w:eastAsia="zh-CN"/>
        </w:rPr>
        <w:t>。城口县2023年度水土流失治理面积为102.36 km</w:t>
      </w:r>
      <w:r>
        <w:rPr>
          <w:rFonts w:hint="eastAsia" w:ascii="Times New Roman" w:hAnsi="Times New Roman" w:eastAsia="方正仿宋_GB2312" w:cs="方正仿宋_GB2312"/>
          <w:b w:val="0"/>
          <w:bCs w:val="0"/>
          <w:snapToGrid/>
          <w:color w:val="auto"/>
          <w:kern w:val="2"/>
          <w:sz w:val="32"/>
          <w:szCs w:val="32"/>
          <w:highlight w:val="none"/>
          <w:vertAlign w:val="superscript"/>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val="en-US" w:eastAsia="zh-CN"/>
        </w:rPr>
        <w:t>，但受制于耕地总面积，梯田等工程措施仅73公顷，主要治理措施多为经果林和封禁治理等生物措施，由于生物措施对于水土流失治理体现在长远阶段，难以在短期内显著降低水土流失面积；同时，由于水土流失情况主要发生于高坡度高植被覆盖度林地内，生物措施带来的植被条件向好难以降低由于自然条件带来的天然水土流失情况。</w:t>
      </w:r>
      <w:r>
        <w:rPr>
          <w:rFonts w:hint="eastAsia" w:ascii="Times New Roman" w:hAnsi="Times New Roman" w:eastAsia="方正仿宋_GB2312" w:cs="方正仿宋_GB2312"/>
          <w:b w:val="0"/>
          <w:bCs w:val="0"/>
          <w:snapToGrid/>
          <w:color w:val="auto"/>
          <w:kern w:val="2"/>
          <w:sz w:val="32"/>
          <w:szCs w:val="32"/>
          <w:highlight w:val="none"/>
          <w:lang w:eastAsia="zh-CN"/>
        </w:rPr>
        <w:t>同时随着库区以及其他重要生态功能区、重要水源地水土流失防治要求的不断提高，生产建设项目造成的人为水土流失时有发生，水土保持协同监管力度亟待加强，水土保持工作任重道远。</w:t>
      </w:r>
    </w:p>
    <w:p w14:paraId="5F00ADDD">
      <w:pPr>
        <w:pStyle w:val="5"/>
        <w:keepNext w:val="0"/>
        <w:keepLines w:val="0"/>
        <w:pageBreakBefore w:val="0"/>
        <w:widowControl/>
        <w:kinsoku/>
        <w:wordWrap/>
        <w:overflowPunct/>
        <w:topLinePunct w:val="0"/>
        <w:autoSpaceDE w:val="0"/>
        <w:autoSpaceDN w:val="0"/>
        <w:bidi w:val="0"/>
        <w:adjustRightInd w:val="0"/>
        <w:snapToGrid w:val="0"/>
        <w:spacing w:before="288" w:line="408" w:lineRule="auto"/>
        <w:ind w:left="26" w:right="233" w:firstLine="564"/>
        <w:jc w:val="both"/>
        <w:rPr>
          <w:color w:val="215968" w:themeColor="accent5" w:themeShade="80"/>
        </w:rPr>
      </w:pPr>
    </w:p>
    <w:p w14:paraId="7A1561BD">
      <w:pPr>
        <w:keepNext w:val="0"/>
        <w:keepLines w:val="0"/>
        <w:pageBreakBefore w:val="0"/>
        <w:widowControl/>
        <w:kinsoku/>
        <w:wordWrap/>
        <w:overflowPunct/>
        <w:topLinePunct w:val="0"/>
        <w:autoSpaceDE w:val="0"/>
        <w:autoSpaceDN w:val="0"/>
        <w:bidi w:val="0"/>
        <w:adjustRightInd w:val="0"/>
        <w:snapToGrid w:val="0"/>
        <w:spacing w:line="408" w:lineRule="auto"/>
        <w:jc w:val="both"/>
        <w:rPr>
          <w:color w:val="215968" w:themeColor="accent5" w:themeShade="80"/>
        </w:rPr>
        <w:sectPr>
          <w:footerReference r:id="rId9" w:type="default"/>
          <w:pgSz w:w="11907" w:h="16839"/>
          <w:pgMar w:top="1440" w:right="1800" w:bottom="1440" w:left="1800" w:header="0" w:footer="1194" w:gutter="0"/>
          <w:pgNumType w:fmt="decimal"/>
          <w:cols w:space="720" w:num="1"/>
        </w:sectPr>
      </w:pPr>
    </w:p>
    <w:p w14:paraId="50A3BAF5">
      <w:pPr>
        <w:pStyle w:val="3"/>
        <w:bidi w:val="0"/>
        <w:rPr>
          <w:rFonts w:hint="eastAsia"/>
          <w:lang w:val="en-US" w:eastAsia="zh-CN"/>
        </w:rPr>
      </w:pPr>
      <w:bookmarkStart w:id="13" w:name="_Toc3002"/>
      <w:r>
        <w:rPr>
          <w:rFonts w:hint="eastAsia"/>
          <w:lang w:val="en-US" w:eastAsia="zh-CN"/>
        </w:rPr>
        <w:t>二、划定依据与技术路线</w:t>
      </w:r>
      <w:bookmarkEnd w:id="13"/>
    </w:p>
    <w:p w14:paraId="593D17AF">
      <w:pPr>
        <w:pStyle w:val="4"/>
        <w:bidi w:val="0"/>
        <w:rPr>
          <w:rFonts w:hint="eastAsia"/>
          <w:lang w:eastAsia="zh-CN"/>
        </w:rPr>
      </w:pPr>
      <w:bookmarkStart w:id="14" w:name="_Toc25214"/>
      <w:r>
        <w:rPr>
          <w:rFonts w:hint="eastAsia"/>
          <w:lang w:eastAsia="zh-CN"/>
        </w:rPr>
        <w:t>（</w:t>
      </w:r>
      <w:r>
        <w:rPr>
          <w:rFonts w:hint="eastAsia"/>
          <w:lang w:val="en-US" w:eastAsia="zh-CN"/>
        </w:rPr>
        <w:t>一</w:t>
      </w:r>
      <w:r>
        <w:rPr>
          <w:rFonts w:hint="eastAsia"/>
          <w:lang w:eastAsia="zh-CN"/>
        </w:rPr>
        <w:t>）划定原则</w:t>
      </w:r>
      <w:bookmarkEnd w:id="14"/>
    </w:p>
    <w:p w14:paraId="79F0265B">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禁止开垦陡坡地范围划定遵循科学划定、落地准确、边界清晰、便于管理的基本总体原则，自上而下、自下而上相结合，以定量判别为主、定性判定为辅的方式开展。划定原则主要包括以下三方面：</w:t>
      </w:r>
    </w:p>
    <w:p w14:paraId="56B29A21">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（1）落实技术标准，科学展开划定。划定工作严格按照水利部《禁止开垦陡坡地范围划定技术指南》（以下简称《技术指南》）开展划定，所划定图斑均在法定禁止开垦坡度以上；</w:t>
      </w:r>
    </w:p>
    <w:p w14:paraId="03CB6898">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（2）优先保障生态和耕地空间。划定图斑优先保障生态空间、现有耕地和耕地恢复的空间，划定范围与耕地相重叠的部分将被</w:t>
      </w:r>
      <w:r>
        <w:rPr>
          <w:rFonts w:hint="eastAsia" w:ascii="Times New Roman" w:hAnsi="Times New Roman" w:eastAsia="方正仿宋_GB2312" w:cs="方正仿宋_GB2312"/>
          <w:b w:val="0"/>
          <w:bCs w:val="0"/>
          <w:snapToGrid/>
          <w:color w:val="auto"/>
          <w:kern w:val="2"/>
          <w:sz w:val="32"/>
          <w:szCs w:val="32"/>
          <w:highlight w:val="none"/>
          <w:lang w:val="en-US" w:eastAsia="zh-CN"/>
        </w:rPr>
        <w:t>剔除</w:t>
      </w:r>
      <w:r>
        <w:rPr>
          <w:rFonts w:hint="eastAsia" w:ascii="Times New Roman" w:hAnsi="Times New Roman" w:eastAsia="方正仿宋_GB2312" w:cs="方正仿宋_GB2312"/>
          <w:b w:val="0"/>
          <w:bCs w:val="0"/>
          <w:snapToGrid/>
          <w:color w:val="auto"/>
          <w:kern w:val="2"/>
          <w:sz w:val="32"/>
          <w:szCs w:val="32"/>
          <w:highlight w:val="none"/>
          <w:lang w:eastAsia="zh-CN"/>
        </w:rPr>
        <w:t>；</w:t>
      </w:r>
    </w:p>
    <w:p w14:paraId="7F8F05F2">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（3）上下联动，保护与发展统筹兼顾。划定充分考虑各部门、乡镇（街道）对未来地区建设、管理和发展的需求。城口县重大建设项目、规划水库等重点地类图斑将被剔除，避免限制地区未来发展。</w:t>
      </w:r>
    </w:p>
    <w:p w14:paraId="4881E492">
      <w:pPr>
        <w:pStyle w:val="4"/>
        <w:bidi w:val="0"/>
        <w:rPr>
          <w:rFonts w:hint="eastAsia"/>
          <w:lang w:eastAsia="zh-CN"/>
        </w:rPr>
      </w:pPr>
      <w:bookmarkStart w:id="15" w:name="_Toc4989"/>
      <w:r>
        <w:rPr>
          <w:rFonts w:hint="eastAsia"/>
          <w:lang w:eastAsia="zh-CN"/>
        </w:rPr>
        <w:t>（</w:t>
      </w:r>
      <w:r>
        <w:rPr>
          <w:rFonts w:hint="eastAsia"/>
          <w:lang w:val="en-US" w:eastAsia="zh-CN"/>
        </w:rPr>
        <w:t>二</w:t>
      </w:r>
      <w:r>
        <w:rPr>
          <w:rFonts w:hint="eastAsia"/>
          <w:lang w:eastAsia="zh-CN"/>
        </w:rPr>
        <w:t>）划定依据</w:t>
      </w:r>
      <w:bookmarkEnd w:id="15"/>
    </w:p>
    <w:p w14:paraId="2D2F71B4">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划定依据主要为现行最新的相关法律法规、规范性文件，技术标准、指南或相关文件等中关于禁止开垦陡坡地的特定要求。主要包括：</w:t>
      </w:r>
    </w:p>
    <w:p w14:paraId="16727A38">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（1）《中华人民共和国水土保持法》（2010年修订版）；</w:t>
      </w:r>
    </w:p>
    <w:p w14:paraId="280822E6">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（2）《中华人民共和国森林法》（2019年修订版）；</w:t>
      </w:r>
    </w:p>
    <w:p w14:paraId="0CECD78A">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（3）《关于加强新时代水土保持工作的意见》（中共中央办公厅、国务院办公厅，2022年12月）；</w:t>
      </w:r>
    </w:p>
    <w:p w14:paraId="3E7DCA4C">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（4）《生态环境部关于印发〈生态保护红线生态环境监督办法（试行）〉的通知》（国环规生态〔2022〕2号）；</w:t>
      </w:r>
    </w:p>
    <w:p w14:paraId="0134FA0E">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（5）《自然资源部、生态环境部、国家林业和草原局〈关于加强生态保护红线管理的通知〉（试行）》（自然资发〔2022〕142号）；</w:t>
      </w:r>
    </w:p>
    <w:p w14:paraId="7C119355">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（6）《水利部〈关于加强河湖水域岸线空间管控的指导意见〉》（水河湖﹝2022﹞216号）；</w:t>
      </w:r>
    </w:p>
    <w:p w14:paraId="0AA9B466">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（7）《水利部办公厅〈关于印发水土保持重点区域划定技术指南的通知〉》（水保〔2024〕2号）；</w:t>
      </w:r>
    </w:p>
    <w:p w14:paraId="5263C979">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（8）《水利部〈关于加强水土保持空间管控的意见〉》（水保〔2024〕4号）；</w:t>
      </w:r>
    </w:p>
    <w:p w14:paraId="6EFE2D2C">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（9）《水利部办公厅〈关于印发2024年水土保持工作要点的通知〉》（水保〔2024〕54号）；</w:t>
      </w:r>
    </w:p>
    <w:p w14:paraId="19A982EE">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（10）《水利部〈禁止开垦陡坡地范围划定技术指南〉》（2024年）</w:t>
      </w:r>
    </w:p>
    <w:p w14:paraId="1EF25D3B">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（11）《第三次全国国土调查技术规程》（TD/T1055-2019）（报批稿）</w:t>
      </w:r>
    </w:p>
    <w:p w14:paraId="5089944E">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（12）《集中式饮用水水源地规范化建设环境保护技术要求》（HJ773-2015）</w:t>
      </w:r>
    </w:p>
    <w:p w14:paraId="08EFA582">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（13）《重庆市实施〈中华人民共和国水土保持法〉办法》（2018年修订）；</w:t>
      </w:r>
    </w:p>
    <w:p w14:paraId="49E62965">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（14）《重庆市贯彻落实〈关于加强新时代水土保持工作的意见〉具体措施》（重庆市委办公厅、市政府办公厅，2023年12月5日）</w:t>
      </w:r>
    </w:p>
    <w:p w14:paraId="14119D4D">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（15）《</w:t>
      </w:r>
      <w:r>
        <w:rPr>
          <w:rFonts w:hint="eastAsia" w:ascii="Times New Roman" w:hAnsi="Times New Roman" w:eastAsia="方正仿宋_GB2312" w:cs="方正仿宋_GB2312"/>
          <w:b w:val="0"/>
          <w:bCs w:val="0"/>
          <w:snapToGrid/>
          <w:color w:val="auto"/>
          <w:kern w:val="2"/>
          <w:sz w:val="32"/>
          <w:szCs w:val="32"/>
          <w:highlight w:val="none"/>
          <w:lang w:val="en-US" w:eastAsia="zh-CN"/>
        </w:rPr>
        <w:t>重庆</w:t>
      </w:r>
      <w:r>
        <w:rPr>
          <w:rFonts w:hint="eastAsia" w:ascii="Times New Roman" w:hAnsi="Times New Roman" w:eastAsia="方正仿宋_GB2312" w:cs="方正仿宋_GB2312"/>
          <w:b w:val="0"/>
          <w:bCs w:val="0"/>
          <w:snapToGrid/>
          <w:color w:val="auto"/>
          <w:kern w:val="2"/>
          <w:sz w:val="32"/>
          <w:szCs w:val="32"/>
          <w:highlight w:val="none"/>
          <w:lang w:eastAsia="zh-CN"/>
        </w:rPr>
        <w:t>市水利局、</w:t>
      </w:r>
      <w:r>
        <w:rPr>
          <w:rFonts w:hint="eastAsia" w:ascii="Times New Roman" w:hAnsi="Times New Roman" w:eastAsia="方正仿宋_GB2312" w:cs="方正仿宋_GB2312"/>
          <w:b w:val="0"/>
          <w:bCs w:val="0"/>
          <w:snapToGrid/>
          <w:color w:val="auto"/>
          <w:kern w:val="2"/>
          <w:sz w:val="32"/>
          <w:szCs w:val="32"/>
          <w:highlight w:val="none"/>
          <w:lang w:val="en-US" w:eastAsia="zh-CN"/>
        </w:rPr>
        <w:t>重庆</w:t>
      </w:r>
      <w:r>
        <w:rPr>
          <w:rFonts w:hint="eastAsia" w:ascii="Times New Roman" w:hAnsi="Times New Roman" w:eastAsia="方正仿宋_GB2312" w:cs="方正仿宋_GB2312"/>
          <w:b w:val="0"/>
          <w:bCs w:val="0"/>
          <w:snapToGrid/>
          <w:color w:val="auto"/>
          <w:kern w:val="2"/>
          <w:sz w:val="32"/>
          <w:szCs w:val="32"/>
          <w:highlight w:val="none"/>
          <w:lang w:eastAsia="zh-CN"/>
        </w:rPr>
        <w:t>市规划和自然资源局〈关于开展禁止开垦陡坡地范围划定工作的函〉》（渝水函〔2024〕203号）</w:t>
      </w:r>
    </w:p>
    <w:p w14:paraId="508666C9">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（16）《重庆市城口县2024年统计年鉴》</w:t>
      </w:r>
    </w:p>
    <w:p w14:paraId="17F0F7C4">
      <w:pPr>
        <w:pStyle w:val="5"/>
        <w:widowControl w:val="0"/>
        <w:kinsoku/>
        <w:autoSpaceDE/>
        <w:autoSpaceDN/>
        <w:adjustRightInd/>
        <w:snapToGrid/>
        <w:spacing w:after="0" w:line="600" w:lineRule="exact"/>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（17）《重庆市水土保持公报》（</w:t>
      </w:r>
      <w:r>
        <w:rPr>
          <w:rFonts w:hint="eastAsia" w:ascii="Times New Roman" w:hAnsi="Times New Roman" w:eastAsia="方正仿宋_GB2312" w:cs="方正仿宋_GB2312"/>
          <w:b w:val="0"/>
          <w:bCs w:val="0"/>
          <w:snapToGrid/>
          <w:color w:val="auto"/>
          <w:kern w:val="2"/>
          <w:sz w:val="32"/>
          <w:szCs w:val="32"/>
          <w:highlight w:val="none"/>
          <w:lang w:val="en-US" w:eastAsia="zh-CN"/>
        </w:rPr>
        <w:t>2022年</w:t>
      </w:r>
      <w:r>
        <w:rPr>
          <w:rFonts w:hint="eastAsia" w:ascii="Times New Roman" w:hAnsi="Times New Roman" w:eastAsia="方正仿宋_GB2312" w:cs="方正仿宋_GB2312"/>
          <w:b w:val="0"/>
          <w:bCs w:val="0"/>
          <w:snapToGrid/>
          <w:color w:val="auto"/>
          <w:kern w:val="2"/>
          <w:sz w:val="32"/>
          <w:szCs w:val="32"/>
          <w:highlight w:val="none"/>
          <w:lang w:eastAsia="zh-CN"/>
        </w:rPr>
        <w:t>、2023年）</w:t>
      </w:r>
    </w:p>
    <w:p w14:paraId="73AF9E7E">
      <w:pPr>
        <w:pStyle w:val="4"/>
        <w:bidi w:val="0"/>
        <w:rPr>
          <w:rFonts w:hint="eastAsia"/>
          <w:lang w:eastAsia="zh-CN"/>
        </w:rPr>
      </w:pPr>
      <w:bookmarkStart w:id="16" w:name="_Toc22286"/>
      <w:r>
        <w:rPr>
          <w:rFonts w:hint="eastAsia"/>
          <w:lang w:eastAsia="zh-CN"/>
        </w:rPr>
        <w:t>（</w:t>
      </w:r>
      <w:r>
        <w:rPr>
          <w:rFonts w:hint="eastAsia"/>
          <w:lang w:val="en-US" w:eastAsia="zh-CN"/>
        </w:rPr>
        <w:t>三</w:t>
      </w:r>
      <w:r>
        <w:rPr>
          <w:rFonts w:hint="eastAsia"/>
          <w:lang w:eastAsia="zh-CN"/>
        </w:rPr>
        <w:t>）划定技术路线</w:t>
      </w:r>
      <w:bookmarkEnd w:id="16"/>
    </w:p>
    <w:p w14:paraId="17B29695">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按照水利部禁止开垦陡坡地范围划定《技术指南》，划定工作主要从以下六个阶段开展：</w:t>
      </w:r>
    </w:p>
    <w:p w14:paraId="515F3B5D">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（1）前期工作准备。组织技术力量，梳理任务情况，把握工作难易程度，制定高效可行的工作计划，保障工作有序开展；</w:t>
      </w:r>
    </w:p>
    <w:p w14:paraId="02659D26">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（2）基础资料收集与数据预处理。对各类基础资料进行收集、整理，并进行数据预处理，满足使用要求，数据收集和预处理方法详见第三章划定过程与方法；</w:t>
      </w:r>
    </w:p>
    <w:p w14:paraId="7716769A">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3）禁止开垦陡坡地范围图斑划定。一是在三调2023年国土变更调查成果等数据的基础上，利用ArcGIS软件，通过叠加生态保护红线、自然保护地、大中型水库汇水区和饮用水源一级保护区等有特殊保护或管控的区域，明确区域内的禁止开垦陡坡地范围；二是综合部门意见和当地规划，城口县中心城区规划用地、城口县重大规划建设项目、部分在建项目、木本油料林等与划定相重叠的区域；三是剔除相邻地类合并后面积小于5</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hm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的图斑，形成城口县禁止开垦陡坡地范围初步划定成果，范围划定方法和过程详见第三章；</w:t>
      </w:r>
    </w:p>
    <w:p w14:paraId="5D7F1DE4">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（4）边界修正与现场复核验证。根据</w:t>
      </w:r>
      <w:r>
        <w:rPr>
          <w:rFonts w:hint="eastAsia" w:ascii="Times New Roman" w:hAnsi="Times New Roman" w:eastAsia="方正仿宋_GB2312" w:cs="方正仿宋_GB2312"/>
          <w:b w:val="0"/>
          <w:bCs w:val="0"/>
          <w:snapToGrid/>
          <w:color w:val="auto"/>
          <w:kern w:val="2"/>
          <w:sz w:val="32"/>
          <w:szCs w:val="32"/>
          <w:highlight w:val="none"/>
          <w:lang w:val="en-US" w:eastAsia="zh-CN"/>
        </w:rPr>
        <w:t>亚米级</w:t>
      </w:r>
      <w:r>
        <w:rPr>
          <w:rFonts w:hint="eastAsia" w:ascii="Times New Roman" w:hAnsi="Times New Roman" w:eastAsia="方正仿宋_GB2312" w:cs="方正仿宋_GB2312"/>
          <w:b w:val="0"/>
          <w:bCs w:val="0"/>
          <w:snapToGrid/>
          <w:color w:val="auto"/>
          <w:kern w:val="2"/>
          <w:sz w:val="32"/>
          <w:szCs w:val="32"/>
          <w:highlight w:val="none"/>
          <w:lang w:eastAsia="zh-CN"/>
        </w:rPr>
        <w:t>高分辨率遥感影像地物特征和自然边界，逐图斑对禁止开垦陡坡地范围边界进行检查与修正；修正后，抽取图斑总数量3%以上的图斑进行现场复核验证，并根据复核结果进行内业调整；</w:t>
      </w:r>
    </w:p>
    <w:p w14:paraId="5C7F2B0A">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5）征求意见。在初步征求规划自然资源、农业农村、林业等主管部门的意见的基础上，将划定图斑下发各乡镇（街道），根据乡镇（街道）反馈，进行修改调整；划定范围经乡镇（街道）同意后，再次征求部门意见，修改完善后形成最终的划定范围；</w:t>
      </w:r>
    </w:p>
    <w:p w14:paraId="2450E03B">
      <w:pPr>
        <w:pStyle w:val="5"/>
        <w:widowControl w:val="0"/>
        <w:kinsoku/>
        <w:autoSpaceDE/>
        <w:autoSpaceDN/>
        <w:adjustRightInd/>
        <w:snapToGrid/>
        <w:spacing w:after="0" w:line="600" w:lineRule="exact"/>
        <w:ind w:firstLine="640" w:firstLineChars="200"/>
        <w:jc w:val="both"/>
        <w:textAlignment w:val="auto"/>
        <w:rPr>
          <w:color w:val="auto"/>
        </w:rPr>
      </w:pPr>
      <w:r>
        <w:rPr>
          <w:rFonts w:hint="eastAsia" w:ascii="Times New Roman" w:hAnsi="Times New Roman" w:eastAsia="方正仿宋_GB2312" w:cs="方正仿宋_GB2312"/>
          <w:b w:val="0"/>
          <w:bCs w:val="0"/>
          <w:snapToGrid/>
          <w:color w:val="auto"/>
          <w:kern w:val="2"/>
          <w:sz w:val="32"/>
          <w:szCs w:val="32"/>
          <w:highlight w:val="none"/>
          <w:lang w:eastAsia="zh-CN"/>
        </w:rPr>
        <w:t>（6）划定成果编制。根据《技术指南》所列提纲，编制形成划定技术报告、图表和数据库等成果。划定技术路线如图2-1所示。</w:t>
      </w:r>
    </w:p>
    <w:p w14:paraId="21F8EFF9">
      <w:pPr>
        <w:keepNext w:val="0"/>
        <w:keepLines w:val="0"/>
        <w:pageBreakBefore w:val="0"/>
        <w:widowControl/>
        <w:kinsoku/>
        <w:wordWrap/>
        <w:overflowPunct/>
        <w:topLinePunct w:val="0"/>
        <w:autoSpaceDE w:val="0"/>
        <w:autoSpaceDN w:val="0"/>
        <w:bidi w:val="0"/>
        <w:adjustRightInd w:val="0"/>
        <w:snapToGrid w:val="0"/>
        <w:spacing w:line="315" w:lineRule="auto"/>
        <w:jc w:val="both"/>
        <w:rPr>
          <w:color w:val="215968" w:themeColor="accent5" w:themeShade="80"/>
        </w:rPr>
        <w:sectPr>
          <w:footerReference r:id="rId10" w:type="default"/>
          <w:pgSz w:w="11907" w:h="16839"/>
          <w:pgMar w:top="1440" w:right="1800" w:bottom="1440" w:left="1800" w:header="0" w:footer="1624" w:gutter="0"/>
          <w:pgNumType w:fmt="decimal"/>
          <w:cols w:space="720" w:num="1"/>
        </w:sectPr>
      </w:pPr>
    </w:p>
    <w:p w14:paraId="377CED27">
      <w:pPr>
        <w:keepNext w:val="0"/>
        <w:keepLines w:val="0"/>
        <w:pageBreakBefore w:val="0"/>
        <w:widowControl/>
        <w:kinsoku/>
        <w:wordWrap/>
        <w:overflowPunct/>
        <w:topLinePunct w:val="0"/>
        <w:autoSpaceDE w:val="0"/>
        <w:autoSpaceDN w:val="0"/>
        <w:bidi w:val="0"/>
        <w:adjustRightInd w:val="0"/>
        <w:snapToGrid w:val="0"/>
        <w:spacing w:line="240" w:lineRule="auto"/>
        <w:ind w:firstLine="14"/>
        <w:jc w:val="both"/>
        <w:rPr>
          <w:rFonts w:hint="eastAsia" w:eastAsia="宋体"/>
          <w:color w:val="215968" w:themeColor="accent5" w:themeShade="80"/>
          <w:lang w:eastAsia="zh-CN"/>
        </w:rPr>
      </w:pPr>
      <w:r>
        <w:rPr>
          <w:rFonts w:hint="eastAsia" w:eastAsia="宋体"/>
          <w:color w:val="215968" w:themeColor="accent5" w:themeShade="80"/>
          <w:lang w:eastAsia="zh-CN"/>
        </w:rPr>
        <w:drawing>
          <wp:inline distT="0" distB="0" distL="114300" distR="114300">
            <wp:extent cx="5172075" cy="7030085"/>
            <wp:effectExtent l="0" t="0" r="9525" b="1079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8"/>
                    <a:stretch>
                      <a:fillRect/>
                    </a:stretch>
                  </pic:blipFill>
                  <pic:spPr>
                    <a:xfrm>
                      <a:off x="0" y="0"/>
                      <a:ext cx="5172075" cy="7030085"/>
                    </a:xfrm>
                    <a:prstGeom prst="rect">
                      <a:avLst/>
                    </a:prstGeom>
                  </pic:spPr>
                </pic:pic>
              </a:graphicData>
            </a:graphic>
          </wp:inline>
        </w:drawing>
      </w:r>
    </w:p>
    <w:p w14:paraId="1C0E90EB">
      <w:pPr>
        <w:keepNext w:val="0"/>
        <w:keepLines w:val="0"/>
        <w:pageBreakBefore w:val="0"/>
        <w:widowControl/>
        <w:kinsoku/>
        <w:wordWrap/>
        <w:overflowPunct/>
        <w:topLinePunct w:val="0"/>
        <w:autoSpaceDE w:val="0"/>
        <w:autoSpaceDN w:val="0"/>
        <w:bidi w:val="0"/>
        <w:adjustRightInd w:val="0"/>
        <w:snapToGrid w:val="0"/>
        <w:spacing w:line="319" w:lineRule="auto"/>
        <w:jc w:val="both"/>
        <w:rPr>
          <w:rFonts w:ascii="Arial"/>
          <w:color w:val="215968" w:themeColor="accent5" w:themeShade="80"/>
          <w:sz w:val="21"/>
        </w:rPr>
      </w:pPr>
    </w:p>
    <w:p w14:paraId="0FBE70B7">
      <w:pPr>
        <w:keepNext w:val="0"/>
        <w:keepLines w:val="0"/>
        <w:pageBreakBefore w:val="0"/>
        <w:widowControl/>
        <w:kinsoku/>
        <w:wordWrap/>
        <w:overflowPunct/>
        <w:topLinePunct w:val="0"/>
        <w:autoSpaceDE w:val="0"/>
        <w:autoSpaceDN w:val="0"/>
        <w:bidi w:val="0"/>
        <w:adjustRightInd w:val="0"/>
        <w:snapToGrid w:val="0"/>
        <w:spacing w:before="91" w:line="217" w:lineRule="auto"/>
        <w:ind w:left="1664"/>
        <w:jc w:val="both"/>
        <w:rPr>
          <w:rFonts w:ascii="黑体" w:hAnsi="黑体" w:eastAsia="黑体" w:cs="黑体"/>
          <w:color w:val="auto"/>
          <w:sz w:val="28"/>
          <w:szCs w:val="28"/>
        </w:rPr>
      </w:pPr>
      <w:r>
        <w:rPr>
          <w:rFonts w:ascii="黑体" w:hAnsi="黑体" w:eastAsia="黑体" w:cs="黑体"/>
          <w:color w:val="auto"/>
          <w:spacing w:val="-2"/>
          <w:sz w:val="28"/>
          <w:szCs w:val="28"/>
        </w:rPr>
        <w:t>图</w:t>
      </w:r>
      <w:r>
        <w:rPr>
          <w:rFonts w:ascii="Times New Roman" w:hAnsi="Times New Roman" w:eastAsia="Times New Roman" w:cs="Times New Roman"/>
          <w:color w:val="auto"/>
          <w:spacing w:val="-2"/>
          <w:sz w:val="28"/>
          <w:szCs w:val="28"/>
        </w:rPr>
        <w:t>2-1</w:t>
      </w:r>
      <w:r>
        <w:rPr>
          <w:rFonts w:hint="eastAsia" w:ascii="Times New Roman" w:hAnsi="Times New Roman" w:eastAsia="宋体" w:cs="Times New Roman"/>
          <w:color w:val="auto"/>
          <w:spacing w:val="-2"/>
          <w:sz w:val="28"/>
          <w:szCs w:val="28"/>
          <w:lang w:val="en-US" w:eastAsia="zh-CN"/>
        </w:rPr>
        <w:t xml:space="preserve"> </w:t>
      </w:r>
      <w:r>
        <w:rPr>
          <w:rFonts w:ascii="黑体" w:hAnsi="黑体" w:eastAsia="黑体" w:cs="黑体"/>
          <w:color w:val="auto"/>
          <w:spacing w:val="-2"/>
          <w:sz w:val="28"/>
          <w:szCs w:val="28"/>
        </w:rPr>
        <w:t>禁止开垦陡坡地范围划定技术路线</w:t>
      </w:r>
    </w:p>
    <w:p w14:paraId="3653BEE7">
      <w:pPr>
        <w:keepNext w:val="0"/>
        <w:keepLines w:val="0"/>
        <w:pageBreakBefore w:val="0"/>
        <w:widowControl/>
        <w:kinsoku/>
        <w:wordWrap/>
        <w:overflowPunct/>
        <w:topLinePunct w:val="0"/>
        <w:autoSpaceDE w:val="0"/>
        <w:autoSpaceDN w:val="0"/>
        <w:bidi w:val="0"/>
        <w:adjustRightInd w:val="0"/>
        <w:snapToGrid w:val="0"/>
        <w:spacing w:line="217" w:lineRule="auto"/>
        <w:jc w:val="both"/>
        <w:rPr>
          <w:rFonts w:ascii="黑体" w:hAnsi="黑体" w:eastAsia="黑体" w:cs="黑体"/>
          <w:color w:val="215968" w:themeColor="accent5" w:themeShade="80"/>
          <w:sz w:val="28"/>
          <w:szCs w:val="28"/>
        </w:rPr>
        <w:sectPr>
          <w:footerReference r:id="rId11" w:type="default"/>
          <w:pgSz w:w="11907" w:h="16839"/>
          <w:pgMar w:top="1440" w:right="1800" w:bottom="1440" w:left="1800" w:header="0" w:footer="1624" w:gutter="0"/>
          <w:pgNumType w:fmt="decimal"/>
          <w:cols w:space="720" w:num="1"/>
        </w:sectPr>
      </w:pPr>
    </w:p>
    <w:p w14:paraId="4E35FCEE">
      <w:pPr>
        <w:pStyle w:val="3"/>
        <w:bidi w:val="0"/>
        <w:rPr>
          <w:rFonts w:hint="eastAsia"/>
          <w:lang w:val="en-US" w:eastAsia="zh-CN"/>
        </w:rPr>
      </w:pPr>
      <w:bookmarkStart w:id="17" w:name="_Toc25950"/>
      <w:r>
        <w:rPr>
          <w:rFonts w:hint="eastAsia"/>
          <w:lang w:val="en-US" w:eastAsia="zh-CN"/>
        </w:rPr>
        <w:t>三、划定方法</w:t>
      </w:r>
      <w:bookmarkEnd w:id="17"/>
    </w:p>
    <w:p w14:paraId="1DC5195A">
      <w:pPr>
        <w:pStyle w:val="4"/>
        <w:bidi w:val="0"/>
        <w:rPr>
          <w:rFonts w:hint="eastAsia"/>
          <w:lang w:eastAsia="zh-CN"/>
        </w:rPr>
      </w:pPr>
      <w:bookmarkStart w:id="18" w:name="_Toc22872"/>
      <w:r>
        <w:rPr>
          <w:rFonts w:hint="eastAsia"/>
          <w:lang w:eastAsia="zh-CN"/>
        </w:rPr>
        <w:t>（</w:t>
      </w:r>
      <w:r>
        <w:rPr>
          <w:rFonts w:hint="eastAsia"/>
          <w:lang w:val="en-US" w:eastAsia="zh-CN"/>
        </w:rPr>
        <w:t>一</w:t>
      </w:r>
      <w:r>
        <w:rPr>
          <w:rFonts w:hint="eastAsia"/>
          <w:lang w:eastAsia="zh-CN"/>
        </w:rPr>
        <w:t>）资料收集</w:t>
      </w:r>
      <w:bookmarkEnd w:id="18"/>
    </w:p>
    <w:p w14:paraId="1EDD7331">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为完成城口县禁止开垦陡坡地范围的划定工作，划定使用的基础资料主要为各类最新矢量边界及遥感影像数据，详见表3-1。</w:t>
      </w:r>
    </w:p>
    <w:p w14:paraId="20BC42E1">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表3-1禁止开垦陡坡地范围划定基础资料收集</w:t>
      </w:r>
    </w:p>
    <w:p w14:paraId="620CA9ED">
      <w:pPr>
        <w:keepNext w:val="0"/>
        <w:keepLines w:val="0"/>
        <w:pageBreakBefore w:val="0"/>
        <w:widowControl/>
        <w:kinsoku/>
        <w:wordWrap/>
        <w:overflowPunct/>
        <w:topLinePunct w:val="0"/>
        <w:autoSpaceDE w:val="0"/>
        <w:autoSpaceDN w:val="0"/>
        <w:bidi w:val="0"/>
        <w:adjustRightInd w:val="0"/>
        <w:snapToGrid w:val="0"/>
        <w:spacing w:line="209" w:lineRule="exact"/>
        <w:jc w:val="both"/>
        <w:rPr>
          <w:color w:val="auto"/>
        </w:rPr>
      </w:pPr>
    </w:p>
    <w:tbl>
      <w:tblPr>
        <w:tblStyle w:val="15"/>
        <w:tblW w:w="8300"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5"/>
        <w:gridCol w:w="4820"/>
        <w:gridCol w:w="1842"/>
        <w:gridCol w:w="933"/>
      </w:tblGrid>
      <w:tr w14:paraId="5C0A1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05" w:type="dxa"/>
            <w:vAlign w:val="center"/>
          </w:tcPr>
          <w:p w14:paraId="53075EAB">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序号</w:t>
            </w:r>
          </w:p>
        </w:tc>
        <w:tc>
          <w:tcPr>
            <w:tcW w:w="4820" w:type="dxa"/>
            <w:vAlign w:val="center"/>
          </w:tcPr>
          <w:p w14:paraId="39C46146">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数据名称</w:t>
            </w:r>
          </w:p>
        </w:tc>
        <w:tc>
          <w:tcPr>
            <w:tcW w:w="1842" w:type="dxa"/>
            <w:vAlign w:val="center"/>
          </w:tcPr>
          <w:p w14:paraId="21517D20">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数据来源</w:t>
            </w:r>
          </w:p>
        </w:tc>
        <w:tc>
          <w:tcPr>
            <w:tcW w:w="933" w:type="dxa"/>
            <w:vAlign w:val="center"/>
          </w:tcPr>
          <w:p w14:paraId="13054EFF">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格式</w:t>
            </w:r>
          </w:p>
        </w:tc>
      </w:tr>
      <w:tr w14:paraId="10F79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705" w:type="dxa"/>
            <w:vAlign w:val="center"/>
          </w:tcPr>
          <w:p w14:paraId="2B154046">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1</w:t>
            </w:r>
          </w:p>
        </w:tc>
        <w:tc>
          <w:tcPr>
            <w:tcW w:w="4820" w:type="dxa"/>
            <w:vAlign w:val="center"/>
          </w:tcPr>
          <w:p w14:paraId="7CAAF148">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2023年城口县“三调”最新变更调查数据库（地类图斑、坡度分级、行政区等数据）</w:t>
            </w:r>
          </w:p>
        </w:tc>
        <w:tc>
          <w:tcPr>
            <w:tcW w:w="1842" w:type="dxa"/>
            <w:vAlign w:val="center"/>
          </w:tcPr>
          <w:p w14:paraId="2B1BBD06">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城口县规划和</w:t>
            </w:r>
          </w:p>
          <w:p w14:paraId="6DA8A819">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自然资源局</w:t>
            </w:r>
          </w:p>
        </w:tc>
        <w:tc>
          <w:tcPr>
            <w:tcW w:w="933" w:type="dxa"/>
            <w:vAlign w:val="center"/>
          </w:tcPr>
          <w:p w14:paraId="686D841D">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r w14:paraId="42033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5" w:type="dxa"/>
            <w:vAlign w:val="center"/>
          </w:tcPr>
          <w:p w14:paraId="7033873A">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2</w:t>
            </w:r>
          </w:p>
        </w:tc>
        <w:tc>
          <w:tcPr>
            <w:tcW w:w="4820" w:type="dxa"/>
            <w:vAlign w:val="center"/>
          </w:tcPr>
          <w:p w14:paraId="6014B485">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城口县202</w:t>
            </w:r>
            <w:r>
              <w:rPr>
                <w:rFonts w:hint="eastAsia" w:ascii="CESI仿宋-GB2312" w:hAnsi="CESI仿宋-GB2312" w:eastAsia="CESI仿宋-GB2312" w:cs="CESI仿宋-GB2312"/>
                <w:snapToGrid/>
                <w:kern w:val="0"/>
                <w:sz w:val="21"/>
                <w:szCs w:val="21"/>
                <w:lang w:val="en-US" w:eastAsia="zh-CN"/>
              </w:rPr>
              <w:t>4</w:t>
            </w:r>
            <w:r>
              <w:rPr>
                <w:rFonts w:hint="eastAsia" w:ascii="CESI仿宋-GB2312" w:hAnsi="CESI仿宋-GB2312" w:eastAsia="CESI仿宋-GB2312" w:cs="CESI仿宋-GB2312"/>
                <w:snapToGrid/>
                <w:kern w:val="0"/>
                <w:sz w:val="21"/>
                <w:szCs w:val="21"/>
                <w:lang w:eastAsia="zh-CN"/>
              </w:rPr>
              <w:t>年</w:t>
            </w:r>
            <w:r>
              <w:rPr>
                <w:rFonts w:hint="eastAsia" w:ascii="CESI仿宋-GB2312" w:hAnsi="CESI仿宋-GB2312" w:eastAsia="CESI仿宋-GB2312" w:cs="CESI仿宋-GB2312"/>
                <w:snapToGrid/>
                <w:kern w:val="0"/>
                <w:sz w:val="21"/>
                <w:szCs w:val="21"/>
                <w:lang w:val="en-US" w:eastAsia="zh-CN"/>
              </w:rPr>
              <w:t>3</w:t>
            </w:r>
            <w:r>
              <w:rPr>
                <w:rFonts w:hint="eastAsia" w:ascii="CESI仿宋-GB2312" w:hAnsi="CESI仿宋-GB2312" w:eastAsia="CESI仿宋-GB2312" w:cs="CESI仿宋-GB2312"/>
                <w:snapToGrid/>
                <w:kern w:val="0"/>
                <w:sz w:val="21"/>
                <w:szCs w:val="21"/>
                <w:lang w:eastAsia="zh-CN"/>
              </w:rPr>
              <w:t>月0.</w:t>
            </w:r>
            <w:r>
              <w:rPr>
                <w:rFonts w:hint="eastAsia" w:ascii="CESI仿宋-GB2312" w:hAnsi="CESI仿宋-GB2312" w:eastAsia="CESI仿宋-GB2312" w:cs="CESI仿宋-GB2312"/>
                <w:snapToGrid/>
                <w:kern w:val="0"/>
                <w:sz w:val="21"/>
                <w:szCs w:val="21"/>
                <w:lang w:val="en-US" w:eastAsia="zh-CN"/>
              </w:rPr>
              <w:t>7</w:t>
            </w:r>
            <w:r>
              <w:rPr>
                <w:rFonts w:hint="eastAsia" w:ascii="CESI仿宋-GB2312" w:hAnsi="CESI仿宋-GB2312" w:eastAsia="CESI仿宋-GB2312" w:cs="CESI仿宋-GB2312"/>
                <w:snapToGrid/>
                <w:kern w:val="0"/>
                <w:sz w:val="21"/>
                <w:szCs w:val="21"/>
                <w:lang w:eastAsia="zh-CN"/>
              </w:rPr>
              <w:t>5米的高分辨率遥感影像</w:t>
            </w:r>
          </w:p>
        </w:tc>
        <w:tc>
          <w:tcPr>
            <w:tcW w:w="1842" w:type="dxa"/>
            <w:vAlign w:val="center"/>
          </w:tcPr>
          <w:p w14:paraId="48CD184E">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城口县规划和</w:t>
            </w:r>
          </w:p>
          <w:p w14:paraId="5476EC74">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自然资源局</w:t>
            </w:r>
          </w:p>
        </w:tc>
        <w:tc>
          <w:tcPr>
            <w:tcW w:w="933" w:type="dxa"/>
            <w:vAlign w:val="center"/>
          </w:tcPr>
          <w:p w14:paraId="4CAE5A26">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tif</w:t>
            </w:r>
          </w:p>
        </w:tc>
      </w:tr>
      <w:tr w14:paraId="77BAA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05" w:type="dxa"/>
            <w:vAlign w:val="center"/>
          </w:tcPr>
          <w:p w14:paraId="714A89A7">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3</w:t>
            </w:r>
          </w:p>
        </w:tc>
        <w:tc>
          <w:tcPr>
            <w:tcW w:w="4820" w:type="dxa"/>
            <w:vAlign w:val="center"/>
          </w:tcPr>
          <w:p w14:paraId="0DAC7A10">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城口县5米分辨率数字高程模型数据</w:t>
            </w:r>
          </w:p>
        </w:tc>
        <w:tc>
          <w:tcPr>
            <w:tcW w:w="1842" w:type="dxa"/>
            <w:vAlign w:val="center"/>
          </w:tcPr>
          <w:p w14:paraId="01E6A7A9">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城口县规划和</w:t>
            </w:r>
          </w:p>
          <w:p w14:paraId="3F396B19">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自然资源局</w:t>
            </w:r>
          </w:p>
        </w:tc>
        <w:tc>
          <w:tcPr>
            <w:tcW w:w="933" w:type="dxa"/>
            <w:vAlign w:val="center"/>
          </w:tcPr>
          <w:p w14:paraId="63611CA3">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tif</w:t>
            </w:r>
          </w:p>
        </w:tc>
      </w:tr>
      <w:tr w14:paraId="29360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05" w:type="dxa"/>
            <w:vAlign w:val="center"/>
          </w:tcPr>
          <w:p w14:paraId="4FDBB60F">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val="en-US" w:eastAsia="zh-CN"/>
              </w:rPr>
              <w:t>4</w:t>
            </w:r>
          </w:p>
        </w:tc>
        <w:tc>
          <w:tcPr>
            <w:tcW w:w="4820" w:type="dxa"/>
            <w:vAlign w:val="center"/>
          </w:tcPr>
          <w:p w14:paraId="25C16D9F">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城口县“三区三线”成果（耕地保护红线、永久基本农田、生态保护红线、城镇开发边界）</w:t>
            </w:r>
          </w:p>
        </w:tc>
        <w:tc>
          <w:tcPr>
            <w:tcW w:w="1842" w:type="dxa"/>
            <w:vAlign w:val="center"/>
          </w:tcPr>
          <w:p w14:paraId="0610EF82">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城口县规划和</w:t>
            </w:r>
          </w:p>
          <w:p w14:paraId="6B53F58C">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自然资源局</w:t>
            </w:r>
          </w:p>
        </w:tc>
        <w:tc>
          <w:tcPr>
            <w:tcW w:w="933" w:type="dxa"/>
            <w:vAlign w:val="center"/>
          </w:tcPr>
          <w:p w14:paraId="550DCAF3">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r w14:paraId="5D4A4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05" w:type="dxa"/>
            <w:vAlign w:val="center"/>
          </w:tcPr>
          <w:p w14:paraId="6E69013B">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5</w:t>
            </w:r>
          </w:p>
        </w:tc>
        <w:tc>
          <w:tcPr>
            <w:tcW w:w="4820" w:type="dxa"/>
            <w:vAlign w:val="center"/>
          </w:tcPr>
          <w:p w14:paraId="49BE99DA">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城口县国土空间总体规划（2021—2035年）重大项目库、中心城区规划建设用地用海</w:t>
            </w:r>
          </w:p>
        </w:tc>
        <w:tc>
          <w:tcPr>
            <w:tcW w:w="1842" w:type="dxa"/>
            <w:vAlign w:val="center"/>
          </w:tcPr>
          <w:p w14:paraId="26F3F0F9">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城口县规划和</w:t>
            </w:r>
          </w:p>
          <w:p w14:paraId="30726C2B">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自然资源局</w:t>
            </w:r>
          </w:p>
        </w:tc>
        <w:tc>
          <w:tcPr>
            <w:tcW w:w="933" w:type="dxa"/>
            <w:vAlign w:val="center"/>
          </w:tcPr>
          <w:p w14:paraId="4EDD7B5C">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r w14:paraId="307E3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5" w:type="dxa"/>
            <w:shd w:val="clear" w:color="auto" w:fill="auto"/>
            <w:vAlign w:val="center"/>
          </w:tcPr>
          <w:p w14:paraId="3A6858BE">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color w:val="000000"/>
                <w:kern w:val="0"/>
                <w:sz w:val="21"/>
                <w:szCs w:val="21"/>
                <w:lang w:val="en-US" w:eastAsia="zh-CN" w:bidi="ar-SA"/>
              </w:rPr>
            </w:pPr>
            <w:r>
              <w:rPr>
                <w:rFonts w:hint="eastAsia" w:ascii="CESI仿宋-GB2312" w:hAnsi="CESI仿宋-GB2312" w:eastAsia="CESI仿宋-GB2312" w:cs="CESI仿宋-GB2312"/>
                <w:snapToGrid/>
                <w:kern w:val="0"/>
                <w:sz w:val="21"/>
                <w:szCs w:val="21"/>
                <w:lang w:eastAsia="zh-CN"/>
              </w:rPr>
              <w:t>6</w:t>
            </w:r>
          </w:p>
        </w:tc>
        <w:tc>
          <w:tcPr>
            <w:tcW w:w="4820" w:type="dxa"/>
            <w:vAlign w:val="center"/>
          </w:tcPr>
          <w:p w14:paraId="6CA43283">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城口县耕地后备资源数据</w:t>
            </w:r>
          </w:p>
        </w:tc>
        <w:tc>
          <w:tcPr>
            <w:tcW w:w="1842" w:type="dxa"/>
            <w:vAlign w:val="center"/>
          </w:tcPr>
          <w:p w14:paraId="7077ADEF">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城口县规划和</w:t>
            </w:r>
          </w:p>
          <w:p w14:paraId="0BF4E460">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自然资源局</w:t>
            </w:r>
          </w:p>
        </w:tc>
        <w:tc>
          <w:tcPr>
            <w:tcW w:w="933" w:type="dxa"/>
            <w:vAlign w:val="center"/>
          </w:tcPr>
          <w:p w14:paraId="297F031B">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r w14:paraId="34270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705" w:type="dxa"/>
            <w:shd w:val="clear" w:color="auto" w:fill="auto"/>
            <w:vAlign w:val="center"/>
          </w:tcPr>
          <w:p w14:paraId="2D977B0E">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color w:val="000000"/>
                <w:kern w:val="0"/>
                <w:sz w:val="21"/>
                <w:szCs w:val="21"/>
                <w:lang w:val="en-US" w:eastAsia="zh-CN" w:bidi="ar-SA"/>
              </w:rPr>
            </w:pPr>
            <w:r>
              <w:rPr>
                <w:rFonts w:hint="eastAsia" w:ascii="CESI仿宋-GB2312" w:hAnsi="CESI仿宋-GB2312" w:eastAsia="CESI仿宋-GB2312" w:cs="CESI仿宋-GB2312"/>
                <w:snapToGrid/>
                <w:kern w:val="0"/>
                <w:sz w:val="21"/>
                <w:szCs w:val="21"/>
                <w:lang w:val="en-US" w:eastAsia="zh-CN"/>
              </w:rPr>
              <w:t>7</w:t>
            </w:r>
          </w:p>
        </w:tc>
        <w:tc>
          <w:tcPr>
            <w:tcW w:w="4820" w:type="dxa"/>
            <w:vAlign w:val="center"/>
          </w:tcPr>
          <w:p w14:paraId="055103FC">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大中型水库、规划水库矢量数据</w:t>
            </w:r>
          </w:p>
        </w:tc>
        <w:tc>
          <w:tcPr>
            <w:tcW w:w="1842" w:type="dxa"/>
            <w:vAlign w:val="center"/>
          </w:tcPr>
          <w:p w14:paraId="2E9C3E9A">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城口县水利局</w:t>
            </w:r>
          </w:p>
        </w:tc>
        <w:tc>
          <w:tcPr>
            <w:tcW w:w="933" w:type="dxa"/>
            <w:vAlign w:val="center"/>
          </w:tcPr>
          <w:p w14:paraId="17DC4ED6">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r w14:paraId="40714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05" w:type="dxa"/>
            <w:shd w:val="clear" w:color="auto" w:fill="auto"/>
            <w:vAlign w:val="center"/>
          </w:tcPr>
          <w:p w14:paraId="0B29002B">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color w:val="000000"/>
                <w:kern w:val="0"/>
                <w:sz w:val="21"/>
                <w:szCs w:val="21"/>
                <w:lang w:val="en-US" w:eastAsia="zh-CN" w:bidi="ar-SA"/>
              </w:rPr>
            </w:pPr>
            <w:r>
              <w:rPr>
                <w:rFonts w:hint="eastAsia" w:ascii="CESI仿宋-GB2312" w:hAnsi="CESI仿宋-GB2312" w:eastAsia="CESI仿宋-GB2312" w:cs="CESI仿宋-GB2312"/>
                <w:snapToGrid/>
                <w:kern w:val="0"/>
                <w:sz w:val="21"/>
                <w:szCs w:val="21"/>
                <w:lang w:eastAsia="zh-CN"/>
              </w:rPr>
              <w:t>8</w:t>
            </w:r>
          </w:p>
        </w:tc>
        <w:tc>
          <w:tcPr>
            <w:tcW w:w="4820" w:type="dxa"/>
            <w:vAlign w:val="center"/>
          </w:tcPr>
          <w:p w14:paraId="58214AC1">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河道管理范围矢量边界</w:t>
            </w:r>
          </w:p>
        </w:tc>
        <w:tc>
          <w:tcPr>
            <w:tcW w:w="1842" w:type="dxa"/>
            <w:vAlign w:val="center"/>
          </w:tcPr>
          <w:p w14:paraId="68C2B005">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城口县水利局</w:t>
            </w:r>
          </w:p>
        </w:tc>
        <w:tc>
          <w:tcPr>
            <w:tcW w:w="933" w:type="dxa"/>
            <w:vAlign w:val="center"/>
          </w:tcPr>
          <w:p w14:paraId="40D3E47D">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r w14:paraId="56BE8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05" w:type="dxa"/>
            <w:shd w:val="clear" w:color="auto" w:fill="auto"/>
            <w:vAlign w:val="center"/>
          </w:tcPr>
          <w:p w14:paraId="5187B045">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color w:val="000000"/>
                <w:kern w:val="0"/>
                <w:sz w:val="21"/>
                <w:szCs w:val="21"/>
                <w:lang w:val="en-US" w:eastAsia="zh-CN" w:bidi="ar-SA"/>
              </w:rPr>
            </w:pPr>
            <w:r>
              <w:rPr>
                <w:rFonts w:hint="eastAsia" w:ascii="CESI仿宋-GB2312" w:hAnsi="CESI仿宋-GB2312" w:eastAsia="CESI仿宋-GB2312" w:cs="CESI仿宋-GB2312"/>
                <w:snapToGrid/>
                <w:kern w:val="0"/>
                <w:sz w:val="21"/>
                <w:szCs w:val="21"/>
                <w:lang w:eastAsia="zh-CN"/>
              </w:rPr>
              <w:t>9</w:t>
            </w:r>
          </w:p>
        </w:tc>
        <w:tc>
          <w:tcPr>
            <w:tcW w:w="4820" w:type="dxa"/>
            <w:vAlign w:val="center"/>
          </w:tcPr>
          <w:p w14:paraId="03919B00">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水土流失动态监测成果数据</w:t>
            </w:r>
          </w:p>
        </w:tc>
        <w:tc>
          <w:tcPr>
            <w:tcW w:w="1842" w:type="dxa"/>
            <w:vAlign w:val="center"/>
          </w:tcPr>
          <w:p w14:paraId="0DAA5986">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城口县水利局</w:t>
            </w:r>
          </w:p>
        </w:tc>
        <w:tc>
          <w:tcPr>
            <w:tcW w:w="933" w:type="dxa"/>
            <w:vAlign w:val="center"/>
          </w:tcPr>
          <w:p w14:paraId="1A421C14">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r w14:paraId="6C799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05" w:type="dxa"/>
            <w:shd w:val="clear" w:color="auto" w:fill="auto"/>
            <w:vAlign w:val="center"/>
          </w:tcPr>
          <w:p w14:paraId="1D4E2ED1">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color w:val="000000"/>
                <w:kern w:val="0"/>
                <w:sz w:val="21"/>
                <w:szCs w:val="21"/>
                <w:lang w:val="en-US" w:eastAsia="zh-CN" w:bidi="ar-SA"/>
              </w:rPr>
            </w:pPr>
            <w:r>
              <w:rPr>
                <w:rFonts w:hint="eastAsia" w:ascii="CESI仿宋-GB2312" w:hAnsi="CESI仿宋-GB2312" w:eastAsia="CESI仿宋-GB2312" w:cs="CESI仿宋-GB2312"/>
                <w:snapToGrid/>
                <w:kern w:val="0"/>
                <w:sz w:val="21"/>
                <w:szCs w:val="21"/>
                <w:lang w:eastAsia="zh-CN"/>
              </w:rPr>
              <w:t>10</w:t>
            </w:r>
          </w:p>
        </w:tc>
        <w:tc>
          <w:tcPr>
            <w:tcW w:w="4820" w:type="dxa"/>
            <w:vAlign w:val="center"/>
          </w:tcPr>
          <w:p w14:paraId="4C820DF1">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自然保护地矢量范围</w:t>
            </w:r>
          </w:p>
        </w:tc>
        <w:tc>
          <w:tcPr>
            <w:tcW w:w="1842" w:type="dxa"/>
            <w:vAlign w:val="center"/>
          </w:tcPr>
          <w:p w14:paraId="6717C3FB">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城口县林业局</w:t>
            </w:r>
          </w:p>
        </w:tc>
        <w:tc>
          <w:tcPr>
            <w:tcW w:w="933" w:type="dxa"/>
            <w:vAlign w:val="center"/>
          </w:tcPr>
          <w:p w14:paraId="09FEA2FC">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r w14:paraId="128D7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5" w:type="dxa"/>
            <w:shd w:val="clear" w:color="auto" w:fill="auto"/>
            <w:vAlign w:val="center"/>
          </w:tcPr>
          <w:p w14:paraId="7EAE21AB">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color w:val="000000"/>
                <w:kern w:val="0"/>
                <w:sz w:val="21"/>
                <w:szCs w:val="21"/>
                <w:lang w:val="en-US" w:eastAsia="zh-CN" w:bidi="ar-SA"/>
              </w:rPr>
            </w:pPr>
            <w:r>
              <w:rPr>
                <w:rFonts w:hint="eastAsia" w:ascii="CESI仿宋-GB2312" w:hAnsi="CESI仿宋-GB2312" w:eastAsia="CESI仿宋-GB2312" w:cs="CESI仿宋-GB2312"/>
                <w:snapToGrid/>
                <w:kern w:val="0"/>
                <w:sz w:val="21"/>
                <w:szCs w:val="21"/>
                <w:lang w:eastAsia="zh-CN"/>
              </w:rPr>
              <w:t>11</w:t>
            </w:r>
          </w:p>
        </w:tc>
        <w:tc>
          <w:tcPr>
            <w:tcW w:w="4820" w:type="dxa"/>
            <w:vAlign w:val="center"/>
          </w:tcPr>
          <w:p w14:paraId="481592CF">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2023年城口县森林资源专项调查数据</w:t>
            </w:r>
          </w:p>
        </w:tc>
        <w:tc>
          <w:tcPr>
            <w:tcW w:w="1842" w:type="dxa"/>
            <w:vAlign w:val="center"/>
          </w:tcPr>
          <w:p w14:paraId="5DC85B8B">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城口县林业局</w:t>
            </w:r>
          </w:p>
        </w:tc>
        <w:tc>
          <w:tcPr>
            <w:tcW w:w="933" w:type="dxa"/>
            <w:vAlign w:val="center"/>
          </w:tcPr>
          <w:p w14:paraId="2DD65A39">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r w14:paraId="47ED6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705" w:type="dxa"/>
            <w:shd w:val="clear" w:color="auto" w:fill="auto"/>
            <w:vAlign w:val="center"/>
          </w:tcPr>
          <w:p w14:paraId="59D0DAB6">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color w:val="000000"/>
                <w:kern w:val="0"/>
                <w:sz w:val="21"/>
                <w:szCs w:val="21"/>
                <w:lang w:val="en-US" w:eastAsia="zh-CN" w:bidi="ar-SA"/>
              </w:rPr>
            </w:pPr>
            <w:r>
              <w:rPr>
                <w:rFonts w:hint="eastAsia" w:ascii="CESI仿宋-GB2312" w:hAnsi="CESI仿宋-GB2312" w:eastAsia="CESI仿宋-GB2312" w:cs="CESI仿宋-GB2312"/>
                <w:snapToGrid/>
                <w:kern w:val="0"/>
                <w:sz w:val="21"/>
                <w:szCs w:val="21"/>
                <w:lang w:eastAsia="zh-CN"/>
              </w:rPr>
              <w:t>12</w:t>
            </w:r>
          </w:p>
        </w:tc>
        <w:tc>
          <w:tcPr>
            <w:tcW w:w="4820" w:type="dxa"/>
            <w:vAlign w:val="center"/>
          </w:tcPr>
          <w:p w14:paraId="17A4D60A">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饮用水水源一级保护区分布数据</w:t>
            </w:r>
          </w:p>
        </w:tc>
        <w:tc>
          <w:tcPr>
            <w:tcW w:w="1842" w:type="dxa"/>
            <w:vAlign w:val="center"/>
          </w:tcPr>
          <w:p w14:paraId="76A8AEDD">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城口县生态环境局</w:t>
            </w:r>
          </w:p>
        </w:tc>
        <w:tc>
          <w:tcPr>
            <w:tcW w:w="933" w:type="dxa"/>
            <w:vAlign w:val="center"/>
          </w:tcPr>
          <w:p w14:paraId="6DCC022C">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shp</w:t>
            </w:r>
          </w:p>
        </w:tc>
      </w:tr>
    </w:tbl>
    <w:p w14:paraId="5AFE74B2">
      <w:pPr>
        <w:keepNext w:val="0"/>
        <w:keepLines w:val="0"/>
        <w:pageBreakBefore w:val="0"/>
        <w:widowControl/>
        <w:kinsoku/>
        <w:wordWrap/>
        <w:overflowPunct/>
        <w:topLinePunct w:val="0"/>
        <w:autoSpaceDE w:val="0"/>
        <w:autoSpaceDN w:val="0"/>
        <w:bidi w:val="0"/>
        <w:adjustRightInd w:val="0"/>
        <w:snapToGrid w:val="0"/>
        <w:jc w:val="both"/>
        <w:rPr>
          <w:rFonts w:ascii="Arial"/>
          <w:color w:val="auto"/>
          <w:sz w:val="21"/>
        </w:rPr>
      </w:pPr>
    </w:p>
    <w:p w14:paraId="1909D574">
      <w:pPr>
        <w:keepNext w:val="0"/>
        <w:keepLines w:val="0"/>
        <w:pageBreakBefore w:val="0"/>
        <w:widowControl/>
        <w:kinsoku/>
        <w:wordWrap/>
        <w:overflowPunct/>
        <w:topLinePunct w:val="0"/>
        <w:autoSpaceDE w:val="0"/>
        <w:autoSpaceDN w:val="0"/>
        <w:bidi w:val="0"/>
        <w:adjustRightInd w:val="0"/>
        <w:snapToGrid w:val="0"/>
        <w:jc w:val="both"/>
        <w:rPr>
          <w:rFonts w:ascii="Arial" w:hAnsi="Arial" w:eastAsia="Arial" w:cs="Arial"/>
          <w:color w:val="auto"/>
          <w:sz w:val="21"/>
          <w:szCs w:val="21"/>
        </w:rPr>
        <w:sectPr>
          <w:footerReference r:id="rId12" w:type="default"/>
          <w:pgSz w:w="11907" w:h="16839"/>
          <w:pgMar w:top="1440" w:right="1800" w:bottom="1440" w:left="1800" w:header="0" w:footer="1624" w:gutter="0"/>
          <w:pgNumType w:fmt="decimal"/>
          <w:cols w:space="720" w:num="1"/>
        </w:sectPr>
      </w:pPr>
    </w:p>
    <w:p w14:paraId="37CBC239">
      <w:pPr>
        <w:pStyle w:val="4"/>
        <w:bidi w:val="0"/>
        <w:rPr>
          <w:rFonts w:hint="eastAsia"/>
          <w:lang w:eastAsia="zh-CN"/>
        </w:rPr>
      </w:pPr>
      <w:bookmarkStart w:id="19" w:name="_Toc25306"/>
      <w:r>
        <w:rPr>
          <w:rFonts w:hint="eastAsia"/>
          <w:lang w:eastAsia="zh-CN"/>
        </w:rPr>
        <w:t>（</w:t>
      </w:r>
      <w:r>
        <w:rPr>
          <w:rFonts w:hint="eastAsia"/>
          <w:lang w:val="en-US" w:eastAsia="zh-CN"/>
        </w:rPr>
        <w:t>二</w:t>
      </w:r>
      <w:r>
        <w:rPr>
          <w:rFonts w:hint="eastAsia"/>
          <w:lang w:eastAsia="zh-CN"/>
        </w:rPr>
        <w:t>）划定具体过程</w:t>
      </w:r>
      <w:bookmarkEnd w:id="19"/>
    </w:p>
    <w:p w14:paraId="4E80EE10">
      <w:pPr>
        <w:pStyle w:val="6"/>
        <w:keepNext w:val="0"/>
        <w:keepLines w:val="0"/>
        <w:pageBreakBefore w:val="0"/>
        <w:widowControl w:val="0"/>
        <w:kinsoku/>
        <w:wordWrap/>
        <w:overflowPunct/>
        <w:topLinePunct w:val="0"/>
        <w:autoSpaceDE/>
        <w:autoSpaceDN/>
        <w:bidi w:val="0"/>
        <w:adjustRightInd/>
        <w:snapToGrid/>
        <w:spacing w:afterLines="0"/>
        <w:textAlignment w:val="auto"/>
        <w:rPr>
          <w:rFonts w:hint="eastAsia"/>
          <w:lang w:val="en-US" w:eastAsia="zh-CN"/>
        </w:rPr>
      </w:pPr>
      <w:bookmarkStart w:id="20" w:name="_Toc3958"/>
      <w:r>
        <w:rPr>
          <w:rFonts w:hint="eastAsia"/>
          <w:lang w:val="en-US" w:eastAsia="zh-CN"/>
        </w:rPr>
        <w:t>1.数据预处理</w:t>
      </w:r>
      <w:bookmarkEnd w:id="20"/>
    </w:p>
    <w:p w14:paraId="747D1461">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划定前需对收集的基础资料进行预处理，包括数据合并、筛选、提取、清洗、更新等操作。数据预处理具体处理过程主要包括：</w:t>
      </w:r>
    </w:p>
    <w:p w14:paraId="61724B34">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1）林地、草地和裸土地图斑提取与融合。林地包括乔木林地、灌木林地和竹林地等二级土地利用类型，使用ArcGIS软件将所有二级地类融合为一级地类，合并后空间相邻的二级地类之间的地类边界将消失，而形成空间独立的林地、草地和裸土地图斑，便于依据《技术指南》确定大于5</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hm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的禁垦图斑，同时预处理后能满足《技术指南》的建库要求；</w:t>
      </w:r>
    </w:p>
    <w:p w14:paraId="158ED21A">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（2）多个自然保护地的合并与更新。所收集的自然保护地，为多个单独矢量地块，因此需要合并，便于整体分析，并且部分自然保护地边界范围已经更新，所以需要使用最新范围对数据进行更新；</w:t>
      </w:r>
    </w:p>
    <w:p w14:paraId="4837E63F">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3）25°及以上坡度范围提取。按照《中华人民共和国水土保持法》《重庆市实施〈中华人民共和国水土保持法〉办法》，提取25°及以上坡度范围为禁垦范围。“三调”原始坡度分级数据（PDT）存在网格分割的现象，因此需处理为连续的坡度分级数据图层，排除数据分块、分区的干扰，形成完整且连续的25°及以上坡度范围。</w:t>
      </w:r>
    </w:p>
    <w:p w14:paraId="22EC8A2D">
      <w:pPr>
        <w:pStyle w:val="6"/>
        <w:bidi w:val="0"/>
        <w:rPr>
          <w:rFonts w:hint="default"/>
          <w:lang w:val="en-US"/>
        </w:rPr>
      </w:pPr>
      <w:bookmarkStart w:id="21" w:name="_Toc493"/>
      <w:r>
        <w:rPr>
          <w:rFonts w:hint="eastAsia"/>
          <w:lang w:val="en-US" w:eastAsia="zh-CN"/>
        </w:rPr>
        <w:t>2.禁止开垦陡坡地范围划定</w:t>
      </w:r>
      <w:bookmarkEnd w:id="21"/>
    </w:p>
    <w:p w14:paraId="1F17B236">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坡度分级数据根据水利部《技术指南》可以使用数字高程模型计算生成，但利用DEM实际提取出的坡度栅格在空间上呈现破碎、不连续的状态，而“三调”成果坡度分级数据的完整性更高，且更符合城口县实际的坡度分布情况，便于划定工作开展，因此本次划定直接使用“三调”成果中的PDT矢量图层。</w:t>
      </w:r>
    </w:p>
    <w:p w14:paraId="083031B8">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1至5级坡度等级分布情况如图3-1所示，坡度5级主要分布于城口县东南部、南部和西北部，即图3-1中深红色带状区域；坡度等级的划分参照第三次全国国土调查技术规程所列标准，详见表3-2。经统计，城口县坡度等级在1级（≤2°）的土地总面积共计</w:t>
      </w:r>
      <w:r>
        <w:rPr>
          <w:rFonts w:hint="eastAsia" w:ascii="Times New Roman" w:hAnsi="Times New Roman" w:eastAsia="方正仿宋_GB2312" w:cs="方正仿宋_GB2312"/>
          <w:b w:val="0"/>
          <w:bCs w:val="0"/>
          <w:snapToGrid/>
          <w:color w:val="auto"/>
          <w:kern w:val="2"/>
          <w:sz w:val="32"/>
          <w:szCs w:val="32"/>
          <w:highlight w:val="none"/>
          <w:lang w:val="en-US" w:eastAsia="zh-CN"/>
        </w:rPr>
        <w:t>13.30</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，2级（2°~6°）</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21.54</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，3级（6°~15°）</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91.40</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，4级（15°~25°）</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215.66</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，坡度等级在5级以上的（≥25°）土地面积共</w:t>
      </w:r>
      <w:r>
        <w:rPr>
          <w:rFonts w:hint="eastAsia" w:ascii="Times New Roman" w:hAnsi="Times New Roman" w:eastAsia="方正仿宋_GB2312" w:cs="方正仿宋_GB2312"/>
          <w:b w:val="0"/>
          <w:bCs w:val="0"/>
          <w:snapToGrid/>
          <w:color w:val="auto"/>
          <w:kern w:val="2"/>
          <w:sz w:val="32"/>
          <w:szCs w:val="32"/>
          <w:highlight w:val="none"/>
          <w:lang w:val="en-US" w:eastAsia="zh-CN"/>
        </w:rPr>
        <w:t>2947.62</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，25°以上陡坡地面积占全县国土面积</w:t>
      </w:r>
      <w:r>
        <w:rPr>
          <w:rFonts w:hint="eastAsia" w:ascii="Times New Roman" w:hAnsi="Times New Roman" w:eastAsia="方正仿宋_GB2312" w:cs="方正仿宋_GB2312"/>
          <w:b w:val="0"/>
          <w:bCs w:val="0"/>
          <w:snapToGrid/>
          <w:color w:val="auto"/>
          <w:kern w:val="2"/>
          <w:sz w:val="32"/>
          <w:szCs w:val="32"/>
          <w:highlight w:val="none"/>
          <w:lang w:val="en-US" w:eastAsia="zh-CN"/>
        </w:rPr>
        <w:t>89.61</w:t>
      </w:r>
      <w:r>
        <w:rPr>
          <w:rFonts w:hint="eastAsia" w:ascii="Times New Roman" w:hAnsi="Times New Roman" w:eastAsia="方正仿宋_GB2312" w:cs="方正仿宋_GB2312"/>
          <w:b w:val="0"/>
          <w:bCs w:val="0"/>
          <w:snapToGrid/>
          <w:color w:val="auto"/>
          <w:kern w:val="2"/>
          <w:sz w:val="32"/>
          <w:szCs w:val="32"/>
          <w:highlight w:val="none"/>
          <w:lang w:eastAsia="zh-CN"/>
        </w:rPr>
        <w:t>%。</w:t>
      </w:r>
    </w:p>
    <w:p w14:paraId="05262951">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表3-2坡度分级代码和对应土地面积</w:t>
      </w:r>
    </w:p>
    <w:p w14:paraId="5CBC8572">
      <w:pPr>
        <w:keepNext w:val="0"/>
        <w:keepLines w:val="0"/>
        <w:pageBreakBefore w:val="0"/>
        <w:widowControl/>
        <w:kinsoku/>
        <w:wordWrap/>
        <w:overflowPunct/>
        <w:topLinePunct w:val="0"/>
        <w:autoSpaceDE w:val="0"/>
        <w:autoSpaceDN w:val="0"/>
        <w:bidi w:val="0"/>
        <w:adjustRightInd w:val="0"/>
        <w:snapToGrid w:val="0"/>
        <w:spacing w:line="209" w:lineRule="exact"/>
        <w:jc w:val="both"/>
        <w:rPr>
          <w:color w:val="auto"/>
        </w:rPr>
      </w:pPr>
    </w:p>
    <w:tbl>
      <w:tblPr>
        <w:tblStyle w:val="15"/>
        <w:tblW w:w="8300"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2"/>
        <w:gridCol w:w="971"/>
        <w:gridCol w:w="1182"/>
        <w:gridCol w:w="1315"/>
        <w:gridCol w:w="1449"/>
        <w:gridCol w:w="1111"/>
      </w:tblGrid>
      <w:tr w14:paraId="7DE99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272" w:type="dxa"/>
            <w:vAlign w:val="center"/>
          </w:tcPr>
          <w:p w14:paraId="7F1FA756">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坡度分级</w:t>
            </w:r>
          </w:p>
        </w:tc>
        <w:tc>
          <w:tcPr>
            <w:tcW w:w="971" w:type="dxa"/>
            <w:vAlign w:val="center"/>
          </w:tcPr>
          <w:p w14:paraId="034F08F1">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≤2°</w:t>
            </w:r>
          </w:p>
        </w:tc>
        <w:tc>
          <w:tcPr>
            <w:tcW w:w="1182" w:type="dxa"/>
            <w:vAlign w:val="center"/>
          </w:tcPr>
          <w:p w14:paraId="559467C7">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2°~6°</w:t>
            </w:r>
          </w:p>
        </w:tc>
        <w:tc>
          <w:tcPr>
            <w:tcW w:w="1315" w:type="dxa"/>
            <w:vAlign w:val="center"/>
          </w:tcPr>
          <w:p w14:paraId="555E5B61">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6°~15°</w:t>
            </w:r>
          </w:p>
        </w:tc>
        <w:tc>
          <w:tcPr>
            <w:tcW w:w="1449" w:type="dxa"/>
            <w:vAlign w:val="center"/>
          </w:tcPr>
          <w:p w14:paraId="5133B3AC">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15°~25°</w:t>
            </w:r>
          </w:p>
        </w:tc>
        <w:tc>
          <w:tcPr>
            <w:tcW w:w="1111" w:type="dxa"/>
            <w:vAlign w:val="center"/>
          </w:tcPr>
          <w:p w14:paraId="372F6CA1">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≥25°</w:t>
            </w:r>
          </w:p>
        </w:tc>
      </w:tr>
      <w:tr w14:paraId="7287A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272" w:type="dxa"/>
            <w:vAlign w:val="center"/>
          </w:tcPr>
          <w:p w14:paraId="54A739E1">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坡度级代码</w:t>
            </w:r>
          </w:p>
        </w:tc>
        <w:tc>
          <w:tcPr>
            <w:tcW w:w="971" w:type="dxa"/>
            <w:vAlign w:val="center"/>
          </w:tcPr>
          <w:p w14:paraId="748220F9">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1</w:t>
            </w:r>
          </w:p>
        </w:tc>
        <w:tc>
          <w:tcPr>
            <w:tcW w:w="1182" w:type="dxa"/>
            <w:vAlign w:val="center"/>
          </w:tcPr>
          <w:p w14:paraId="0612D967">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2</w:t>
            </w:r>
          </w:p>
        </w:tc>
        <w:tc>
          <w:tcPr>
            <w:tcW w:w="1315" w:type="dxa"/>
            <w:vAlign w:val="center"/>
          </w:tcPr>
          <w:p w14:paraId="52BFFCA0">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3</w:t>
            </w:r>
          </w:p>
        </w:tc>
        <w:tc>
          <w:tcPr>
            <w:tcW w:w="1449" w:type="dxa"/>
            <w:vAlign w:val="center"/>
          </w:tcPr>
          <w:p w14:paraId="00330F2F">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4</w:t>
            </w:r>
          </w:p>
        </w:tc>
        <w:tc>
          <w:tcPr>
            <w:tcW w:w="1111" w:type="dxa"/>
            <w:vAlign w:val="center"/>
          </w:tcPr>
          <w:p w14:paraId="22A97DE0">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5</w:t>
            </w:r>
          </w:p>
        </w:tc>
      </w:tr>
      <w:tr w14:paraId="30884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272" w:type="dxa"/>
            <w:vAlign w:val="center"/>
          </w:tcPr>
          <w:p w14:paraId="5F2FCB77">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土地面积（km</w:t>
            </w:r>
            <w:r>
              <w:rPr>
                <w:rFonts w:hint="eastAsia" w:ascii="CESI仿宋-GB2312" w:hAnsi="CESI仿宋-GB2312" w:eastAsia="CESI仿宋-GB2312" w:cs="CESI仿宋-GB2312"/>
                <w:snapToGrid/>
                <w:kern w:val="0"/>
                <w:sz w:val="21"/>
                <w:szCs w:val="21"/>
                <w:vertAlign w:val="superscript"/>
                <w:lang w:eastAsia="zh-CN"/>
              </w:rPr>
              <w:t>2</w:t>
            </w:r>
            <w:r>
              <w:rPr>
                <w:rFonts w:hint="eastAsia" w:ascii="CESI仿宋-GB2312" w:hAnsi="CESI仿宋-GB2312" w:eastAsia="CESI仿宋-GB2312" w:cs="CESI仿宋-GB2312"/>
                <w:snapToGrid/>
                <w:kern w:val="0"/>
                <w:sz w:val="21"/>
                <w:szCs w:val="21"/>
                <w:lang w:eastAsia="zh-CN"/>
              </w:rPr>
              <w:t>）</w:t>
            </w:r>
          </w:p>
        </w:tc>
        <w:tc>
          <w:tcPr>
            <w:tcW w:w="971" w:type="dxa"/>
            <w:vAlign w:val="center"/>
          </w:tcPr>
          <w:p w14:paraId="3022430C">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13.30</w:t>
            </w:r>
          </w:p>
        </w:tc>
        <w:tc>
          <w:tcPr>
            <w:tcW w:w="1182" w:type="dxa"/>
            <w:vAlign w:val="center"/>
          </w:tcPr>
          <w:p w14:paraId="6AB09ED9">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21.54</w:t>
            </w:r>
          </w:p>
        </w:tc>
        <w:tc>
          <w:tcPr>
            <w:tcW w:w="1315" w:type="dxa"/>
            <w:vAlign w:val="center"/>
          </w:tcPr>
          <w:p w14:paraId="415111ED">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91.40</w:t>
            </w:r>
          </w:p>
        </w:tc>
        <w:tc>
          <w:tcPr>
            <w:tcW w:w="1449" w:type="dxa"/>
            <w:vAlign w:val="center"/>
          </w:tcPr>
          <w:p w14:paraId="66060DAE">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215.66</w:t>
            </w:r>
          </w:p>
        </w:tc>
        <w:tc>
          <w:tcPr>
            <w:tcW w:w="1111" w:type="dxa"/>
            <w:vAlign w:val="center"/>
          </w:tcPr>
          <w:p w14:paraId="646792BC">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2947.62</w:t>
            </w:r>
          </w:p>
        </w:tc>
      </w:tr>
    </w:tbl>
    <w:p w14:paraId="3986A55F">
      <w:pPr>
        <w:keepNext w:val="0"/>
        <w:keepLines w:val="0"/>
        <w:pageBreakBefore w:val="0"/>
        <w:widowControl/>
        <w:kinsoku/>
        <w:wordWrap/>
        <w:overflowPunct/>
        <w:topLinePunct w:val="0"/>
        <w:autoSpaceDE w:val="0"/>
        <w:autoSpaceDN w:val="0"/>
        <w:bidi w:val="0"/>
        <w:adjustRightInd w:val="0"/>
        <w:snapToGrid w:val="0"/>
        <w:spacing w:line="262" w:lineRule="auto"/>
        <w:jc w:val="center"/>
      </w:pPr>
      <w:r>
        <w:drawing>
          <wp:inline distT="0" distB="0" distL="114300" distR="114300">
            <wp:extent cx="5123815" cy="3624580"/>
            <wp:effectExtent l="0" t="0" r="1206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123815" cy="3624580"/>
                    </a:xfrm>
                    <a:prstGeom prst="rect">
                      <a:avLst/>
                    </a:prstGeom>
                    <a:noFill/>
                    <a:ln>
                      <a:noFill/>
                    </a:ln>
                  </pic:spPr>
                </pic:pic>
              </a:graphicData>
            </a:graphic>
          </wp:inline>
        </w:drawing>
      </w:r>
    </w:p>
    <w:p w14:paraId="6B4C7C9B">
      <w:pPr>
        <w:keepNext w:val="0"/>
        <w:keepLines w:val="0"/>
        <w:pageBreakBefore w:val="0"/>
        <w:widowControl/>
        <w:kinsoku/>
        <w:wordWrap/>
        <w:overflowPunct/>
        <w:topLinePunct w:val="0"/>
        <w:autoSpaceDE w:val="0"/>
        <w:autoSpaceDN w:val="0"/>
        <w:bidi w:val="0"/>
        <w:adjustRightInd w:val="0"/>
        <w:snapToGrid w:val="0"/>
        <w:spacing w:line="262" w:lineRule="auto"/>
        <w:jc w:val="center"/>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图3-1城口县不同坡度等级分布</w:t>
      </w:r>
    </w:p>
    <w:p w14:paraId="1C51C02E">
      <w:pPr>
        <w:pStyle w:val="7"/>
        <w:bidi w:val="0"/>
      </w:pPr>
      <w:r>
        <w:rPr>
          <w:rFonts w:hint="eastAsia"/>
          <w:lang w:val="en-US" w:eastAsia="zh-CN"/>
        </w:rPr>
        <w:t>（1）陡坡地类提取</w:t>
      </w:r>
    </w:p>
    <w:p w14:paraId="7C3875D0">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禁止开垦陡坡地类的提取，主要利用5级坡度矢量范围与合并后的林地、草地和裸土地图斑矢量数据进行叠加分析，提取全县坡度在25°以上的林地、草地和裸土地范围图斑，提取过程如图3-2所示。经统计分析，</w:t>
      </w:r>
      <w:r>
        <w:rPr>
          <w:rFonts w:hint="eastAsia" w:ascii="Times New Roman" w:hAnsi="Times New Roman" w:eastAsia="方正仿宋_GB2312" w:cs="方正仿宋_GB2312"/>
          <w:b w:val="0"/>
          <w:bCs w:val="0"/>
          <w:snapToGrid/>
          <w:color w:val="auto"/>
          <w:kern w:val="2"/>
          <w:sz w:val="32"/>
          <w:szCs w:val="32"/>
          <w:highlight w:val="none"/>
          <w:lang w:val="en-US" w:eastAsia="zh-CN"/>
        </w:rPr>
        <w:t>城口县</w:t>
      </w:r>
      <w:r>
        <w:rPr>
          <w:rFonts w:hint="eastAsia" w:ascii="Times New Roman" w:hAnsi="Times New Roman" w:eastAsia="方正仿宋_GB2312" w:cs="方正仿宋_GB2312"/>
          <w:b w:val="0"/>
          <w:bCs w:val="0"/>
          <w:snapToGrid/>
          <w:color w:val="auto"/>
          <w:kern w:val="2"/>
          <w:sz w:val="32"/>
          <w:szCs w:val="32"/>
          <w:highlight w:val="none"/>
          <w:lang w:eastAsia="zh-CN"/>
        </w:rPr>
        <w:t>林地总面积</w:t>
      </w:r>
      <w:r>
        <w:rPr>
          <w:rFonts w:hint="eastAsia" w:ascii="Times New Roman" w:hAnsi="Times New Roman" w:eastAsia="方正仿宋_GB2312" w:cs="方正仿宋_GB2312"/>
          <w:b w:val="0"/>
          <w:bCs w:val="0"/>
          <w:snapToGrid/>
          <w:color w:val="auto"/>
          <w:kern w:val="2"/>
          <w:sz w:val="32"/>
          <w:szCs w:val="32"/>
          <w:highlight w:val="none"/>
          <w:lang w:val="en-US" w:eastAsia="zh-CN"/>
        </w:rPr>
        <w:t>3027.47</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，草地总面积</w:t>
      </w:r>
      <w:r>
        <w:rPr>
          <w:rFonts w:hint="eastAsia" w:ascii="Times New Roman" w:hAnsi="Times New Roman" w:eastAsia="方正仿宋_GB2312" w:cs="方正仿宋_GB2312"/>
          <w:b w:val="0"/>
          <w:bCs w:val="0"/>
          <w:snapToGrid/>
          <w:color w:val="auto"/>
          <w:kern w:val="2"/>
          <w:sz w:val="32"/>
          <w:szCs w:val="32"/>
          <w:highlight w:val="none"/>
          <w:lang w:val="en-US" w:eastAsia="zh-CN"/>
        </w:rPr>
        <w:t>23.75</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，裸土地总面积0.</w:t>
      </w:r>
      <w:r>
        <w:rPr>
          <w:rFonts w:hint="eastAsia" w:ascii="Times New Roman" w:hAnsi="Times New Roman" w:eastAsia="方正仿宋_GB2312" w:cs="方正仿宋_GB2312"/>
          <w:b w:val="0"/>
          <w:bCs w:val="0"/>
          <w:snapToGrid/>
          <w:color w:val="auto"/>
          <w:kern w:val="2"/>
          <w:sz w:val="32"/>
          <w:szCs w:val="32"/>
          <w:highlight w:val="none"/>
          <w:lang w:val="en-US" w:eastAsia="zh-CN"/>
        </w:rPr>
        <w:t>25</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；而全县坡度在25°以上的林地、草地和裸土地总面积分别为</w:t>
      </w:r>
      <w:r>
        <w:rPr>
          <w:rFonts w:hint="eastAsia" w:ascii="Times New Roman" w:hAnsi="Times New Roman" w:eastAsia="方正仿宋_GB2312" w:cs="方正仿宋_GB2312"/>
          <w:b w:val="0"/>
          <w:bCs w:val="0"/>
          <w:snapToGrid/>
          <w:color w:val="auto"/>
          <w:kern w:val="2"/>
          <w:sz w:val="32"/>
          <w:szCs w:val="32"/>
          <w:highlight w:val="none"/>
          <w:lang w:val="en-US" w:eastAsia="zh-CN"/>
        </w:rPr>
        <w:t>2267.00</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w:t>
      </w:r>
      <w:r>
        <w:rPr>
          <w:rFonts w:hint="eastAsia" w:ascii="Times New Roman" w:hAnsi="Times New Roman" w:eastAsia="方正仿宋_GB2312" w:cs="方正仿宋_GB2312"/>
          <w:b w:val="0"/>
          <w:bCs w:val="0"/>
          <w:snapToGrid/>
          <w:color w:val="auto"/>
          <w:kern w:val="2"/>
          <w:sz w:val="32"/>
          <w:szCs w:val="32"/>
          <w:highlight w:val="none"/>
          <w:lang w:val="en-US" w:eastAsia="zh-CN"/>
        </w:rPr>
        <w:t>8.39</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、0.</w:t>
      </w:r>
      <w:r>
        <w:rPr>
          <w:rFonts w:hint="eastAsia" w:ascii="Times New Roman" w:hAnsi="Times New Roman" w:eastAsia="方正仿宋_GB2312" w:cs="方正仿宋_GB2312"/>
          <w:b w:val="0"/>
          <w:bCs w:val="0"/>
          <w:snapToGrid/>
          <w:color w:val="auto"/>
          <w:kern w:val="2"/>
          <w:sz w:val="32"/>
          <w:szCs w:val="32"/>
          <w:highlight w:val="none"/>
          <w:lang w:val="en-US" w:eastAsia="zh-CN"/>
        </w:rPr>
        <w:t>0</w:t>
      </w:r>
      <w:r>
        <w:rPr>
          <w:rFonts w:hint="eastAsia" w:ascii="Times New Roman" w:hAnsi="Times New Roman" w:eastAsia="方正仿宋_GB2312" w:cs="方正仿宋_GB2312"/>
          <w:b w:val="0"/>
          <w:bCs w:val="0"/>
          <w:snapToGrid/>
          <w:color w:val="auto"/>
          <w:kern w:val="2"/>
          <w:sz w:val="32"/>
          <w:szCs w:val="32"/>
          <w:highlight w:val="none"/>
          <w:lang w:eastAsia="zh-CN"/>
        </w:rPr>
        <w:t>1</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，25°以上三类土地面积共计</w:t>
      </w:r>
      <w:r>
        <w:rPr>
          <w:rFonts w:hint="eastAsia" w:ascii="Times New Roman" w:hAnsi="Times New Roman" w:eastAsia="方正仿宋_GB2312" w:cs="方正仿宋_GB2312"/>
          <w:b w:val="0"/>
          <w:bCs w:val="0"/>
          <w:snapToGrid/>
          <w:color w:val="auto"/>
          <w:kern w:val="2"/>
          <w:sz w:val="32"/>
          <w:szCs w:val="32"/>
          <w:highlight w:val="none"/>
          <w:lang w:val="en-US" w:eastAsia="zh-CN"/>
        </w:rPr>
        <w:t>2275.40</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，占全县25°以上陡坡地总面积的</w:t>
      </w:r>
      <w:r>
        <w:rPr>
          <w:rFonts w:hint="eastAsia" w:ascii="Times New Roman" w:hAnsi="Times New Roman" w:eastAsia="方正仿宋_GB2312" w:cs="方正仿宋_GB2312"/>
          <w:b w:val="0"/>
          <w:bCs w:val="0"/>
          <w:snapToGrid/>
          <w:color w:val="auto"/>
          <w:kern w:val="2"/>
          <w:sz w:val="32"/>
          <w:szCs w:val="32"/>
          <w:highlight w:val="none"/>
          <w:lang w:val="en-US" w:eastAsia="zh-CN"/>
        </w:rPr>
        <w:t>92.21</w:t>
      </w:r>
      <w:r>
        <w:rPr>
          <w:rFonts w:hint="eastAsia" w:ascii="Times New Roman" w:hAnsi="Times New Roman" w:eastAsia="方正仿宋_GB2312" w:cs="方正仿宋_GB2312"/>
          <w:b w:val="0"/>
          <w:bCs w:val="0"/>
          <w:snapToGrid/>
          <w:color w:val="auto"/>
          <w:kern w:val="2"/>
          <w:sz w:val="32"/>
          <w:szCs w:val="32"/>
          <w:highlight w:val="none"/>
          <w:lang w:eastAsia="zh-CN"/>
        </w:rPr>
        <w:t>%，占全县国土总面积</w:t>
      </w:r>
      <w:r>
        <w:rPr>
          <w:rFonts w:hint="eastAsia" w:ascii="Times New Roman" w:hAnsi="Times New Roman" w:eastAsia="方正仿宋_GB2312" w:cs="方正仿宋_GB2312"/>
          <w:b w:val="0"/>
          <w:bCs w:val="0"/>
          <w:snapToGrid/>
          <w:color w:val="auto"/>
          <w:kern w:val="2"/>
          <w:sz w:val="32"/>
          <w:szCs w:val="32"/>
          <w:highlight w:val="none"/>
          <w:lang w:val="en-US" w:eastAsia="zh-CN"/>
        </w:rPr>
        <w:t>69.18</w:t>
      </w:r>
      <w:r>
        <w:rPr>
          <w:rFonts w:hint="eastAsia" w:ascii="Times New Roman" w:hAnsi="Times New Roman" w:eastAsia="方正仿宋_GB2312" w:cs="方正仿宋_GB2312"/>
          <w:b w:val="0"/>
          <w:bCs w:val="0"/>
          <w:snapToGrid/>
          <w:color w:val="auto"/>
          <w:kern w:val="2"/>
          <w:sz w:val="32"/>
          <w:szCs w:val="32"/>
          <w:highlight w:val="none"/>
          <w:lang w:eastAsia="zh-CN"/>
        </w:rPr>
        <w:t>%。</w:t>
      </w:r>
    </w:p>
    <w:p w14:paraId="0C686463">
      <w:pPr>
        <w:keepNext w:val="0"/>
        <w:keepLines w:val="0"/>
        <w:pageBreakBefore w:val="0"/>
        <w:widowControl/>
        <w:kinsoku/>
        <w:wordWrap/>
        <w:overflowPunct/>
        <w:topLinePunct w:val="0"/>
        <w:autoSpaceDE w:val="0"/>
        <w:autoSpaceDN w:val="0"/>
        <w:bidi w:val="0"/>
        <w:adjustRightInd w:val="0"/>
        <w:snapToGrid w:val="0"/>
        <w:spacing w:line="2627" w:lineRule="exact"/>
        <w:ind w:firstLine="14"/>
        <w:jc w:val="both"/>
        <w:rPr>
          <w:color w:val="215968" w:themeColor="accent5" w:themeShade="80"/>
        </w:rPr>
      </w:pPr>
      <w:r>
        <w:rPr>
          <w:color w:val="215968" w:themeColor="accent5" w:themeShade="80"/>
          <w:position w:val="-52"/>
        </w:rPr>
        <w:drawing>
          <wp:inline distT="0" distB="0" distL="0" distR="0">
            <wp:extent cx="5270500" cy="16681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0"/>
                    <a:stretch>
                      <a:fillRect/>
                    </a:stretch>
                  </pic:blipFill>
                  <pic:spPr>
                    <a:xfrm>
                      <a:off x="0" y="0"/>
                      <a:ext cx="5270500" cy="1668145"/>
                    </a:xfrm>
                    <a:prstGeom prst="rect">
                      <a:avLst/>
                    </a:prstGeom>
                  </pic:spPr>
                </pic:pic>
              </a:graphicData>
            </a:graphic>
          </wp:inline>
        </w:drawing>
      </w:r>
    </w:p>
    <w:p w14:paraId="14BFA3BE">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图3-2陡坡地类提取流程</w:t>
      </w:r>
    </w:p>
    <w:p w14:paraId="146CE115">
      <w:pPr>
        <w:pStyle w:val="7"/>
        <w:bidi w:val="0"/>
        <w:rPr>
          <w:rFonts w:hint="eastAsia"/>
          <w:lang w:val="en-US" w:eastAsia="zh-CN"/>
        </w:rPr>
      </w:pPr>
      <w:r>
        <w:rPr>
          <w:rFonts w:hint="eastAsia"/>
          <w:lang w:val="en-US" w:eastAsia="zh-CN"/>
        </w:rPr>
        <w:t>（2）耕地避让</w:t>
      </w:r>
    </w:p>
    <w:p w14:paraId="73C41394">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禁止开垦陡坡地范围划定需要优先保障现有耕地和耕地恢复的空间，因此将耕地与划定范围所重叠的部分进行剔除。将25°坡度以上的林地、草地和裸土地矢量范围作为底图，依次剔除与耕地保护红线、高标准农田、补充及后备耕地资源等有相重叠的部分。</w:t>
      </w:r>
      <w:r>
        <w:rPr>
          <w:rFonts w:hint="eastAsia" w:ascii="Times New Roman" w:hAnsi="Times New Roman" w:eastAsia="方正仿宋_GB2312" w:cs="方正仿宋_GB2312"/>
          <w:b w:val="0"/>
          <w:bCs w:val="0"/>
          <w:snapToGrid/>
          <w:color w:val="auto"/>
          <w:kern w:val="2"/>
          <w:sz w:val="32"/>
          <w:szCs w:val="32"/>
          <w:highlight w:val="none"/>
          <w:lang w:val="en-US" w:eastAsia="zh-CN"/>
        </w:rPr>
        <w:t>同时，按照技术指南要求，剔除了生态红线外，国土“二调”期间为耕地，“三调”调查为林地、草地等其他地类，适宜恢复为耕地的区域。</w:t>
      </w:r>
      <w:r>
        <w:rPr>
          <w:rFonts w:hint="eastAsia" w:ascii="Times New Roman" w:hAnsi="Times New Roman" w:eastAsia="方正仿宋_GB2312" w:cs="方正仿宋_GB2312"/>
          <w:b w:val="0"/>
          <w:bCs w:val="0"/>
          <w:snapToGrid/>
          <w:color w:val="auto"/>
          <w:kern w:val="2"/>
          <w:sz w:val="32"/>
          <w:szCs w:val="32"/>
          <w:highlight w:val="none"/>
          <w:lang w:eastAsia="zh-CN"/>
        </w:rPr>
        <w:t>剔除与耕地保护红线范围相重叠的部分过程如图3-3所示，其他耕地类型剔除过程和效果类似。剔除后三类土地剩余</w:t>
      </w:r>
      <w:r>
        <w:rPr>
          <w:rFonts w:hint="eastAsia" w:ascii="Times New Roman" w:hAnsi="Times New Roman" w:eastAsia="方正仿宋_GB2312" w:cs="方正仿宋_GB2312"/>
          <w:b w:val="0"/>
          <w:bCs w:val="0"/>
          <w:snapToGrid/>
          <w:color w:val="auto"/>
          <w:kern w:val="2"/>
          <w:sz w:val="32"/>
          <w:szCs w:val="32"/>
          <w:highlight w:val="none"/>
          <w:lang w:val="en-US" w:eastAsia="zh-CN"/>
        </w:rPr>
        <w:t>1319.69</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；接着剔除与</w:t>
      </w:r>
      <w:r>
        <w:rPr>
          <w:rFonts w:hint="eastAsia" w:ascii="Times New Roman" w:hAnsi="Times New Roman" w:eastAsia="方正仿宋_GB2312" w:cs="方正仿宋_GB2312"/>
          <w:b w:val="0"/>
          <w:bCs w:val="0"/>
          <w:snapToGrid/>
          <w:color w:val="auto"/>
          <w:kern w:val="2"/>
          <w:sz w:val="32"/>
          <w:szCs w:val="32"/>
          <w:highlight w:val="none"/>
          <w:lang w:val="en-US" w:eastAsia="zh-CN"/>
        </w:rPr>
        <w:t>储备</w:t>
      </w:r>
      <w:r>
        <w:rPr>
          <w:rFonts w:hint="eastAsia" w:ascii="Times New Roman" w:hAnsi="Times New Roman" w:eastAsia="方正仿宋_GB2312" w:cs="方正仿宋_GB2312"/>
          <w:b w:val="0"/>
          <w:bCs w:val="0"/>
          <w:snapToGrid/>
          <w:color w:val="auto"/>
          <w:kern w:val="2"/>
          <w:sz w:val="32"/>
          <w:szCs w:val="32"/>
          <w:highlight w:val="none"/>
          <w:lang w:eastAsia="zh-CN"/>
        </w:rPr>
        <w:t>耕地相重叠的部分，剔除后剩余</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1289.25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w:t>
      </w:r>
    </w:p>
    <w:p w14:paraId="29497F42">
      <w:pPr>
        <w:jc w:val="center"/>
        <w:rPr>
          <w:rFonts w:hint="eastAsia"/>
          <w:lang w:eastAsia="zh-CN"/>
        </w:rPr>
      </w:pPr>
      <w:r>
        <w:drawing>
          <wp:inline distT="0" distB="0" distL="114300" distR="114300">
            <wp:extent cx="1849755" cy="1478915"/>
            <wp:effectExtent l="0" t="0" r="952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1849755" cy="1478915"/>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1725295" cy="1487170"/>
            <wp:effectExtent l="0" t="0" r="1206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1725295" cy="1487170"/>
                    </a:xfrm>
                    <a:prstGeom prst="rect">
                      <a:avLst/>
                    </a:prstGeom>
                    <a:noFill/>
                    <a:ln>
                      <a:noFill/>
                    </a:ln>
                  </pic:spPr>
                </pic:pic>
              </a:graphicData>
            </a:graphic>
          </wp:inline>
        </w:drawing>
      </w:r>
    </w:p>
    <w:p w14:paraId="3FBAC895">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图3-3剔除与耕地重叠区域（右图红</w:t>
      </w:r>
      <w:r>
        <w:rPr>
          <w:rFonts w:hint="eastAsia" w:ascii="黑体" w:hAnsi="黑体" w:eastAsia="黑体" w:cs="黑体"/>
          <w:bCs w:val="0"/>
          <w:snapToGrid/>
          <w:color w:val="auto"/>
          <w:kern w:val="2"/>
          <w:sz w:val="28"/>
          <w:szCs w:val="28"/>
          <w:highlight w:val="none"/>
          <w:lang w:val="en-US" w:eastAsia="zh-CN"/>
        </w:rPr>
        <w:t>线</w:t>
      </w:r>
      <w:r>
        <w:rPr>
          <w:rFonts w:hint="eastAsia" w:ascii="黑体" w:hAnsi="黑体" w:eastAsia="黑体" w:cs="黑体"/>
          <w:bCs w:val="0"/>
          <w:snapToGrid/>
          <w:color w:val="auto"/>
          <w:kern w:val="2"/>
          <w:sz w:val="28"/>
          <w:szCs w:val="28"/>
          <w:highlight w:val="none"/>
          <w:lang w:eastAsia="zh-CN"/>
        </w:rPr>
        <w:t>重叠区域将被剔除）</w:t>
      </w:r>
    </w:p>
    <w:p w14:paraId="2D2B80BF">
      <w:pPr>
        <w:pStyle w:val="7"/>
        <w:bidi w:val="0"/>
        <w:rPr>
          <w:rFonts w:hint="eastAsia"/>
          <w:lang w:val="en-US" w:eastAsia="zh-CN"/>
        </w:rPr>
      </w:pPr>
      <w:r>
        <w:rPr>
          <w:rFonts w:hint="eastAsia"/>
          <w:lang w:val="en-US" w:eastAsia="zh-CN"/>
        </w:rPr>
        <w:t>（3）重点地类图斑剔除</w:t>
      </w:r>
    </w:p>
    <w:p w14:paraId="1E8D138B">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为避免禁垦范围划定与城口县重大项目建设、未来发展需求、主管部门管理等因素产生冲突，依次剔除了划定范围与城口县国土空间总体规划重大项目库、中心城区规划用地、城镇开发边界、木本油料林、部分在建项目等相重叠的部分，剔除过程如图3-5所示，其他重点图斑剔除过程和效果类似。</w:t>
      </w:r>
    </w:p>
    <w:p w14:paraId="20B51CF6">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剔除城口县国土空间总体规划（2021—2035年）重大项目库后，划定范围面积剩余面积</w:t>
      </w:r>
      <w:r>
        <w:rPr>
          <w:rFonts w:hint="eastAsia" w:ascii="Times New Roman" w:hAnsi="Times New Roman" w:eastAsia="方正仿宋_GB2312" w:cs="方正仿宋_GB2312"/>
          <w:b w:val="0"/>
          <w:bCs w:val="0"/>
          <w:snapToGrid/>
          <w:color w:val="auto"/>
          <w:kern w:val="2"/>
          <w:sz w:val="32"/>
          <w:szCs w:val="32"/>
          <w:highlight w:val="none"/>
          <w:lang w:val="en-US" w:eastAsia="zh-CN"/>
        </w:rPr>
        <w:t>1280.21</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；剔除城口县木本油料林后（木本油料林每年将涉及土壤扰动、施肥、耕作等活动），剩余</w:t>
      </w:r>
      <w:r>
        <w:rPr>
          <w:rFonts w:hint="eastAsia" w:ascii="Times New Roman" w:hAnsi="Times New Roman" w:eastAsia="方正仿宋_GB2312" w:cs="方正仿宋_GB2312"/>
          <w:b w:val="0"/>
          <w:bCs w:val="0"/>
          <w:snapToGrid/>
          <w:color w:val="auto"/>
          <w:kern w:val="2"/>
          <w:sz w:val="32"/>
          <w:szCs w:val="32"/>
          <w:highlight w:val="none"/>
          <w:lang w:val="en-US" w:eastAsia="zh-CN"/>
        </w:rPr>
        <w:t>1268.47</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；剔除中心城区规划用地和部分在建项目重叠的部分后，剩余</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1225.52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；剔除城口县高标准农田建设项目后，剩</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余1224.69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；剔除城镇开发边界后，剩余</w:t>
      </w:r>
      <w:r>
        <w:rPr>
          <w:rFonts w:hint="eastAsia" w:ascii="Times New Roman" w:hAnsi="Times New Roman" w:eastAsia="方正仿宋_GB2312" w:cs="方正仿宋_GB2312"/>
          <w:b w:val="0"/>
          <w:bCs w:val="0"/>
          <w:snapToGrid/>
          <w:color w:val="auto"/>
          <w:kern w:val="2"/>
          <w:sz w:val="32"/>
          <w:szCs w:val="32"/>
          <w:highlight w:val="none"/>
          <w:lang w:val="en-US" w:eastAsia="zh-CN"/>
        </w:rPr>
        <w:t>1223.37</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w:t>
      </w:r>
    </w:p>
    <w:p w14:paraId="2206B6E1">
      <w:pPr>
        <w:keepNext w:val="0"/>
        <w:keepLines w:val="0"/>
        <w:pageBreakBefore w:val="0"/>
        <w:widowControl/>
        <w:kinsoku/>
        <w:wordWrap/>
        <w:overflowPunct/>
        <w:topLinePunct w:val="0"/>
        <w:autoSpaceDE w:val="0"/>
        <w:autoSpaceDN w:val="0"/>
        <w:bidi w:val="0"/>
        <w:adjustRightInd w:val="0"/>
        <w:snapToGrid w:val="0"/>
        <w:spacing w:line="408" w:lineRule="auto"/>
        <w:jc w:val="both"/>
        <w:rPr>
          <w:rFonts w:hint="eastAsia" w:ascii="Arial" w:eastAsia="宋体"/>
          <w:color w:val="auto"/>
          <w:sz w:val="21"/>
          <w:lang w:eastAsia="zh-CN"/>
        </w:rPr>
      </w:pPr>
      <w:r>
        <w:rPr>
          <w:rFonts w:hint="eastAsia" w:ascii="Arial" w:eastAsia="宋体"/>
          <w:color w:val="auto"/>
          <w:sz w:val="21"/>
          <w:lang w:eastAsia="zh-CN"/>
        </w:rPr>
        <w:drawing>
          <wp:inline distT="0" distB="0" distL="114300" distR="114300">
            <wp:extent cx="2454910" cy="1647825"/>
            <wp:effectExtent l="0" t="0" r="8890" b="3175"/>
            <wp:docPr id="11" name="图片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
                    <pic:cNvPicPr>
                      <a:picLocks noChangeAspect="1"/>
                    </pic:cNvPicPr>
                  </pic:nvPicPr>
                  <pic:blipFill>
                    <a:blip r:embed="rId23"/>
                    <a:stretch>
                      <a:fillRect/>
                    </a:stretch>
                  </pic:blipFill>
                  <pic:spPr>
                    <a:xfrm>
                      <a:off x="0" y="0"/>
                      <a:ext cx="2454910" cy="1647825"/>
                    </a:xfrm>
                    <a:prstGeom prst="rect">
                      <a:avLst/>
                    </a:prstGeom>
                  </pic:spPr>
                </pic:pic>
              </a:graphicData>
            </a:graphic>
          </wp:inline>
        </w:drawing>
      </w:r>
      <w:r>
        <w:rPr>
          <w:rFonts w:hint="default" w:eastAsia="宋体"/>
          <w:color w:val="auto"/>
          <w:sz w:val="21"/>
          <w:lang w:val="en-US" w:eastAsia="zh-CN"/>
        </w:rPr>
        <w:t xml:space="preserve">          </w:t>
      </w:r>
      <w:r>
        <w:rPr>
          <w:rFonts w:hint="eastAsia" w:ascii="Arial" w:eastAsia="宋体"/>
          <w:color w:val="auto"/>
          <w:sz w:val="21"/>
          <w:lang w:eastAsia="zh-CN"/>
        </w:rPr>
        <w:drawing>
          <wp:inline distT="0" distB="0" distL="114300" distR="114300">
            <wp:extent cx="2424430" cy="1627505"/>
            <wp:effectExtent l="0" t="0" r="1270" b="10795"/>
            <wp:docPr id="12" name="图片 1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2"/>
                    <pic:cNvPicPr>
                      <a:picLocks noChangeAspect="1"/>
                    </pic:cNvPicPr>
                  </pic:nvPicPr>
                  <pic:blipFill>
                    <a:blip r:embed="rId24"/>
                    <a:stretch>
                      <a:fillRect/>
                    </a:stretch>
                  </pic:blipFill>
                  <pic:spPr>
                    <a:xfrm>
                      <a:off x="0" y="0"/>
                      <a:ext cx="2424430" cy="1627505"/>
                    </a:xfrm>
                    <a:prstGeom prst="rect">
                      <a:avLst/>
                    </a:prstGeom>
                  </pic:spPr>
                </pic:pic>
              </a:graphicData>
            </a:graphic>
          </wp:inline>
        </w:drawing>
      </w:r>
    </w:p>
    <w:p w14:paraId="163283D9">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图3-5剔除与总规重大项目库重叠部分（右图为剔除后）</w:t>
      </w:r>
    </w:p>
    <w:p w14:paraId="22FBCA96">
      <w:pPr>
        <w:keepNext w:val="0"/>
        <w:keepLines w:val="0"/>
        <w:pageBreakBefore w:val="0"/>
        <w:widowControl/>
        <w:kinsoku/>
        <w:wordWrap/>
        <w:overflowPunct/>
        <w:topLinePunct w:val="0"/>
        <w:autoSpaceDE w:val="0"/>
        <w:autoSpaceDN w:val="0"/>
        <w:bidi w:val="0"/>
        <w:adjustRightInd w:val="0"/>
        <w:snapToGrid w:val="0"/>
        <w:spacing w:line="353" w:lineRule="auto"/>
        <w:jc w:val="both"/>
        <w:rPr>
          <w:rFonts w:ascii="Arial"/>
          <w:color w:val="auto"/>
          <w:sz w:val="21"/>
        </w:rPr>
      </w:pPr>
    </w:p>
    <w:p w14:paraId="15A698B4">
      <w:pPr>
        <w:rPr>
          <w:rFonts w:hint="eastAsia"/>
          <w:lang w:val="en-US" w:eastAsia="zh-CN"/>
        </w:rPr>
      </w:pPr>
      <w:bookmarkStart w:id="22" w:name="_Toc1681"/>
      <w:r>
        <w:rPr>
          <w:rFonts w:hint="eastAsia"/>
          <w:lang w:val="en-US" w:eastAsia="zh-CN"/>
        </w:rPr>
        <w:br w:type="page"/>
      </w:r>
    </w:p>
    <w:p w14:paraId="550BB724">
      <w:pPr>
        <w:pStyle w:val="6"/>
        <w:bidi w:val="0"/>
        <w:rPr>
          <w:rFonts w:hint="eastAsia"/>
          <w:lang w:val="en-US" w:eastAsia="zh-CN"/>
        </w:rPr>
      </w:pPr>
      <w:r>
        <w:rPr>
          <w:rFonts w:hint="eastAsia"/>
          <w:lang w:val="en-US" w:eastAsia="zh-CN"/>
        </w:rPr>
        <w:t>3.初步形成城口县禁止开垦陡坡地范围</w:t>
      </w:r>
      <w:bookmarkEnd w:id="22"/>
    </w:p>
    <w:p w14:paraId="7DB36D4C">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生态保护红线、自然保护地、大中型水库周边汇水区域、饮用水源一级保护区、河湖管理等特定区域及其周边水土流失相对易发，在水土流失防治中地位重要；这些区域多要求禁止开垦新增耕地，为明确上述区域的禁止开垦陡坡地范围，因此在前述划定基础上，叠加相应矢量范围，综合考虑管控要求和地方实际，将各范围内或其周边相邻坡度大于25°的陡坡地类纳入划定，从而明确了特定管控区域内的禁垦范围。在合并相邻禁止开垦陡坡地图斑地类的基础上，剔除所有面积小于5</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hm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的林地、草地和裸土地图斑，初步形成全县禁止开垦陡坡地矢量范围。在未修正边界和实地复核的情况下，全县禁止开垦陡坡地划定面积为</w:t>
      </w:r>
      <w:r>
        <w:rPr>
          <w:rFonts w:hint="eastAsia" w:ascii="Times New Roman" w:hAnsi="Times New Roman" w:eastAsia="方正仿宋_GB2312" w:cs="方正仿宋_GB2312"/>
          <w:b w:val="0"/>
          <w:bCs w:val="0"/>
          <w:snapToGrid/>
          <w:color w:val="auto"/>
          <w:kern w:val="2"/>
          <w:sz w:val="32"/>
          <w:szCs w:val="32"/>
          <w:highlight w:val="none"/>
          <w:lang w:val="en-US" w:eastAsia="zh-CN"/>
        </w:rPr>
        <w:t>1222.17</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，图斑数量共</w:t>
      </w:r>
      <w:r>
        <w:rPr>
          <w:rFonts w:hint="eastAsia" w:ascii="Times New Roman" w:hAnsi="Times New Roman" w:eastAsia="方正仿宋_GB2312" w:cs="方正仿宋_GB2312"/>
          <w:b w:val="0"/>
          <w:bCs w:val="0"/>
          <w:snapToGrid/>
          <w:color w:val="auto"/>
          <w:kern w:val="2"/>
          <w:sz w:val="32"/>
          <w:szCs w:val="32"/>
          <w:highlight w:val="none"/>
          <w:lang w:val="en-US" w:eastAsia="zh-CN"/>
        </w:rPr>
        <w:t>884</w:t>
      </w:r>
      <w:r>
        <w:rPr>
          <w:rFonts w:hint="eastAsia" w:ascii="Times New Roman" w:hAnsi="Times New Roman" w:eastAsia="方正仿宋_GB2312" w:cs="方正仿宋_GB2312"/>
          <w:b w:val="0"/>
          <w:bCs w:val="0"/>
          <w:snapToGrid/>
          <w:color w:val="auto"/>
          <w:kern w:val="2"/>
          <w:sz w:val="32"/>
          <w:szCs w:val="32"/>
          <w:highlight w:val="none"/>
          <w:lang w:eastAsia="zh-CN"/>
        </w:rPr>
        <w:t>个。</w:t>
      </w:r>
    </w:p>
    <w:p w14:paraId="30B67883">
      <w:pPr>
        <w:pStyle w:val="6"/>
        <w:bidi w:val="0"/>
        <w:rPr>
          <w:rFonts w:hint="eastAsia"/>
          <w:lang w:val="en-US" w:eastAsia="zh-CN"/>
        </w:rPr>
      </w:pPr>
      <w:bookmarkStart w:id="23" w:name="_Toc21942"/>
      <w:r>
        <w:rPr>
          <w:rFonts w:hint="eastAsia"/>
          <w:lang w:val="en-US" w:eastAsia="zh-CN"/>
        </w:rPr>
        <w:t>4.划定范围边界修正</w:t>
      </w:r>
      <w:bookmarkEnd w:id="23"/>
    </w:p>
    <w:p w14:paraId="7F3492D1">
      <w:pPr>
        <w:pStyle w:val="5"/>
        <w:keepNext w:val="0"/>
        <w:keepLines w:val="0"/>
        <w:pageBreakBefore w:val="0"/>
        <w:widowControl/>
        <w:kinsoku/>
        <w:wordWrap/>
        <w:overflowPunct/>
        <w:topLinePunct w:val="0"/>
        <w:autoSpaceDE/>
        <w:autoSpaceDN/>
        <w:bidi w:val="0"/>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利用202</w:t>
      </w:r>
      <w:r>
        <w:rPr>
          <w:rFonts w:hint="eastAsia" w:ascii="Times New Roman" w:hAnsi="Times New Roman" w:eastAsia="方正仿宋_GB2312" w:cs="方正仿宋_GB2312"/>
          <w:b w:val="0"/>
          <w:bCs w:val="0"/>
          <w:snapToGrid/>
          <w:color w:val="auto"/>
          <w:kern w:val="2"/>
          <w:sz w:val="32"/>
          <w:szCs w:val="32"/>
          <w:highlight w:val="none"/>
          <w:lang w:val="en-US" w:eastAsia="zh-CN"/>
        </w:rPr>
        <w:t>4</w:t>
      </w:r>
      <w:r>
        <w:rPr>
          <w:rFonts w:hint="eastAsia" w:ascii="Times New Roman" w:hAnsi="Times New Roman" w:eastAsia="方正仿宋_GB2312" w:cs="方正仿宋_GB2312"/>
          <w:b w:val="0"/>
          <w:bCs w:val="0"/>
          <w:snapToGrid/>
          <w:color w:val="auto"/>
          <w:kern w:val="2"/>
          <w:sz w:val="32"/>
          <w:szCs w:val="32"/>
          <w:highlight w:val="none"/>
          <w:lang w:eastAsia="zh-CN"/>
        </w:rPr>
        <w:t>年</w:t>
      </w:r>
      <w:r>
        <w:rPr>
          <w:rFonts w:hint="eastAsia" w:ascii="Times New Roman" w:hAnsi="Times New Roman" w:eastAsia="方正仿宋_GB2312" w:cs="方正仿宋_GB2312"/>
          <w:b w:val="0"/>
          <w:bCs w:val="0"/>
          <w:snapToGrid/>
          <w:color w:val="auto"/>
          <w:kern w:val="2"/>
          <w:sz w:val="32"/>
          <w:szCs w:val="32"/>
          <w:highlight w:val="none"/>
          <w:lang w:val="en-US" w:eastAsia="zh-CN"/>
        </w:rPr>
        <w:t>3</w:t>
      </w:r>
      <w:r>
        <w:rPr>
          <w:rFonts w:hint="eastAsia" w:ascii="Times New Roman" w:hAnsi="Times New Roman" w:eastAsia="方正仿宋_GB2312" w:cs="方正仿宋_GB2312"/>
          <w:b w:val="0"/>
          <w:bCs w:val="0"/>
          <w:snapToGrid/>
          <w:color w:val="auto"/>
          <w:kern w:val="2"/>
          <w:sz w:val="32"/>
          <w:szCs w:val="32"/>
          <w:highlight w:val="none"/>
          <w:lang w:eastAsia="zh-CN"/>
        </w:rPr>
        <w:t>月0.</w:t>
      </w:r>
      <w:r>
        <w:rPr>
          <w:rFonts w:hint="eastAsia" w:ascii="Times New Roman" w:hAnsi="Times New Roman" w:eastAsia="方正仿宋_GB2312" w:cs="方正仿宋_GB2312"/>
          <w:b w:val="0"/>
          <w:bCs w:val="0"/>
          <w:snapToGrid/>
          <w:color w:val="auto"/>
          <w:kern w:val="2"/>
          <w:sz w:val="32"/>
          <w:szCs w:val="32"/>
          <w:highlight w:val="none"/>
          <w:lang w:val="en-US" w:eastAsia="zh-CN"/>
        </w:rPr>
        <w:t>7</w:t>
      </w:r>
      <w:r>
        <w:rPr>
          <w:rFonts w:hint="eastAsia" w:ascii="Times New Roman" w:hAnsi="Times New Roman" w:eastAsia="方正仿宋_GB2312" w:cs="方正仿宋_GB2312"/>
          <w:b w:val="0"/>
          <w:bCs w:val="0"/>
          <w:snapToGrid/>
          <w:color w:val="auto"/>
          <w:kern w:val="2"/>
          <w:sz w:val="32"/>
          <w:szCs w:val="32"/>
          <w:highlight w:val="none"/>
          <w:lang w:eastAsia="zh-CN"/>
        </w:rPr>
        <w:t>5米分辨率遥感影像地物特征，统筹考虑自然生态整体性，结合山脉、河流、植被、地貌单位等自然边界，逐个图斑对初步划定的禁止开垦陡坡地范围边界进行边界修正与合理调整。主要删减房屋周边等可能开垦区域、道路交叉重叠区域、施工区域、狭长的边等区域；因坡度基础矢量数据造成的锯齿状边界，使用ArcGIS软件平滑工具进行修正，修正后再次删除与各剔除地类边界相重叠部分，以确保结果科学、便于管理。修正示意如图3-6所示。</w:t>
      </w:r>
    </w:p>
    <w:p w14:paraId="67CD6A67">
      <w:pPr>
        <w:keepNext w:val="0"/>
        <w:keepLines w:val="0"/>
        <w:pageBreakBefore w:val="0"/>
        <w:widowControl/>
        <w:kinsoku/>
        <w:wordWrap/>
        <w:overflowPunct/>
        <w:topLinePunct w:val="0"/>
        <w:autoSpaceDE w:val="0"/>
        <w:autoSpaceDN w:val="0"/>
        <w:bidi w:val="0"/>
        <w:adjustRightInd w:val="0"/>
        <w:snapToGrid w:val="0"/>
        <w:spacing w:line="240" w:lineRule="auto"/>
        <w:ind w:firstLine="14"/>
        <w:jc w:val="center"/>
        <w:rPr>
          <w:rFonts w:hint="eastAsia" w:ascii="Arial" w:eastAsia="宋体"/>
          <w:color w:val="215968" w:themeColor="accent5" w:themeShade="80"/>
          <w:sz w:val="21"/>
          <w:lang w:eastAsia="zh-CN"/>
        </w:rPr>
      </w:pPr>
      <w:r>
        <w:rPr>
          <w:rFonts w:hint="eastAsia" w:ascii="Arial" w:eastAsia="宋体"/>
          <w:color w:val="215968" w:themeColor="accent5" w:themeShade="80"/>
          <w:sz w:val="21"/>
          <w:lang w:eastAsia="zh-CN"/>
        </w:rPr>
        <w:drawing>
          <wp:inline distT="0" distB="0" distL="114300" distR="114300">
            <wp:extent cx="2379345" cy="1595755"/>
            <wp:effectExtent l="0" t="0" r="8255" b="4445"/>
            <wp:docPr id="13" name="图片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3"/>
                    <pic:cNvPicPr>
                      <a:picLocks noChangeAspect="1"/>
                    </pic:cNvPicPr>
                  </pic:nvPicPr>
                  <pic:blipFill>
                    <a:blip r:embed="rId25"/>
                    <a:stretch>
                      <a:fillRect/>
                    </a:stretch>
                  </pic:blipFill>
                  <pic:spPr>
                    <a:xfrm>
                      <a:off x="0" y="0"/>
                      <a:ext cx="2379345" cy="1595755"/>
                    </a:xfrm>
                    <a:prstGeom prst="rect">
                      <a:avLst/>
                    </a:prstGeom>
                  </pic:spPr>
                </pic:pic>
              </a:graphicData>
            </a:graphic>
          </wp:inline>
        </w:drawing>
      </w:r>
      <w:r>
        <w:rPr>
          <w:rFonts w:hint="default" w:eastAsia="宋体"/>
          <w:color w:val="215968" w:themeColor="accent5" w:themeShade="80"/>
          <w:sz w:val="21"/>
          <w:lang w:val="en-US" w:eastAsia="zh-CN"/>
        </w:rPr>
        <w:t xml:space="preserve">  </w:t>
      </w:r>
      <w:r>
        <w:rPr>
          <w:rFonts w:hint="eastAsia" w:ascii="Arial" w:eastAsia="宋体"/>
          <w:color w:val="215968" w:themeColor="accent5" w:themeShade="80"/>
          <w:sz w:val="21"/>
          <w:lang w:eastAsia="zh-CN"/>
        </w:rPr>
        <w:drawing>
          <wp:inline distT="0" distB="0" distL="114300" distR="114300">
            <wp:extent cx="2360930" cy="1583055"/>
            <wp:effectExtent l="0" t="0" r="1270" b="4445"/>
            <wp:docPr id="14" name="图片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4"/>
                    <pic:cNvPicPr>
                      <a:picLocks noChangeAspect="1"/>
                    </pic:cNvPicPr>
                  </pic:nvPicPr>
                  <pic:blipFill>
                    <a:blip r:embed="rId26"/>
                    <a:stretch>
                      <a:fillRect/>
                    </a:stretch>
                  </pic:blipFill>
                  <pic:spPr>
                    <a:xfrm>
                      <a:off x="0" y="0"/>
                      <a:ext cx="2360930" cy="1583055"/>
                    </a:xfrm>
                    <a:prstGeom prst="rect">
                      <a:avLst/>
                    </a:prstGeom>
                  </pic:spPr>
                </pic:pic>
              </a:graphicData>
            </a:graphic>
          </wp:inline>
        </w:drawing>
      </w:r>
    </w:p>
    <w:p w14:paraId="50071686">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图3-6图斑边界修正（右图为修正后）</w:t>
      </w:r>
    </w:p>
    <w:p w14:paraId="2A806FF9">
      <w:pPr>
        <w:pStyle w:val="6"/>
        <w:bidi w:val="0"/>
        <w:rPr>
          <w:rFonts w:hint="eastAsia"/>
          <w:lang w:val="en-US" w:eastAsia="zh-CN"/>
        </w:rPr>
      </w:pPr>
      <w:bookmarkStart w:id="24" w:name="_Toc15751"/>
      <w:r>
        <w:rPr>
          <w:rFonts w:hint="eastAsia"/>
          <w:lang w:val="en-US" w:eastAsia="zh-CN"/>
        </w:rPr>
        <w:t>5.边界复核验证与调整</w:t>
      </w:r>
      <w:bookmarkEnd w:id="24"/>
    </w:p>
    <w:p w14:paraId="04F17B64">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边界修正后，在全县范围内随机抽取图斑总数量3%以上的图斑进行边界复核验证。全县划定图斑数量</w:t>
      </w:r>
      <w:r>
        <w:rPr>
          <w:rFonts w:hint="eastAsia" w:ascii="Times New Roman" w:hAnsi="Times New Roman" w:eastAsia="方正仿宋_GB2312" w:cs="方正仿宋_GB2312"/>
          <w:b w:val="0"/>
          <w:bCs w:val="0"/>
          <w:snapToGrid/>
          <w:color w:val="auto"/>
          <w:kern w:val="2"/>
          <w:sz w:val="32"/>
          <w:szCs w:val="32"/>
          <w:highlight w:val="none"/>
          <w:lang w:val="en-US" w:eastAsia="zh-CN"/>
        </w:rPr>
        <w:t>884</w:t>
      </w:r>
      <w:r>
        <w:rPr>
          <w:rFonts w:hint="eastAsia" w:ascii="Times New Roman" w:hAnsi="Times New Roman" w:eastAsia="方正仿宋_GB2312" w:cs="方正仿宋_GB2312"/>
          <w:b w:val="0"/>
          <w:bCs w:val="0"/>
          <w:snapToGrid/>
          <w:color w:val="auto"/>
          <w:kern w:val="2"/>
          <w:sz w:val="32"/>
          <w:szCs w:val="32"/>
          <w:highlight w:val="none"/>
          <w:lang w:eastAsia="zh-CN"/>
        </w:rPr>
        <w:t>个，共抽取</w:t>
      </w:r>
      <w:r>
        <w:rPr>
          <w:rFonts w:hint="eastAsia" w:ascii="Times New Roman" w:hAnsi="Times New Roman" w:eastAsia="方正仿宋_GB2312" w:cs="方正仿宋_GB2312"/>
          <w:b w:val="0"/>
          <w:bCs w:val="0"/>
          <w:snapToGrid/>
          <w:color w:val="auto"/>
          <w:kern w:val="2"/>
          <w:sz w:val="32"/>
          <w:szCs w:val="32"/>
          <w:highlight w:val="none"/>
          <w:lang w:val="en-US" w:eastAsia="zh-CN"/>
        </w:rPr>
        <w:t>20</w:t>
      </w:r>
      <w:r>
        <w:rPr>
          <w:rFonts w:hint="eastAsia" w:ascii="Times New Roman" w:hAnsi="Times New Roman" w:eastAsia="方正仿宋_GB2312" w:cs="方正仿宋_GB2312"/>
          <w:b w:val="0"/>
          <w:bCs w:val="0"/>
          <w:snapToGrid/>
          <w:color w:val="auto"/>
          <w:kern w:val="2"/>
          <w:sz w:val="32"/>
          <w:szCs w:val="32"/>
          <w:highlight w:val="none"/>
          <w:lang w:eastAsia="zh-CN"/>
        </w:rPr>
        <w:t>个禁止开垦陡坡地范围图斑，重点选取了近山、村镇周边、道路两侧等人为活动集中的区域，根据现场复核验证结果对初步划定的禁止开垦陡坡地范围进行调整。</w:t>
      </w:r>
    </w:p>
    <w:p w14:paraId="43E85126">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复核过程主要将所抽取的验证图斑以KMZ数据格式的形式，导入地图软件后，利用导航定位功能前往各目标图斑实际位置进行现场复核验证。现场复核的内容包括：划定范围是否与实际坡度、地物相符，边界是否准确，纳入是否合理等。</w:t>
      </w:r>
    </w:p>
    <w:p w14:paraId="27F0BD08">
      <w:pPr>
        <w:keepNext w:val="0"/>
        <w:keepLines w:val="0"/>
        <w:pageBreakBefore w:val="0"/>
        <w:widowControl/>
        <w:kinsoku/>
        <w:wordWrap/>
        <w:overflowPunct/>
        <w:topLinePunct w:val="0"/>
        <w:autoSpaceDE w:val="0"/>
        <w:autoSpaceDN w:val="0"/>
        <w:bidi w:val="0"/>
        <w:adjustRightInd w:val="0"/>
        <w:snapToGrid w:val="0"/>
        <w:spacing w:line="360" w:lineRule="auto"/>
        <w:ind w:firstLine="434"/>
        <w:jc w:val="both"/>
        <w:rPr>
          <w:rFonts w:hint="eastAsia" w:eastAsia="宋体"/>
          <w:color w:val="215968" w:themeColor="accent5" w:themeShade="80"/>
          <w:lang w:eastAsia="zh-CN"/>
        </w:rPr>
      </w:pPr>
      <w:r>
        <w:rPr>
          <w:rFonts w:hint="eastAsia" w:eastAsia="宋体"/>
          <w:color w:val="215968" w:themeColor="accent5" w:themeShade="80"/>
          <w:lang w:eastAsia="zh-CN"/>
        </w:rPr>
        <w:drawing>
          <wp:inline distT="0" distB="0" distL="114300" distR="114300">
            <wp:extent cx="2492375" cy="1869440"/>
            <wp:effectExtent l="0" t="0" r="6985" b="5080"/>
            <wp:docPr id="16" name="图片 16" descr="039c86a87ecbaa911c1be832d3e0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39c86a87ecbaa911c1be832d3e018c"/>
                    <pic:cNvPicPr>
                      <a:picLocks noChangeAspect="1"/>
                    </pic:cNvPicPr>
                  </pic:nvPicPr>
                  <pic:blipFill>
                    <a:blip r:embed="rId27"/>
                    <a:stretch>
                      <a:fillRect/>
                    </a:stretch>
                  </pic:blipFill>
                  <pic:spPr>
                    <a:xfrm>
                      <a:off x="0" y="0"/>
                      <a:ext cx="2492375" cy="1869440"/>
                    </a:xfrm>
                    <a:prstGeom prst="rect">
                      <a:avLst/>
                    </a:prstGeom>
                  </pic:spPr>
                </pic:pic>
              </a:graphicData>
            </a:graphic>
          </wp:inline>
        </w:drawing>
      </w:r>
      <w:r>
        <w:rPr>
          <w:rFonts w:hint="default" w:eastAsia="宋体"/>
          <w:color w:val="215968" w:themeColor="accent5" w:themeShade="80"/>
          <w:lang w:val="en-US" w:eastAsia="zh-CN"/>
        </w:rPr>
        <w:t xml:space="preserve">  </w:t>
      </w:r>
      <w:r>
        <w:rPr>
          <w:rFonts w:hint="eastAsia" w:eastAsia="宋体"/>
          <w:color w:val="215968" w:themeColor="accent5" w:themeShade="80"/>
          <w:lang w:eastAsia="zh-CN"/>
        </w:rPr>
        <w:drawing>
          <wp:inline distT="0" distB="0" distL="114300" distR="114300">
            <wp:extent cx="2352040" cy="1865630"/>
            <wp:effectExtent l="0" t="0" r="10160" b="8890"/>
            <wp:docPr id="17" name="图片 17" descr="82986d51dcf8f468152668bbfa25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2986d51dcf8f468152668bbfa25aeb"/>
                    <pic:cNvPicPr>
                      <a:picLocks noChangeAspect="1"/>
                    </pic:cNvPicPr>
                  </pic:nvPicPr>
                  <pic:blipFill>
                    <a:blip r:embed="rId28"/>
                    <a:stretch>
                      <a:fillRect/>
                    </a:stretch>
                  </pic:blipFill>
                  <pic:spPr>
                    <a:xfrm>
                      <a:off x="0" y="0"/>
                      <a:ext cx="2352040" cy="1865630"/>
                    </a:xfrm>
                    <a:prstGeom prst="rect">
                      <a:avLst/>
                    </a:prstGeom>
                  </pic:spPr>
                </pic:pic>
              </a:graphicData>
            </a:graphic>
          </wp:inline>
        </w:drawing>
      </w:r>
    </w:p>
    <w:p w14:paraId="6856BFE2">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图3-7边界现场复核验证</w:t>
      </w:r>
    </w:p>
    <w:p w14:paraId="6570D63C">
      <w:pPr>
        <w:pStyle w:val="6"/>
        <w:bidi w:val="0"/>
        <w:rPr>
          <w:rFonts w:hint="eastAsia"/>
          <w:lang w:val="en-US" w:eastAsia="zh-CN"/>
        </w:rPr>
      </w:pPr>
      <w:bookmarkStart w:id="25" w:name="_Toc263"/>
      <w:r>
        <w:rPr>
          <w:rFonts w:hint="eastAsia"/>
          <w:lang w:val="en-US" w:eastAsia="zh-CN"/>
        </w:rPr>
        <w:t>6.征求乡镇意见</w:t>
      </w:r>
      <w:bookmarkEnd w:id="25"/>
    </w:p>
    <w:p w14:paraId="679991D3">
      <w:pPr>
        <w:pStyle w:val="5"/>
        <w:widowControl w:val="0"/>
        <w:kinsoku/>
        <w:autoSpaceDE/>
        <w:autoSpaceDN/>
        <w:adjustRightInd/>
        <w:snapToGrid/>
        <w:spacing w:after="0" w:line="600" w:lineRule="exact"/>
        <w:ind w:firstLine="640" w:firstLineChars="200"/>
        <w:jc w:val="both"/>
        <w:textAlignment w:val="auto"/>
        <w:rPr>
          <w:rFonts w:hint="default" w:ascii="Times New Roman" w:hAnsi="Times New Roman" w:eastAsia="方正仿宋_GB2312" w:cs="方正仿宋_GB2312"/>
          <w:b w:val="0"/>
          <w:bCs w:val="0"/>
          <w:snapToGrid/>
          <w:color w:val="auto"/>
          <w:kern w:val="2"/>
          <w:sz w:val="32"/>
          <w:szCs w:val="32"/>
          <w:highlight w:val="none"/>
          <w:lang w:val="en-US"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图斑边界复核验证和修正后，禁止开垦陡坡地范围划定初步结果形成。1</w:t>
      </w:r>
      <w:r>
        <w:rPr>
          <w:rFonts w:hint="eastAsia" w:ascii="Times New Roman" w:hAnsi="Times New Roman" w:eastAsia="方正仿宋_GB2312" w:cs="方正仿宋_GB2312"/>
          <w:b w:val="0"/>
          <w:bCs w:val="0"/>
          <w:snapToGrid/>
          <w:color w:val="auto"/>
          <w:kern w:val="2"/>
          <w:sz w:val="32"/>
          <w:szCs w:val="32"/>
          <w:highlight w:val="none"/>
          <w:lang w:val="en-US" w:eastAsia="zh-CN"/>
        </w:rPr>
        <w:t>1</w:t>
      </w:r>
      <w:r>
        <w:rPr>
          <w:rFonts w:hint="eastAsia" w:ascii="Times New Roman" w:hAnsi="Times New Roman" w:eastAsia="方正仿宋_GB2312" w:cs="方正仿宋_GB2312"/>
          <w:b w:val="0"/>
          <w:bCs w:val="0"/>
          <w:snapToGrid/>
          <w:color w:val="auto"/>
          <w:kern w:val="2"/>
          <w:sz w:val="32"/>
          <w:szCs w:val="32"/>
          <w:highlight w:val="none"/>
          <w:lang w:eastAsia="zh-CN"/>
        </w:rPr>
        <w:t>月</w:t>
      </w:r>
      <w:r>
        <w:rPr>
          <w:rFonts w:hint="eastAsia" w:ascii="Times New Roman" w:hAnsi="Times New Roman" w:eastAsia="方正仿宋_GB2312" w:cs="方正仿宋_GB2312"/>
          <w:b w:val="0"/>
          <w:bCs w:val="0"/>
          <w:snapToGrid/>
          <w:color w:val="auto"/>
          <w:kern w:val="2"/>
          <w:sz w:val="32"/>
          <w:szCs w:val="32"/>
          <w:highlight w:val="none"/>
          <w:lang w:val="en-US" w:eastAsia="zh-CN"/>
        </w:rPr>
        <w:t>上</w:t>
      </w:r>
      <w:r>
        <w:rPr>
          <w:rFonts w:hint="eastAsia" w:ascii="Times New Roman" w:hAnsi="Times New Roman" w:eastAsia="方正仿宋_GB2312" w:cs="方正仿宋_GB2312"/>
          <w:b w:val="0"/>
          <w:bCs w:val="0"/>
          <w:snapToGrid/>
          <w:color w:val="auto"/>
          <w:kern w:val="2"/>
          <w:sz w:val="32"/>
          <w:szCs w:val="32"/>
          <w:highlight w:val="none"/>
          <w:lang w:eastAsia="zh-CN"/>
        </w:rPr>
        <w:t>旬，在初步征求城口县规划和自然资源局、林业局、水利局和农业农村委等部门意见的基础上，再点对点下发涉及范围的乡镇（街道）进行复核，征求书面意见，共收到修改意见</w:t>
      </w:r>
      <w:r>
        <w:rPr>
          <w:rFonts w:hint="eastAsia" w:ascii="Times New Roman" w:hAnsi="Times New Roman" w:eastAsia="方正仿宋_GB2312" w:cs="方正仿宋_GB2312"/>
          <w:b w:val="0"/>
          <w:bCs w:val="0"/>
          <w:snapToGrid/>
          <w:color w:val="auto"/>
          <w:kern w:val="2"/>
          <w:sz w:val="32"/>
          <w:szCs w:val="32"/>
          <w:highlight w:val="none"/>
          <w:shd w:val="clear"/>
          <w:lang w:val="en-US" w:eastAsia="zh-CN"/>
        </w:rPr>
        <w:t>6</w:t>
      </w:r>
      <w:r>
        <w:rPr>
          <w:rFonts w:hint="eastAsia" w:ascii="Times New Roman" w:hAnsi="Times New Roman" w:eastAsia="方正仿宋_GB2312" w:cs="方正仿宋_GB2312"/>
          <w:b w:val="0"/>
          <w:bCs w:val="0"/>
          <w:snapToGrid/>
          <w:color w:val="auto"/>
          <w:kern w:val="2"/>
          <w:sz w:val="32"/>
          <w:szCs w:val="32"/>
          <w:highlight w:val="none"/>
          <w:shd w:val="clear"/>
          <w:lang w:eastAsia="zh-CN"/>
        </w:rPr>
        <w:t>条，采纳</w:t>
      </w:r>
      <w:r>
        <w:rPr>
          <w:rFonts w:hint="eastAsia" w:ascii="Times New Roman" w:hAnsi="Times New Roman" w:eastAsia="方正仿宋_GB2312" w:cs="方正仿宋_GB2312"/>
          <w:b w:val="0"/>
          <w:bCs w:val="0"/>
          <w:snapToGrid/>
          <w:color w:val="auto"/>
          <w:kern w:val="2"/>
          <w:sz w:val="32"/>
          <w:szCs w:val="32"/>
          <w:highlight w:val="none"/>
          <w:shd w:val="clear"/>
          <w:lang w:val="en-US" w:eastAsia="zh-CN"/>
        </w:rPr>
        <w:t>4</w:t>
      </w:r>
      <w:r>
        <w:rPr>
          <w:rFonts w:hint="eastAsia" w:ascii="Times New Roman" w:hAnsi="Times New Roman" w:eastAsia="方正仿宋_GB2312" w:cs="方正仿宋_GB2312"/>
          <w:b w:val="0"/>
          <w:bCs w:val="0"/>
          <w:snapToGrid/>
          <w:color w:val="auto"/>
          <w:kern w:val="2"/>
          <w:sz w:val="32"/>
          <w:szCs w:val="32"/>
          <w:highlight w:val="none"/>
          <w:shd w:val="clear"/>
          <w:lang w:eastAsia="zh-CN"/>
        </w:rPr>
        <w:t>条，未采纳</w:t>
      </w:r>
      <w:r>
        <w:rPr>
          <w:rFonts w:hint="eastAsia" w:ascii="Times New Roman" w:hAnsi="Times New Roman" w:eastAsia="方正仿宋_GB2312" w:cs="方正仿宋_GB2312"/>
          <w:b w:val="0"/>
          <w:bCs w:val="0"/>
          <w:snapToGrid/>
          <w:color w:val="auto"/>
          <w:kern w:val="2"/>
          <w:sz w:val="32"/>
          <w:szCs w:val="32"/>
          <w:highlight w:val="none"/>
          <w:shd w:val="clear"/>
          <w:lang w:val="en-US" w:eastAsia="zh-CN"/>
        </w:rPr>
        <w:t>2</w:t>
      </w:r>
      <w:r>
        <w:rPr>
          <w:rFonts w:hint="eastAsia" w:ascii="Times New Roman" w:hAnsi="Times New Roman" w:eastAsia="方正仿宋_GB2312" w:cs="方正仿宋_GB2312"/>
          <w:b w:val="0"/>
          <w:bCs w:val="0"/>
          <w:snapToGrid/>
          <w:color w:val="auto"/>
          <w:kern w:val="2"/>
          <w:sz w:val="32"/>
          <w:szCs w:val="32"/>
          <w:highlight w:val="none"/>
          <w:shd w:val="clear"/>
          <w:lang w:eastAsia="zh-CN"/>
        </w:rPr>
        <w:t>条</w:t>
      </w:r>
      <w:r>
        <w:rPr>
          <w:rFonts w:hint="eastAsia" w:ascii="Times New Roman" w:hAnsi="Times New Roman" w:eastAsia="方正仿宋_GB2312" w:cs="方正仿宋_GB2312"/>
          <w:b w:val="0"/>
          <w:bCs w:val="0"/>
          <w:snapToGrid/>
          <w:color w:val="auto"/>
          <w:kern w:val="2"/>
          <w:sz w:val="32"/>
          <w:szCs w:val="32"/>
          <w:highlight w:val="none"/>
          <w:lang w:eastAsia="zh-CN"/>
        </w:rPr>
        <w:t>，已征得乡镇同意。</w:t>
      </w:r>
    </w:p>
    <w:p w14:paraId="225C867E">
      <w:pPr>
        <w:pStyle w:val="5"/>
        <w:keepNext w:val="0"/>
        <w:keepLines w:val="0"/>
        <w:pageBreakBefore w:val="0"/>
        <w:widowControl/>
        <w:kinsoku/>
        <w:wordWrap/>
        <w:overflowPunct/>
        <w:topLinePunct w:val="0"/>
        <w:autoSpaceDE w:val="0"/>
        <w:autoSpaceDN w:val="0"/>
        <w:bidi w:val="0"/>
        <w:adjustRightInd w:val="0"/>
        <w:snapToGrid w:val="0"/>
        <w:spacing w:before="1" w:line="407" w:lineRule="auto"/>
        <w:ind w:left="24" w:right="240" w:firstLine="587"/>
        <w:jc w:val="both"/>
        <w:rPr>
          <w:rFonts w:hint="eastAsia" w:eastAsia="宋体"/>
          <w:color w:val="auto"/>
          <w:spacing w:val="-2"/>
          <w:lang w:eastAsia="zh-CN"/>
        </w:rPr>
      </w:pPr>
      <w:r>
        <w:rPr>
          <w:rFonts w:hint="eastAsia" w:eastAsia="宋体"/>
          <w:color w:val="auto"/>
          <w:spacing w:val="-2"/>
          <w:lang w:eastAsia="zh-CN"/>
        </w:rPr>
        <w:drawing>
          <wp:inline distT="0" distB="0" distL="114300" distR="114300">
            <wp:extent cx="2131060" cy="1598930"/>
            <wp:effectExtent l="0" t="0" r="2540" b="1270"/>
            <wp:docPr id="18" name="图片 18" descr="微信图片_2024122717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1227172944"/>
                    <pic:cNvPicPr>
                      <a:picLocks noChangeAspect="1"/>
                    </pic:cNvPicPr>
                  </pic:nvPicPr>
                  <pic:blipFill>
                    <a:blip r:embed="rId29"/>
                    <a:stretch>
                      <a:fillRect/>
                    </a:stretch>
                  </pic:blipFill>
                  <pic:spPr>
                    <a:xfrm>
                      <a:off x="0" y="0"/>
                      <a:ext cx="2131060" cy="1598930"/>
                    </a:xfrm>
                    <a:prstGeom prst="rect">
                      <a:avLst/>
                    </a:prstGeom>
                  </pic:spPr>
                </pic:pic>
              </a:graphicData>
            </a:graphic>
          </wp:inline>
        </w:drawing>
      </w:r>
      <w:r>
        <w:rPr>
          <w:rFonts w:hint="default"/>
          <w:color w:val="auto"/>
          <w:spacing w:val="-2"/>
          <w:lang w:val="en-US" w:eastAsia="zh-CN"/>
        </w:rPr>
        <w:t xml:space="preserve">  </w:t>
      </w:r>
      <w:r>
        <w:rPr>
          <w:rFonts w:hint="eastAsia" w:eastAsia="宋体"/>
          <w:color w:val="auto"/>
          <w:spacing w:val="-2"/>
          <w:lang w:eastAsia="zh-CN"/>
        </w:rPr>
        <w:drawing>
          <wp:inline distT="0" distB="0" distL="114300" distR="114300">
            <wp:extent cx="2152650" cy="1614170"/>
            <wp:effectExtent l="0" t="0" r="11430" b="1270"/>
            <wp:docPr id="19" name="图片 19" descr="微信图片_2024122717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1227173621"/>
                    <pic:cNvPicPr>
                      <a:picLocks noChangeAspect="1"/>
                    </pic:cNvPicPr>
                  </pic:nvPicPr>
                  <pic:blipFill>
                    <a:blip r:embed="rId30"/>
                    <a:stretch>
                      <a:fillRect/>
                    </a:stretch>
                  </pic:blipFill>
                  <pic:spPr>
                    <a:xfrm>
                      <a:off x="0" y="0"/>
                      <a:ext cx="2152650" cy="1614170"/>
                    </a:xfrm>
                    <a:prstGeom prst="rect">
                      <a:avLst/>
                    </a:prstGeom>
                  </pic:spPr>
                </pic:pic>
              </a:graphicData>
            </a:graphic>
          </wp:inline>
        </w:drawing>
      </w:r>
    </w:p>
    <w:p w14:paraId="423EBB28">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图3-</w:t>
      </w:r>
      <w:r>
        <w:rPr>
          <w:rFonts w:hint="eastAsia" w:ascii="黑体" w:hAnsi="黑体" w:eastAsia="黑体" w:cs="黑体"/>
          <w:bCs w:val="0"/>
          <w:snapToGrid/>
          <w:color w:val="auto"/>
          <w:kern w:val="2"/>
          <w:sz w:val="28"/>
          <w:szCs w:val="28"/>
          <w:highlight w:val="none"/>
          <w:lang w:val="en-US" w:eastAsia="zh-CN"/>
        </w:rPr>
        <w:t>8</w:t>
      </w:r>
      <w:r>
        <w:rPr>
          <w:rFonts w:hint="eastAsia" w:ascii="黑体" w:hAnsi="黑体" w:eastAsia="黑体" w:cs="黑体"/>
          <w:bCs w:val="0"/>
          <w:snapToGrid/>
          <w:color w:val="auto"/>
          <w:kern w:val="2"/>
          <w:sz w:val="28"/>
          <w:szCs w:val="28"/>
          <w:highlight w:val="none"/>
          <w:lang w:eastAsia="zh-CN"/>
        </w:rPr>
        <w:t>涉及范围的乡镇（街道）进行复核验证</w:t>
      </w:r>
    </w:p>
    <w:p w14:paraId="4751411A">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针对乡镇反馈的修改意见，通过前往乡镇现场实地复核、</w:t>
      </w:r>
      <w:r>
        <w:rPr>
          <w:rFonts w:hint="eastAsia" w:ascii="Times New Roman" w:hAnsi="Times New Roman" w:eastAsia="方正仿宋_GB2312" w:cs="方正仿宋_GB2312"/>
          <w:b w:val="0"/>
          <w:bCs w:val="0"/>
          <w:snapToGrid/>
          <w:color w:val="auto"/>
          <w:kern w:val="2"/>
          <w:sz w:val="32"/>
          <w:szCs w:val="32"/>
          <w:highlight w:val="none"/>
          <w:lang w:val="en-US" w:eastAsia="zh-CN"/>
        </w:rPr>
        <w:t>开展了</w:t>
      </w:r>
      <w:r>
        <w:rPr>
          <w:rFonts w:hint="eastAsia" w:ascii="Times New Roman" w:hAnsi="Times New Roman" w:eastAsia="方正仿宋_GB2312" w:cs="方正仿宋_GB2312"/>
          <w:b w:val="0"/>
          <w:bCs w:val="0"/>
          <w:snapToGrid/>
          <w:color w:val="auto"/>
          <w:kern w:val="2"/>
          <w:sz w:val="32"/>
          <w:szCs w:val="32"/>
          <w:highlight w:val="none"/>
          <w:lang w:eastAsia="zh-CN"/>
        </w:rPr>
        <w:t>现场沟通答疑。</w:t>
      </w:r>
      <w:r>
        <w:rPr>
          <w:rFonts w:hint="eastAsia" w:ascii="Times New Roman" w:hAnsi="Times New Roman" w:eastAsia="方正仿宋_GB2312" w:cs="方正仿宋_GB2312"/>
          <w:b w:val="0"/>
          <w:bCs w:val="0"/>
          <w:snapToGrid/>
          <w:color w:val="auto"/>
          <w:kern w:val="2"/>
          <w:sz w:val="32"/>
          <w:szCs w:val="32"/>
          <w:highlight w:val="none"/>
          <w:lang w:val="en-US" w:eastAsia="zh-CN"/>
        </w:rPr>
        <w:t>现场叠加了初步禁止开垦陡坡地范围、生态保护红线、自然保护地、大中型水库汇水区和饮用水源一级保护区等有特殊保护和管控的区域，对</w:t>
      </w:r>
      <w:r>
        <w:rPr>
          <w:rFonts w:hint="eastAsia" w:ascii="Times New Roman" w:hAnsi="Times New Roman" w:eastAsia="方正仿宋_GB2312" w:cs="方正仿宋_GB2312"/>
          <w:b w:val="0"/>
          <w:bCs w:val="0"/>
          <w:snapToGrid/>
          <w:color w:val="auto"/>
          <w:kern w:val="2"/>
          <w:sz w:val="32"/>
          <w:szCs w:val="32"/>
          <w:highlight w:val="none"/>
          <w:lang w:eastAsia="zh-CN"/>
        </w:rPr>
        <w:t>图斑进行核实</w:t>
      </w:r>
      <w:r>
        <w:rPr>
          <w:rFonts w:hint="eastAsia" w:ascii="Times New Roman" w:hAnsi="Times New Roman" w:eastAsia="方正仿宋_GB2312" w:cs="方正仿宋_GB2312"/>
          <w:b w:val="0"/>
          <w:bCs w:val="0"/>
          <w:snapToGrid/>
          <w:color w:val="auto"/>
          <w:kern w:val="2"/>
          <w:sz w:val="32"/>
          <w:szCs w:val="32"/>
          <w:highlight w:val="none"/>
          <w:lang w:val="en-US" w:eastAsia="zh-CN"/>
        </w:rPr>
        <w:t>并明确区域内的禁止开垦陡坡地范围</w:t>
      </w:r>
      <w:r>
        <w:rPr>
          <w:rFonts w:hint="eastAsia" w:ascii="Times New Roman" w:hAnsi="Times New Roman" w:eastAsia="方正仿宋_GB2312" w:cs="方正仿宋_GB2312"/>
          <w:b w:val="0"/>
          <w:bCs w:val="0"/>
          <w:snapToGrid/>
          <w:color w:val="auto"/>
          <w:kern w:val="2"/>
          <w:sz w:val="32"/>
          <w:szCs w:val="32"/>
          <w:highlight w:val="none"/>
          <w:lang w:eastAsia="zh-CN"/>
        </w:rPr>
        <w:t>。同时，综合考虑主管部门、乡镇（街道）管理和发展需要，对划定范围进行局部优化调整，从而形成全县禁止开垦陡坡地矢量范围初步成果，划定总面积为</w:t>
      </w:r>
      <w:r>
        <w:rPr>
          <w:rFonts w:hint="eastAsia" w:ascii="Times New Roman" w:hAnsi="Times New Roman" w:eastAsia="方正仿宋_GB2312" w:cs="方正仿宋_GB2312"/>
          <w:b w:val="0"/>
          <w:bCs w:val="0"/>
          <w:snapToGrid/>
          <w:color w:val="auto"/>
          <w:kern w:val="2"/>
          <w:sz w:val="32"/>
          <w:szCs w:val="32"/>
          <w:highlight w:val="none"/>
          <w:lang w:val="en-US" w:eastAsia="zh-CN"/>
        </w:rPr>
        <w:t>1133.66</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，图斑数量共</w:t>
      </w:r>
      <w:r>
        <w:rPr>
          <w:rFonts w:hint="eastAsia" w:ascii="Times New Roman" w:hAnsi="Times New Roman" w:eastAsia="方正仿宋_GB2312" w:cs="方正仿宋_GB2312"/>
          <w:b w:val="0"/>
          <w:bCs w:val="0"/>
          <w:snapToGrid/>
          <w:color w:val="auto"/>
          <w:kern w:val="2"/>
          <w:sz w:val="32"/>
          <w:szCs w:val="32"/>
          <w:highlight w:val="none"/>
          <w:lang w:val="en-US" w:eastAsia="zh-CN"/>
        </w:rPr>
        <w:t>576</w:t>
      </w:r>
      <w:r>
        <w:rPr>
          <w:rFonts w:hint="eastAsia" w:ascii="Times New Roman" w:hAnsi="Times New Roman" w:eastAsia="方正仿宋_GB2312" w:cs="方正仿宋_GB2312"/>
          <w:b w:val="0"/>
          <w:bCs w:val="0"/>
          <w:snapToGrid/>
          <w:color w:val="auto"/>
          <w:kern w:val="2"/>
          <w:sz w:val="32"/>
          <w:szCs w:val="32"/>
          <w:highlight w:val="none"/>
          <w:lang w:eastAsia="zh-CN"/>
        </w:rPr>
        <w:t>个。</w:t>
      </w:r>
    </w:p>
    <w:p w14:paraId="698215BD">
      <w:pPr>
        <w:pStyle w:val="6"/>
        <w:bidi w:val="0"/>
        <w:rPr>
          <w:rFonts w:hint="eastAsia"/>
          <w:lang w:val="en-US" w:eastAsia="zh-CN"/>
        </w:rPr>
      </w:pPr>
      <w:bookmarkStart w:id="26" w:name="_Toc5535"/>
      <w:r>
        <w:rPr>
          <w:rFonts w:hint="eastAsia"/>
          <w:lang w:val="en-US" w:eastAsia="zh-CN"/>
        </w:rPr>
        <w:t>7.征求部门意见</w:t>
      </w:r>
      <w:bookmarkEnd w:id="26"/>
    </w:p>
    <w:p w14:paraId="45DE2A54">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初步划定成果形成后，1</w:t>
      </w:r>
      <w:r>
        <w:rPr>
          <w:rFonts w:hint="eastAsia" w:ascii="Times New Roman" w:hAnsi="Times New Roman" w:eastAsia="方正仿宋_GB2312" w:cs="方正仿宋_GB2312"/>
          <w:b w:val="0"/>
          <w:bCs w:val="0"/>
          <w:snapToGrid/>
          <w:color w:val="auto"/>
          <w:kern w:val="2"/>
          <w:sz w:val="32"/>
          <w:szCs w:val="32"/>
          <w:highlight w:val="none"/>
          <w:lang w:val="en-US"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月</w:t>
      </w:r>
      <w:r>
        <w:rPr>
          <w:rFonts w:hint="eastAsia" w:ascii="Times New Roman" w:hAnsi="Times New Roman" w:eastAsia="方正仿宋_GB2312" w:cs="方正仿宋_GB2312"/>
          <w:b w:val="0"/>
          <w:bCs w:val="0"/>
          <w:snapToGrid/>
          <w:color w:val="auto"/>
          <w:kern w:val="2"/>
          <w:sz w:val="32"/>
          <w:szCs w:val="32"/>
          <w:highlight w:val="none"/>
          <w:lang w:val="en-US" w:eastAsia="zh-CN"/>
        </w:rPr>
        <w:t>11</w:t>
      </w:r>
      <w:r>
        <w:rPr>
          <w:rFonts w:hint="eastAsia" w:ascii="Times New Roman" w:hAnsi="Times New Roman" w:eastAsia="方正仿宋_GB2312" w:cs="方正仿宋_GB2312"/>
          <w:b w:val="0"/>
          <w:bCs w:val="0"/>
          <w:snapToGrid/>
          <w:color w:val="auto"/>
          <w:kern w:val="2"/>
          <w:sz w:val="32"/>
          <w:szCs w:val="32"/>
          <w:highlight w:val="none"/>
          <w:lang w:eastAsia="zh-CN"/>
        </w:rPr>
        <w:t>日，</w:t>
      </w:r>
      <w:r>
        <w:rPr>
          <w:rFonts w:hint="eastAsia" w:ascii="Times New Roman" w:hAnsi="Times New Roman" w:eastAsia="方正仿宋_GB2312" w:cs="方正仿宋_GB2312"/>
          <w:b w:val="0"/>
          <w:bCs w:val="0"/>
          <w:snapToGrid/>
          <w:color w:val="auto"/>
          <w:kern w:val="2"/>
          <w:sz w:val="32"/>
          <w:szCs w:val="32"/>
          <w:highlight w:val="none"/>
          <w:lang w:val="en-US" w:eastAsia="zh-CN"/>
        </w:rPr>
        <w:t>县</w:t>
      </w:r>
      <w:r>
        <w:rPr>
          <w:rFonts w:hint="eastAsia" w:ascii="Times New Roman" w:hAnsi="Times New Roman" w:eastAsia="方正仿宋_GB2312" w:cs="方正仿宋_GB2312"/>
          <w:b w:val="0"/>
          <w:bCs w:val="0"/>
          <w:snapToGrid/>
          <w:color w:val="auto"/>
          <w:kern w:val="2"/>
          <w:sz w:val="32"/>
          <w:szCs w:val="32"/>
          <w:highlight w:val="none"/>
          <w:lang w:eastAsia="zh-CN"/>
        </w:rPr>
        <w:t>水利局组织召开会议，再次征求各部门意见，剔除城口县</w:t>
      </w:r>
      <w:r>
        <w:rPr>
          <w:rFonts w:hint="eastAsia" w:ascii="Times New Roman" w:hAnsi="Times New Roman" w:eastAsia="方正仿宋_GB2312" w:cs="方正仿宋_GB2312"/>
          <w:b w:val="0"/>
          <w:bCs w:val="0"/>
          <w:snapToGrid/>
          <w:color w:val="auto"/>
          <w:kern w:val="2"/>
          <w:sz w:val="32"/>
          <w:szCs w:val="32"/>
          <w:highlight w:val="none"/>
          <w:lang w:val="en-US" w:eastAsia="zh-CN"/>
        </w:rPr>
        <w:t>规划调整耕地</w:t>
      </w:r>
      <w:r>
        <w:rPr>
          <w:rFonts w:hint="eastAsia" w:ascii="Times New Roman" w:hAnsi="Times New Roman" w:eastAsia="方正仿宋_GB2312" w:cs="方正仿宋_GB2312"/>
          <w:b w:val="0"/>
          <w:bCs w:val="0"/>
          <w:snapToGrid/>
          <w:color w:val="auto"/>
          <w:kern w:val="2"/>
          <w:sz w:val="32"/>
          <w:szCs w:val="32"/>
          <w:highlight w:val="none"/>
          <w:lang w:eastAsia="zh-CN"/>
        </w:rPr>
        <w:t>、4级人工商品林（国家储备林）</w:t>
      </w:r>
      <w:r>
        <w:rPr>
          <w:rFonts w:hint="eastAsia" w:ascii="Times New Roman" w:hAnsi="Times New Roman" w:eastAsia="方正仿宋_GB2312" w:cs="方正仿宋_GB2312"/>
          <w:b w:val="0"/>
          <w:bCs w:val="0"/>
          <w:snapToGrid/>
          <w:color w:val="auto"/>
          <w:kern w:val="2"/>
          <w:sz w:val="32"/>
          <w:szCs w:val="32"/>
          <w:highlight w:val="none"/>
          <w:lang w:val="en-US" w:eastAsia="zh-CN"/>
        </w:rPr>
        <w:t>等</w:t>
      </w:r>
      <w:r>
        <w:rPr>
          <w:rFonts w:hint="eastAsia" w:ascii="Times New Roman" w:hAnsi="Times New Roman" w:eastAsia="方正仿宋_GB2312" w:cs="方正仿宋_GB2312"/>
          <w:b w:val="0"/>
          <w:bCs w:val="0"/>
          <w:snapToGrid/>
          <w:color w:val="auto"/>
          <w:kern w:val="2"/>
          <w:sz w:val="32"/>
          <w:szCs w:val="32"/>
          <w:highlight w:val="none"/>
          <w:lang w:eastAsia="zh-CN"/>
        </w:rPr>
        <w:t>划定区域重叠部分，剔除面积分别为</w:t>
      </w:r>
      <w:r>
        <w:rPr>
          <w:rFonts w:hint="eastAsia" w:ascii="Times New Roman" w:hAnsi="Times New Roman" w:eastAsia="方正仿宋_GB2312" w:cs="方正仿宋_GB2312"/>
          <w:b w:val="0"/>
          <w:bCs w:val="0"/>
          <w:snapToGrid/>
          <w:color w:val="auto"/>
          <w:kern w:val="2"/>
          <w:sz w:val="32"/>
          <w:szCs w:val="32"/>
          <w:highlight w:val="none"/>
          <w:lang w:val="en-US" w:eastAsia="zh-CN"/>
        </w:rPr>
        <w:t>19.12</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w:t>
      </w:r>
      <w:r>
        <w:rPr>
          <w:rFonts w:hint="eastAsia" w:ascii="Times New Roman" w:hAnsi="Times New Roman" w:eastAsia="方正仿宋_GB2312" w:cs="方正仿宋_GB2312"/>
          <w:b w:val="0"/>
          <w:bCs w:val="0"/>
          <w:snapToGrid/>
          <w:color w:val="auto"/>
          <w:kern w:val="2"/>
          <w:sz w:val="32"/>
          <w:szCs w:val="32"/>
          <w:highlight w:val="none"/>
          <w:lang w:val="en-US" w:eastAsia="zh-CN"/>
        </w:rPr>
        <w:t>0.18</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；各部门反馈意见修改完善后，依据《技术指南》对划定地块再次进行边界修正，修正后剔除面积小于5</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hm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的图斑，最终形成城口县禁止开垦陡坡地范围划定成果，全县禁止开垦陡坡地范围划定总面积为</w:t>
      </w:r>
      <w:r>
        <w:rPr>
          <w:rFonts w:hint="eastAsia" w:ascii="Times New Roman" w:hAnsi="Times New Roman" w:eastAsia="方正仿宋_GB2312" w:cs="方正仿宋_GB2312"/>
          <w:b w:val="0"/>
          <w:bCs w:val="0"/>
          <w:snapToGrid/>
          <w:color w:val="auto"/>
          <w:kern w:val="2"/>
          <w:sz w:val="32"/>
          <w:szCs w:val="32"/>
          <w:highlight w:val="none"/>
          <w:lang w:val="en-US" w:eastAsia="zh-CN"/>
        </w:rPr>
        <w:t>1114.36</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，图斑最终数量共计</w:t>
      </w:r>
      <w:r>
        <w:rPr>
          <w:rFonts w:hint="eastAsia" w:ascii="Times New Roman" w:hAnsi="Times New Roman" w:eastAsia="方正仿宋_GB2312" w:cs="方正仿宋_GB2312"/>
          <w:b w:val="0"/>
          <w:bCs w:val="0"/>
          <w:snapToGrid/>
          <w:color w:val="auto"/>
          <w:kern w:val="2"/>
          <w:sz w:val="32"/>
          <w:szCs w:val="32"/>
          <w:highlight w:val="none"/>
          <w:lang w:val="en-US" w:eastAsia="zh-CN"/>
        </w:rPr>
        <w:t>598</w:t>
      </w:r>
      <w:r>
        <w:rPr>
          <w:rFonts w:hint="eastAsia" w:ascii="Times New Roman" w:hAnsi="Times New Roman" w:eastAsia="方正仿宋_GB2312" w:cs="方正仿宋_GB2312"/>
          <w:b w:val="0"/>
          <w:bCs w:val="0"/>
          <w:snapToGrid/>
          <w:color w:val="auto"/>
          <w:kern w:val="2"/>
          <w:sz w:val="32"/>
          <w:szCs w:val="32"/>
          <w:highlight w:val="none"/>
          <w:lang w:eastAsia="zh-CN"/>
        </w:rPr>
        <w:t>个。</w:t>
      </w:r>
    </w:p>
    <w:p w14:paraId="7336A89B">
      <w:pPr>
        <w:pStyle w:val="6"/>
        <w:bidi w:val="0"/>
        <w:rPr>
          <w:rFonts w:hint="eastAsia"/>
          <w:lang w:val="en-US" w:eastAsia="zh-CN"/>
        </w:rPr>
      </w:pPr>
      <w:bookmarkStart w:id="27" w:name="_Toc2755"/>
      <w:r>
        <w:rPr>
          <w:rFonts w:hint="eastAsia"/>
          <w:lang w:val="en-US" w:eastAsia="zh-CN"/>
        </w:rPr>
        <w:t>8.成果编制</w:t>
      </w:r>
      <w:bookmarkEnd w:id="27"/>
    </w:p>
    <w:p w14:paraId="6B1E7263">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根据禁止开垦陡坡地范围矢量，结合水利部《技术指南》要求，完成数据分析，编制形成划定成果，包括技术报告、图件、表格和数据库。</w:t>
      </w:r>
    </w:p>
    <w:p w14:paraId="00999548">
      <w:pPr>
        <w:pStyle w:val="3"/>
        <w:bidi w:val="0"/>
        <w:rPr>
          <w:rFonts w:hint="eastAsia"/>
          <w:lang w:val="en-US" w:eastAsia="zh-CN"/>
        </w:rPr>
      </w:pPr>
      <w:bookmarkStart w:id="28" w:name="bookmark44"/>
      <w:bookmarkEnd w:id="28"/>
      <w:bookmarkStart w:id="29" w:name="bookmark46"/>
      <w:bookmarkEnd w:id="29"/>
      <w:bookmarkStart w:id="30" w:name="_Toc25087"/>
      <w:r>
        <w:rPr>
          <w:rFonts w:hint="eastAsia"/>
          <w:lang w:val="en-US" w:eastAsia="zh-CN"/>
        </w:rPr>
        <w:t>四、划定成果</w:t>
      </w:r>
      <w:bookmarkEnd w:id="30"/>
    </w:p>
    <w:p w14:paraId="432DA33B">
      <w:pPr>
        <w:pStyle w:val="4"/>
        <w:bidi w:val="0"/>
        <w:rPr>
          <w:rFonts w:hint="eastAsia"/>
          <w:lang w:eastAsia="zh-CN"/>
        </w:rPr>
      </w:pPr>
      <w:bookmarkStart w:id="31" w:name="_Toc2562"/>
      <w:r>
        <w:rPr>
          <w:rFonts w:hint="eastAsia"/>
          <w:lang w:eastAsia="zh-CN"/>
        </w:rPr>
        <w:t>（</w:t>
      </w:r>
      <w:r>
        <w:rPr>
          <w:rFonts w:hint="eastAsia"/>
          <w:lang w:val="en-US" w:eastAsia="zh-CN"/>
        </w:rPr>
        <w:t>一</w:t>
      </w:r>
      <w:r>
        <w:rPr>
          <w:rFonts w:hint="eastAsia"/>
          <w:lang w:eastAsia="zh-CN"/>
        </w:rPr>
        <w:t>）划定总体情况</w:t>
      </w:r>
      <w:bookmarkEnd w:id="31"/>
    </w:p>
    <w:p w14:paraId="53F2633A">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城口县202</w:t>
      </w:r>
      <w:r>
        <w:rPr>
          <w:rFonts w:hint="eastAsia" w:ascii="Times New Roman" w:hAnsi="Times New Roman" w:eastAsia="方正仿宋_GB2312" w:cs="方正仿宋_GB2312"/>
          <w:b w:val="0"/>
          <w:bCs w:val="0"/>
          <w:snapToGrid/>
          <w:color w:val="auto"/>
          <w:kern w:val="2"/>
          <w:sz w:val="32"/>
          <w:szCs w:val="32"/>
          <w:highlight w:val="none"/>
          <w:lang w:val="en-US" w:eastAsia="zh-CN"/>
        </w:rPr>
        <w:t>3</w:t>
      </w:r>
      <w:r>
        <w:rPr>
          <w:rFonts w:hint="eastAsia" w:ascii="Times New Roman" w:hAnsi="Times New Roman" w:eastAsia="方正仿宋_GB2312" w:cs="方正仿宋_GB2312"/>
          <w:b w:val="0"/>
          <w:bCs w:val="0"/>
          <w:snapToGrid/>
          <w:color w:val="auto"/>
          <w:kern w:val="2"/>
          <w:sz w:val="32"/>
          <w:szCs w:val="32"/>
          <w:highlight w:val="none"/>
          <w:lang w:eastAsia="zh-CN"/>
        </w:rPr>
        <w:t>年年度国土变更调查数据统计，全县林地总面积3026.8</w:t>
      </w:r>
      <w:r>
        <w:rPr>
          <w:rFonts w:hint="eastAsia" w:ascii="Times New Roman" w:hAnsi="Times New Roman" w:eastAsia="方正仿宋_GB2312" w:cs="方正仿宋_GB2312"/>
          <w:b w:val="0"/>
          <w:bCs w:val="0"/>
          <w:snapToGrid/>
          <w:color w:val="auto"/>
          <w:kern w:val="2"/>
          <w:sz w:val="32"/>
          <w:szCs w:val="32"/>
          <w:highlight w:val="none"/>
          <w:lang w:val="en-US" w:eastAsia="zh-CN"/>
        </w:rPr>
        <w:t>0</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，草地23.75</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，裸土地0.24</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，划定前后对比情况见表4-1。本次禁止开垦陡坡地图斑范围划定中，地类合并后集中连片且单片面积大于5</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hm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的图斑全县共</w:t>
      </w:r>
      <w:r>
        <w:rPr>
          <w:rFonts w:hint="eastAsia" w:ascii="Times New Roman" w:hAnsi="Times New Roman" w:eastAsia="方正仿宋_GB2312" w:cs="方正仿宋_GB2312"/>
          <w:b w:val="0"/>
          <w:bCs w:val="0"/>
          <w:snapToGrid/>
          <w:color w:val="auto"/>
          <w:kern w:val="2"/>
          <w:sz w:val="32"/>
          <w:szCs w:val="32"/>
          <w:highlight w:val="none"/>
          <w:lang w:val="en-US" w:eastAsia="zh-CN"/>
        </w:rPr>
        <w:t>576</w:t>
      </w:r>
      <w:r>
        <w:rPr>
          <w:rFonts w:hint="eastAsia" w:ascii="Times New Roman" w:hAnsi="Times New Roman" w:eastAsia="方正仿宋_GB2312" w:cs="方正仿宋_GB2312"/>
          <w:b w:val="0"/>
          <w:bCs w:val="0"/>
          <w:snapToGrid/>
          <w:color w:val="auto"/>
          <w:kern w:val="2"/>
          <w:sz w:val="32"/>
          <w:szCs w:val="32"/>
          <w:highlight w:val="none"/>
          <w:lang w:eastAsia="zh-CN"/>
        </w:rPr>
        <w:t>个，划定图斑全部为林地，面积共计</w:t>
      </w:r>
      <w:r>
        <w:rPr>
          <w:rFonts w:hint="eastAsia" w:ascii="Times New Roman" w:hAnsi="Times New Roman" w:eastAsia="方正仿宋_GB2312" w:cs="方正仿宋_GB2312"/>
          <w:b w:val="0"/>
          <w:bCs w:val="0"/>
          <w:snapToGrid/>
          <w:color w:val="auto"/>
          <w:kern w:val="2"/>
          <w:sz w:val="32"/>
          <w:szCs w:val="32"/>
          <w:highlight w:val="none"/>
          <w:lang w:val="en-US" w:eastAsia="zh-CN"/>
        </w:rPr>
        <w:t>1114.36</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，占全县土地面积的</w:t>
      </w:r>
      <w:r>
        <w:rPr>
          <w:rFonts w:hint="eastAsia" w:ascii="Times New Roman" w:hAnsi="Times New Roman" w:eastAsia="方正仿宋_GB2312" w:cs="方正仿宋_GB2312"/>
          <w:b w:val="0"/>
          <w:bCs w:val="0"/>
          <w:snapToGrid/>
          <w:color w:val="auto"/>
          <w:kern w:val="2"/>
          <w:sz w:val="32"/>
          <w:szCs w:val="32"/>
          <w:highlight w:val="none"/>
          <w:lang w:val="en-US" w:eastAsia="zh-CN"/>
        </w:rPr>
        <w:t>33.88</w:t>
      </w:r>
      <w:r>
        <w:rPr>
          <w:rFonts w:hint="eastAsia" w:ascii="Times New Roman" w:hAnsi="Times New Roman" w:eastAsia="方正仿宋_GB2312" w:cs="方正仿宋_GB2312"/>
          <w:b w:val="0"/>
          <w:bCs w:val="0"/>
          <w:snapToGrid/>
          <w:color w:val="auto"/>
          <w:kern w:val="2"/>
          <w:sz w:val="32"/>
          <w:szCs w:val="32"/>
          <w:highlight w:val="none"/>
          <w:lang w:eastAsia="zh-CN"/>
        </w:rPr>
        <w:t>%。划定的禁止开垦陡坡林地占全县林地面积</w:t>
      </w:r>
      <w:r>
        <w:rPr>
          <w:rFonts w:hint="eastAsia" w:ascii="Times New Roman" w:hAnsi="Times New Roman" w:eastAsia="方正仿宋_GB2312" w:cs="方正仿宋_GB2312"/>
          <w:b w:val="0"/>
          <w:bCs w:val="0"/>
          <w:snapToGrid/>
          <w:color w:val="auto"/>
          <w:kern w:val="2"/>
          <w:sz w:val="32"/>
          <w:szCs w:val="32"/>
          <w:highlight w:val="none"/>
          <w:lang w:val="en-US" w:eastAsia="zh-CN"/>
        </w:rPr>
        <w:t>36.81</w:t>
      </w:r>
      <w:r>
        <w:rPr>
          <w:rFonts w:hint="eastAsia" w:ascii="Times New Roman" w:hAnsi="Times New Roman" w:eastAsia="方正仿宋_GB2312" w:cs="方正仿宋_GB2312"/>
          <w:b w:val="0"/>
          <w:bCs w:val="0"/>
          <w:snapToGrid/>
          <w:color w:val="auto"/>
          <w:kern w:val="2"/>
          <w:sz w:val="32"/>
          <w:szCs w:val="32"/>
          <w:highlight w:val="none"/>
          <w:lang w:eastAsia="zh-CN"/>
        </w:rPr>
        <w:t>%，占全县25°以上土地面积的</w:t>
      </w:r>
      <w:r>
        <w:rPr>
          <w:rFonts w:hint="eastAsia" w:ascii="Times New Roman" w:hAnsi="Times New Roman" w:eastAsia="方正仿宋_GB2312" w:cs="方正仿宋_GB2312"/>
          <w:b w:val="0"/>
          <w:bCs w:val="0"/>
          <w:snapToGrid/>
          <w:color w:val="auto"/>
          <w:kern w:val="2"/>
          <w:sz w:val="32"/>
          <w:szCs w:val="32"/>
          <w:highlight w:val="none"/>
          <w:lang w:val="en-US" w:eastAsia="zh-CN"/>
        </w:rPr>
        <w:t>37.81</w:t>
      </w:r>
      <w:r>
        <w:rPr>
          <w:rFonts w:hint="eastAsia" w:ascii="Times New Roman" w:hAnsi="Times New Roman" w:eastAsia="方正仿宋_GB2312" w:cs="方正仿宋_GB2312"/>
          <w:b w:val="0"/>
          <w:bCs w:val="0"/>
          <w:snapToGrid/>
          <w:color w:val="auto"/>
          <w:kern w:val="2"/>
          <w:sz w:val="32"/>
          <w:szCs w:val="32"/>
          <w:highlight w:val="none"/>
          <w:lang w:eastAsia="zh-CN"/>
        </w:rPr>
        <w:t>%。划定禁垦范围主要呈条带状多分布于城口县</w:t>
      </w:r>
      <w:r>
        <w:rPr>
          <w:rFonts w:hint="eastAsia" w:ascii="Times New Roman" w:hAnsi="Times New Roman" w:eastAsia="方正仿宋_GB2312" w:cs="方正仿宋_GB2312"/>
          <w:b w:val="0"/>
          <w:bCs w:val="0"/>
          <w:snapToGrid/>
          <w:color w:val="auto"/>
          <w:kern w:val="2"/>
          <w:sz w:val="32"/>
          <w:szCs w:val="32"/>
          <w:highlight w:val="none"/>
          <w:lang w:val="en-US" w:eastAsia="zh-CN"/>
        </w:rPr>
        <w:t>东</w:t>
      </w:r>
      <w:r>
        <w:rPr>
          <w:rFonts w:hint="eastAsia" w:ascii="Times New Roman" w:hAnsi="Times New Roman" w:eastAsia="方正仿宋_GB2312" w:cs="方正仿宋_GB2312"/>
          <w:b w:val="0"/>
          <w:bCs w:val="0"/>
          <w:snapToGrid/>
          <w:color w:val="auto"/>
          <w:kern w:val="2"/>
          <w:sz w:val="32"/>
          <w:szCs w:val="32"/>
          <w:highlight w:val="none"/>
          <w:lang w:eastAsia="zh-CN"/>
        </w:rPr>
        <w:t>部、</w:t>
      </w:r>
      <w:r>
        <w:rPr>
          <w:rFonts w:hint="eastAsia" w:ascii="Times New Roman" w:hAnsi="Times New Roman" w:eastAsia="方正仿宋_GB2312" w:cs="方正仿宋_GB2312"/>
          <w:b w:val="0"/>
          <w:bCs w:val="0"/>
          <w:snapToGrid/>
          <w:color w:val="auto"/>
          <w:kern w:val="2"/>
          <w:sz w:val="32"/>
          <w:szCs w:val="32"/>
          <w:highlight w:val="none"/>
          <w:lang w:val="en-US" w:eastAsia="zh-CN"/>
        </w:rPr>
        <w:t>东北</w:t>
      </w:r>
      <w:r>
        <w:rPr>
          <w:rFonts w:hint="eastAsia" w:ascii="Times New Roman" w:hAnsi="Times New Roman" w:eastAsia="方正仿宋_GB2312" w:cs="方正仿宋_GB2312"/>
          <w:b w:val="0"/>
          <w:bCs w:val="0"/>
          <w:snapToGrid/>
          <w:color w:val="auto"/>
          <w:kern w:val="2"/>
          <w:sz w:val="32"/>
          <w:szCs w:val="32"/>
          <w:highlight w:val="none"/>
          <w:lang w:eastAsia="zh-CN"/>
        </w:rPr>
        <w:t>部和西北部等生态集中区域，分布情况如图4-1所示。</w:t>
      </w:r>
    </w:p>
    <w:p w14:paraId="3268A561">
      <w:pPr>
        <w:keepNext w:val="0"/>
        <w:keepLines w:val="0"/>
        <w:pageBreakBefore w:val="0"/>
        <w:widowControl/>
        <w:kinsoku/>
        <w:wordWrap/>
        <w:overflowPunct/>
        <w:topLinePunct w:val="0"/>
        <w:autoSpaceDE w:val="0"/>
        <w:autoSpaceDN w:val="0"/>
        <w:bidi w:val="0"/>
        <w:adjustRightInd w:val="0"/>
        <w:snapToGrid w:val="0"/>
        <w:spacing w:before="92" w:line="240" w:lineRule="auto"/>
        <w:ind w:firstLine="159"/>
        <w:jc w:val="both"/>
        <w:rPr>
          <w:rFonts w:hint="eastAsia" w:eastAsia="宋体"/>
          <w:color w:val="auto"/>
          <w:lang w:eastAsia="zh-CN"/>
        </w:rPr>
      </w:pPr>
      <w:r>
        <w:rPr>
          <w:rFonts w:hint="eastAsia" w:eastAsia="宋体"/>
          <w:color w:val="auto"/>
          <w:lang w:eastAsia="zh-CN"/>
        </w:rPr>
        <w:drawing>
          <wp:inline distT="0" distB="0" distL="114300" distR="114300">
            <wp:extent cx="5268595" cy="4648200"/>
            <wp:effectExtent l="0" t="0" r="0" b="0"/>
            <wp:docPr id="1" name="图片 1" descr="H:/3项目库/2025_城口县禁垦陡坡地划定/城口县_禁止开垦陡坡地划定工作需要的基础资料/2图表资料/城口县禁止开垦陡坡地范围划定成果图.jpg城口县禁止开垦陡坡地范围划定成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3项目库/2025_城口县禁垦陡坡地划定/城口县_禁止开垦陡坡地划定工作需要的基础资料/2图表资料/城口县禁止开垦陡坡地范围划定成果图.jpg城口县禁止开垦陡坡地范围划定成果图"/>
                    <pic:cNvPicPr>
                      <a:picLocks noChangeAspect="1"/>
                    </pic:cNvPicPr>
                  </pic:nvPicPr>
                  <pic:blipFill>
                    <a:blip r:embed="rId31"/>
                    <a:srcRect t="1395" b="1409"/>
                    <a:stretch>
                      <a:fillRect/>
                    </a:stretch>
                  </pic:blipFill>
                  <pic:spPr>
                    <a:xfrm>
                      <a:off x="0" y="0"/>
                      <a:ext cx="5268595" cy="4648200"/>
                    </a:xfrm>
                    <a:prstGeom prst="rect">
                      <a:avLst/>
                    </a:prstGeom>
                  </pic:spPr>
                </pic:pic>
              </a:graphicData>
            </a:graphic>
          </wp:inline>
        </w:drawing>
      </w:r>
    </w:p>
    <w:p w14:paraId="46BC96E7">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图4-1城口县禁止开垦陡坡地分布示意图</w:t>
      </w:r>
    </w:p>
    <w:p w14:paraId="1CE4EBA6">
      <w:pPr>
        <w:keepNext w:val="0"/>
        <w:keepLines w:val="0"/>
        <w:pageBreakBefore w:val="0"/>
        <w:widowControl/>
        <w:kinsoku/>
        <w:wordWrap/>
        <w:overflowPunct/>
        <w:topLinePunct w:val="0"/>
        <w:autoSpaceDE w:val="0"/>
        <w:autoSpaceDN w:val="0"/>
        <w:bidi w:val="0"/>
        <w:adjustRightInd w:val="0"/>
        <w:snapToGrid w:val="0"/>
        <w:spacing w:line="257" w:lineRule="auto"/>
        <w:jc w:val="both"/>
        <w:rPr>
          <w:rFonts w:ascii="Arial"/>
          <w:color w:val="auto"/>
          <w:sz w:val="21"/>
        </w:rPr>
      </w:pPr>
    </w:p>
    <w:p w14:paraId="124267BF">
      <w:pPr>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br w:type="page"/>
      </w:r>
    </w:p>
    <w:p w14:paraId="28731CD1">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表4-1划定对比（单位：</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黑体" w:hAnsi="黑体" w:eastAsia="黑体" w:cs="黑体"/>
          <w:bCs w:val="0"/>
          <w:snapToGrid/>
          <w:color w:val="auto"/>
          <w:kern w:val="2"/>
          <w:sz w:val="28"/>
          <w:szCs w:val="28"/>
          <w:highlight w:val="none"/>
          <w:lang w:eastAsia="zh-CN"/>
        </w:rPr>
        <w:t>）</w:t>
      </w:r>
    </w:p>
    <w:tbl>
      <w:tblPr>
        <w:tblStyle w:val="15"/>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4"/>
        <w:gridCol w:w="2073"/>
        <w:gridCol w:w="2075"/>
        <w:gridCol w:w="2080"/>
      </w:tblGrid>
      <w:tr w14:paraId="5F1E5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074" w:type="dxa"/>
            <w:vAlign w:val="center"/>
          </w:tcPr>
          <w:p w14:paraId="2B4DDEB6">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地类</w:t>
            </w:r>
          </w:p>
        </w:tc>
        <w:tc>
          <w:tcPr>
            <w:tcW w:w="2073" w:type="dxa"/>
            <w:vAlign w:val="center"/>
          </w:tcPr>
          <w:p w14:paraId="3FA2D19A">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val="en-US" w:eastAsia="zh-CN"/>
              </w:rPr>
              <w:t>城口</w:t>
            </w:r>
            <w:r>
              <w:rPr>
                <w:rFonts w:hint="eastAsia" w:ascii="宋体" w:hAnsi="宋体" w:eastAsia="宋体" w:cs="宋体"/>
                <w:b/>
                <w:bCs/>
                <w:snapToGrid/>
                <w:kern w:val="0"/>
                <w:sz w:val="21"/>
                <w:szCs w:val="21"/>
                <w:lang w:eastAsia="zh-CN"/>
              </w:rPr>
              <w:t>全域</w:t>
            </w:r>
          </w:p>
        </w:tc>
        <w:tc>
          <w:tcPr>
            <w:tcW w:w="2075" w:type="dxa"/>
            <w:vAlign w:val="center"/>
          </w:tcPr>
          <w:p w14:paraId="110FF5B1">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坡度≥25°</w:t>
            </w:r>
          </w:p>
        </w:tc>
        <w:tc>
          <w:tcPr>
            <w:tcW w:w="2080" w:type="dxa"/>
            <w:vAlign w:val="center"/>
          </w:tcPr>
          <w:p w14:paraId="33E56438">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bookmarkStart w:id="32" w:name="bookmark43"/>
            <w:bookmarkEnd w:id="32"/>
            <w:r>
              <w:rPr>
                <w:rFonts w:hint="eastAsia" w:ascii="宋体" w:hAnsi="宋体" w:eastAsia="宋体" w:cs="宋体"/>
                <w:b/>
                <w:bCs/>
                <w:snapToGrid/>
                <w:kern w:val="0"/>
                <w:sz w:val="21"/>
                <w:szCs w:val="21"/>
                <w:lang w:eastAsia="zh-CN"/>
              </w:rPr>
              <w:t>划定成果</w:t>
            </w:r>
          </w:p>
        </w:tc>
      </w:tr>
      <w:tr w14:paraId="1E4D1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4" w:type="dxa"/>
            <w:vAlign w:val="center"/>
          </w:tcPr>
          <w:p w14:paraId="02BEB38F">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林地</w:t>
            </w:r>
          </w:p>
        </w:tc>
        <w:tc>
          <w:tcPr>
            <w:tcW w:w="2073" w:type="dxa"/>
            <w:vAlign w:val="center"/>
          </w:tcPr>
          <w:p w14:paraId="4F03C18F">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3026.80</w:t>
            </w:r>
          </w:p>
        </w:tc>
        <w:tc>
          <w:tcPr>
            <w:tcW w:w="2075" w:type="dxa"/>
            <w:vAlign w:val="center"/>
          </w:tcPr>
          <w:p w14:paraId="72995C99">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2267</w:t>
            </w:r>
            <w:r>
              <w:rPr>
                <w:rFonts w:hint="eastAsia" w:ascii="CESI仿宋-GB2312" w:hAnsi="CESI仿宋-GB2312" w:eastAsia="CESI仿宋-GB2312" w:cs="CESI仿宋-GB2312"/>
                <w:snapToGrid/>
                <w:kern w:val="0"/>
                <w:sz w:val="21"/>
                <w:szCs w:val="21"/>
                <w:lang w:eastAsia="zh-CN"/>
              </w:rPr>
              <w:t>.</w:t>
            </w:r>
            <w:r>
              <w:rPr>
                <w:rFonts w:hint="eastAsia" w:ascii="CESI仿宋-GB2312" w:hAnsi="CESI仿宋-GB2312" w:eastAsia="CESI仿宋-GB2312" w:cs="CESI仿宋-GB2312"/>
                <w:snapToGrid/>
                <w:kern w:val="0"/>
                <w:sz w:val="21"/>
                <w:szCs w:val="21"/>
                <w:lang w:val="en-US" w:eastAsia="zh-CN"/>
              </w:rPr>
              <w:t>00</w:t>
            </w:r>
          </w:p>
        </w:tc>
        <w:tc>
          <w:tcPr>
            <w:tcW w:w="2080" w:type="dxa"/>
            <w:vAlign w:val="center"/>
          </w:tcPr>
          <w:p w14:paraId="3698CC8F">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1114.36</w:t>
            </w:r>
          </w:p>
        </w:tc>
      </w:tr>
      <w:tr w14:paraId="7653C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4" w:type="dxa"/>
            <w:vAlign w:val="center"/>
          </w:tcPr>
          <w:p w14:paraId="1C7557F5">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草地</w:t>
            </w:r>
          </w:p>
        </w:tc>
        <w:tc>
          <w:tcPr>
            <w:tcW w:w="2073" w:type="dxa"/>
            <w:vAlign w:val="center"/>
          </w:tcPr>
          <w:p w14:paraId="656BEEE1">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23.75</w:t>
            </w:r>
          </w:p>
        </w:tc>
        <w:tc>
          <w:tcPr>
            <w:tcW w:w="2075" w:type="dxa"/>
            <w:vAlign w:val="center"/>
          </w:tcPr>
          <w:p w14:paraId="7883CD3F">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8.39</w:t>
            </w:r>
          </w:p>
        </w:tc>
        <w:tc>
          <w:tcPr>
            <w:tcW w:w="2080" w:type="dxa"/>
            <w:vAlign w:val="center"/>
          </w:tcPr>
          <w:p w14:paraId="217532D7">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0.00</w:t>
            </w:r>
          </w:p>
        </w:tc>
      </w:tr>
      <w:tr w14:paraId="5039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4" w:type="dxa"/>
            <w:vAlign w:val="center"/>
          </w:tcPr>
          <w:p w14:paraId="29AAD7F2">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裸土地</w:t>
            </w:r>
          </w:p>
        </w:tc>
        <w:tc>
          <w:tcPr>
            <w:tcW w:w="2073" w:type="dxa"/>
            <w:vAlign w:val="center"/>
          </w:tcPr>
          <w:p w14:paraId="7A9D5234">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eastAsia="zh-CN"/>
              </w:rPr>
              <w:t>0.</w:t>
            </w:r>
            <w:r>
              <w:rPr>
                <w:rFonts w:hint="eastAsia" w:ascii="CESI仿宋-GB2312" w:hAnsi="CESI仿宋-GB2312" w:eastAsia="CESI仿宋-GB2312" w:cs="CESI仿宋-GB2312"/>
                <w:snapToGrid/>
                <w:kern w:val="0"/>
                <w:sz w:val="21"/>
                <w:szCs w:val="21"/>
                <w:lang w:val="en-US" w:eastAsia="zh-CN"/>
              </w:rPr>
              <w:t>24</w:t>
            </w:r>
          </w:p>
        </w:tc>
        <w:tc>
          <w:tcPr>
            <w:tcW w:w="2075" w:type="dxa"/>
            <w:vAlign w:val="center"/>
          </w:tcPr>
          <w:p w14:paraId="018873E0">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0.</w:t>
            </w:r>
            <w:r>
              <w:rPr>
                <w:rFonts w:hint="eastAsia" w:ascii="CESI仿宋-GB2312" w:hAnsi="CESI仿宋-GB2312" w:eastAsia="CESI仿宋-GB2312" w:cs="CESI仿宋-GB2312"/>
                <w:snapToGrid/>
                <w:kern w:val="0"/>
                <w:sz w:val="21"/>
                <w:szCs w:val="21"/>
                <w:lang w:val="en-US" w:eastAsia="zh-CN"/>
              </w:rPr>
              <w:t>0</w:t>
            </w:r>
            <w:r>
              <w:rPr>
                <w:rFonts w:hint="eastAsia" w:ascii="CESI仿宋-GB2312" w:hAnsi="CESI仿宋-GB2312" w:eastAsia="CESI仿宋-GB2312" w:cs="CESI仿宋-GB2312"/>
                <w:snapToGrid/>
                <w:kern w:val="0"/>
                <w:sz w:val="21"/>
                <w:szCs w:val="21"/>
                <w:lang w:eastAsia="zh-CN"/>
              </w:rPr>
              <w:t>1</w:t>
            </w:r>
          </w:p>
        </w:tc>
        <w:tc>
          <w:tcPr>
            <w:tcW w:w="2080" w:type="dxa"/>
            <w:vAlign w:val="center"/>
          </w:tcPr>
          <w:p w14:paraId="786E295A">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0.00</w:t>
            </w:r>
          </w:p>
        </w:tc>
      </w:tr>
      <w:tr w14:paraId="2155A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4" w:type="dxa"/>
            <w:vAlign w:val="center"/>
          </w:tcPr>
          <w:p w14:paraId="560059AB">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snapToGrid/>
                <w:kern w:val="0"/>
                <w:sz w:val="21"/>
                <w:szCs w:val="21"/>
                <w:lang w:eastAsia="zh-CN"/>
              </w:rPr>
            </w:pPr>
            <w:r>
              <w:rPr>
                <w:rFonts w:hint="eastAsia" w:ascii="CESI仿宋-GB2312" w:hAnsi="CESI仿宋-GB2312" w:eastAsia="CESI仿宋-GB2312" w:cs="CESI仿宋-GB2312"/>
                <w:snapToGrid/>
                <w:kern w:val="0"/>
                <w:sz w:val="21"/>
                <w:szCs w:val="21"/>
                <w:lang w:eastAsia="zh-CN"/>
              </w:rPr>
              <w:t>合计</w:t>
            </w:r>
          </w:p>
        </w:tc>
        <w:tc>
          <w:tcPr>
            <w:tcW w:w="2073" w:type="dxa"/>
            <w:vAlign w:val="center"/>
          </w:tcPr>
          <w:p w14:paraId="5FFA4519">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3050.79</w:t>
            </w:r>
          </w:p>
        </w:tc>
        <w:tc>
          <w:tcPr>
            <w:tcW w:w="2075" w:type="dxa"/>
            <w:vAlign w:val="center"/>
          </w:tcPr>
          <w:p w14:paraId="46B5C212">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2275.4</w:t>
            </w:r>
          </w:p>
        </w:tc>
        <w:tc>
          <w:tcPr>
            <w:tcW w:w="2080" w:type="dxa"/>
            <w:vAlign w:val="center"/>
          </w:tcPr>
          <w:p w14:paraId="6BB5D9AA">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snapToGrid/>
                <w:kern w:val="0"/>
                <w:sz w:val="21"/>
                <w:szCs w:val="21"/>
                <w:lang w:val="en-US" w:eastAsia="zh-CN"/>
              </w:rPr>
            </w:pPr>
            <w:r>
              <w:rPr>
                <w:rFonts w:hint="eastAsia" w:ascii="CESI仿宋-GB2312" w:hAnsi="CESI仿宋-GB2312" w:eastAsia="CESI仿宋-GB2312" w:cs="CESI仿宋-GB2312"/>
                <w:snapToGrid/>
                <w:kern w:val="0"/>
                <w:sz w:val="21"/>
                <w:szCs w:val="21"/>
                <w:lang w:val="en-US" w:eastAsia="zh-CN"/>
              </w:rPr>
              <w:t>1114.36</w:t>
            </w:r>
          </w:p>
        </w:tc>
      </w:tr>
    </w:tbl>
    <w:p w14:paraId="086C79DC">
      <w:pPr>
        <w:pStyle w:val="4"/>
        <w:bidi w:val="0"/>
        <w:rPr>
          <w:rFonts w:hint="eastAsia"/>
          <w:lang w:eastAsia="zh-CN"/>
        </w:rPr>
      </w:pPr>
      <w:bookmarkStart w:id="33" w:name="bookmark48"/>
      <w:bookmarkEnd w:id="33"/>
      <w:bookmarkStart w:id="34" w:name="_Toc21447"/>
      <w:r>
        <w:rPr>
          <w:rFonts w:hint="eastAsia"/>
          <w:lang w:eastAsia="zh-CN"/>
        </w:rPr>
        <w:t>（</w:t>
      </w:r>
      <w:r>
        <w:rPr>
          <w:rFonts w:hint="eastAsia"/>
          <w:lang w:val="en-US" w:eastAsia="zh-CN"/>
        </w:rPr>
        <w:t>二</w:t>
      </w:r>
      <w:r>
        <w:rPr>
          <w:rFonts w:hint="eastAsia"/>
          <w:lang w:eastAsia="zh-CN"/>
        </w:rPr>
        <w:t>）乡镇（街道）划定情况</w:t>
      </w:r>
      <w:bookmarkEnd w:id="34"/>
    </w:p>
    <w:p w14:paraId="7290F180">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val="en-US" w:eastAsia="zh-CN"/>
        </w:rPr>
        <w:t>城口</w:t>
      </w:r>
      <w:r>
        <w:rPr>
          <w:rFonts w:hint="eastAsia" w:ascii="Times New Roman" w:hAnsi="Times New Roman" w:eastAsia="方正仿宋_GB2312" w:cs="方正仿宋_GB2312"/>
          <w:b w:val="0"/>
          <w:bCs w:val="0"/>
          <w:snapToGrid/>
          <w:color w:val="auto"/>
          <w:kern w:val="2"/>
          <w:sz w:val="32"/>
          <w:szCs w:val="32"/>
          <w:highlight w:val="none"/>
          <w:lang w:eastAsia="zh-CN"/>
        </w:rPr>
        <w:t>全域</w:t>
      </w:r>
      <w:r>
        <w:rPr>
          <w:rFonts w:hint="eastAsia" w:ascii="Times New Roman" w:hAnsi="Times New Roman" w:eastAsia="方正仿宋_GB2312" w:cs="方正仿宋_GB2312"/>
          <w:b w:val="0"/>
          <w:bCs w:val="0"/>
          <w:snapToGrid/>
          <w:color w:val="auto"/>
          <w:kern w:val="2"/>
          <w:sz w:val="32"/>
          <w:szCs w:val="32"/>
          <w:highlight w:val="none"/>
          <w:lang w:val="en-US" w:eastAsia="zh-CN"/>
        </w:rPr>
        <w:t>25</w:t>
      </w:r>
      <w:r>
        <w:rPr>
          <w:rFonts w:hint="eastAsia" w:ascii="Times New Roman" w:hAnsi="Times New Roman" w:eastAsia="方正仿宋_GB2312" w:cs="方正仿宋_GB2312"/>
          <w:b w:val="0"/>
          <w:bCs w:val="0"/>
          <w:snapToGrid/>
          <w:color w:val="auto"/>
          <w:kern w:val="2"/>
          <w:sz w:val="32"/>
          <w:szCs w:val="32"/>
          <w:highlight w:val="none"/>
          <w:lang w:eastAsia="zh-CN"/>
        </w:rPr>
        <w:t>个乡镇（街道）平均划定面积为</w:t>
      </w:r>
      <w:r>
        <w:rPr>
          <w:rFonts w:hint="eastAsia" w:ascii="Times New Roman" w:hAnsi="Times New Roman" w:eastAsia="方正仿宋_GB2312" w:cs="方正仿宋_GB2312"/>
          <w:b w:val="0"/>
          <w:bCs w:val="0"/>
          <w:snapToGrid/>
          <w:color w:val="auto"/>
          <w:kern w:val="2"/>
          <w:sz w:val="32"/>
          <w:szCs w:val="32"/>
          <w:highlight w:val="none"/>
          <w:lang w:val="en-US" w:eastAsia="zh-CN"/>
        </w:rPr>
        <w:t>44.57</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。其中面积最大的5个乡镇依次为东安镇、龙田镇、明中乡、北屏镇、岚天乡，划定总面积分别达</w:t>
      </w:r>
      <w:r>
        <w:rPr>
          <w:rFonts w:hint="eastAsia" w:ascii="Times New Roman" w:hAnsi="Times New Roman" w:eastAsia="方正仿宋_GB2312" w:cs="方正仿宋_GB2312"/>
          <w:b w:val="0"/>
          <w:bCs w:val="0"/>
          <w:snapToGrid/>
          <w:color w:val="auto"/>
          <w:kern w:val="2"/>
          <w:sz w:val="32"/>
          <w:szCs w:val="32"/>
          <w:highlight w:val="none"/>
          <w:lang w:val="en-US" w:eastAsia="zh-CN"/>
        </w:rPr>
        <w:t>207.72</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w:t>
      </w:r>
      <w:r>
        <w:rPr>
          <w:rFonts w:hint="eastAsia" w:ascii="Times New Roman" w:hAnsi="Times New Roman" w:eastAsia="方正仿宋_GB2312" w:cs="方正仿宋_GB2312"/>
          <w:b w:val="0"/>
          <w:bCs w:val="0"/>
          <w:snapToGrid/>
          <w:color w:val="auto"/>
          <w:kern w:val="2"/>
          <w:sz w:val="32"/>
          <w:szCs w:val="32"/>
          <w:highlight w:val="none"/>
          <w:lang w:val="en-US" w:eastAsia="zh-CN"/>
        </w:rPr>
        <w:t>102.24</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w:t>
      </w:r>
      <w:r>
        <w:rPr>
          <w:rFonts w:hint="eastAsia" w:ascii="Times New Roman" w:hAnsi="Times New Roman" w:eastAsia="方正仿宋_GB2312" w:cs="方正仿宋_GB2312"/>
          <w:b w:val="0"/>
          <w:bCs w:val="0"/>
          <w:snapToGrid/>
          <w:color w:val="auto"/>
          <w:kern w:val="2"/>
          <w:sz w:val="32"/>
          <w:szCs w:val="32"/>
          <w:highlight w:val="none"/>
          <w:lang w:val="en-US" w:eastAsia="zh-CN"/>
        </w:rPr>
        <w:t>80.69</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w:t>
      </w:r>
      <w:r>
        <w:rPr>
          <w:rFonts w:hint="eastAsia" w:ascii="Times New Roman" w:hAnsi="Times New Roman" w:eastAsia="方正仿宋_GB2312" w:cs="方正仿宋_GB2312"/>
          <w:b w:val="0"/>
          <w:bCs w:val="0"/>
          <w:snapToGrid/>
          <w:color w:val="auto"/>
          <w:kern w:val="2"/>
          <w:sz w:val="32"/>
          <w:szCs w:val="32"/>
          <w:highlight w:val="none"/>
          <w:lang w:val="en-US" w:eastAsia="zh-CN"/>
        </w:rPr>
        <w:t xml:space="preserve">72.86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w:t>
      </w:r>
      <w:r>
        <w:rPr>
          <w:rFonts w:hint="eastAsia" w:ascii="Times New Roman" w:hAnsi="Times New Roman" w:eastAsia="方正仿宋_GB2312" w:cs="方正仿宋_GB2312"/>
          <w:b w:val="0"/>
          <w:bCs w:val="0"/>
          <w:snapToGrid/>
          <w:color w:val="auto"/>
          <w:kern w:val="2"/>
          <w:sz w:val="32"/>
          <w:szCs w:val="32"/>
          <w:highlight w:val="none"/>
          <w:lang w:val="en-US" w:eastAsia="zh-CN"/>
        </w:rPr>
        <w:t>70.75</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。各乡镇（街道）中，林地为主要禁止开垦陡坡地土地利用类型，全县无划定的禁止开垦陡坡草地或裸土地。各乡镇（街道）禁止开垦陡坡地面积详见附表</w:t>
      </w:r>
      <w:r>
        <w:rPr>
          <w:rFonts w:hint="eastAsia" w:ascii="Times New Roman" w:hAnsi="Times New Roman" w:eastAsia="方正仿宋_GB2312" w:cs="方正仿宋_GB2312"/>
          <w:b w:val="0"/>
          <w:bCs w:val="0"/>
          <w:snapToGrid/>
          <w:color w:val="auto"/>
          <w:kern w:val="2"/>
          <w:sz w:val="32"/>
          <w:szCs w:val="32"/>
          <w:highlight w:val="none"/>
          <w:lang w:val="en-US" w:eastAsia="zh-CN"/>
        </w:rPr>
        <w:t>1</w:t>
      </w:r>
      <w:r>
        <w:rPr>
          <w:rFonts w:hint="eastAsia" w:ascii="Times New Roman" w:hAnsi="Times New Roman" w:eastAsia="方正仿宋_GB2312" w:cs="方正仿宋_GB2312"/>
          <w:b w:val="0"/>
          <w:bCs w:val="0"/>
          <w:snapToGrid/>
          <w:color w:val="auto"/>
          <w:kern w:val="2"/>
          <w:sz w:val="32"/>
          <w:szCs w:val="32"/>
          <w:highlight w:val="none"/>
          <w:lang w:eastAsia="zh-CN"/>
        </w:rPr>
        <w:t>。</w:t>
      </w:r>
    </w:p>
    <w:p w14:paraId="33FA0A7A">
      <w:pPr>
        <w:keepNext w:val="0"/>
        <w:keepLines w:val="0"/>
        <w:pageBreakBefore w:val="0"/>
        <w:widowControl/>
        <w:kinsoku/>
        <w:wordWrap/>
        <w:overflowPunct/>
        <w:topLinePunct w:val="0"/>
        <w:autoSpaceDE w:val="0"/>
        <w:autoSpaceDN w:val="0"/>
        <w:bidi w:val="0"/>
        <w:adjustRightInd w:val="0"/>
        <w:snapToGrid w:val="0"/>
        <w:spacing w:before="71" w:line="360" w:lineRule="auto"/>
        <w:ind w:firstLine="14"/>
        <w:jc w:val="both"/>
        <w:rPr>
          <w:color w:val="215968" w:themeColor="accent5" w:themeShade="80"/>
        </w:rPr>
      </w:pPr>
      <w:r>
        <w:drawing>
          <wp:inline distT="0" distB="0" distL="114300" distR="114300">
            <wp:extent cx="5176520" cy="2971165"/>
            <wp:effectExtent l="4445" t="4445" r="15875" b="11430"/>
            <wp:docPr id="3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257B29">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图4-2城口县各乡镇街道禁止开垦陡坡地面积</w:t>
      </w:r>
    </w:p>
    <w:p w14:paraId="636635AE">
      <w:pPr>
        <w:rPr>
          <w:rFonts w:hint="eastAsia"/>
          <w:lang w:eastAsia="zh-CN"/>
        </w:rPr>
      </w:pPr>
      <w:bookmarkStart w:id="35" w:name="bookmark50"/>
      <w:bookmarkEnd w:id="35"/>
      <w:bookmarkStart w:id="36" w:name="_Toc4159"/>
      <w:r>
        <w:rPr>
          <w:rFonts w:hint="eastAsia"/>
          <w:lang w:eastAsia="zh-CN"/>
        </w:rPr>
        <w:br w:type="page"/>
      </w:r>
    </w:p>
    <w:p w14:paraId="5F6A86F7">
      <w:pPr>
        <w:pStyle w:val="4"/>
        <w:bidi w:val="0"/>
        <w:rPr>
          <w:rFonts w:hint="eastAsia"/>
          <w:lang w:eastAsia="zh-CN"/>
        </w:rPr>
      </w:pPr>
      <w:r>
        <w:rPr>
          <w:rFonts w:hint="eastAsia"/>
          <w:lang w:eastAsia="zh-CN"/>
        </w:rPr>
        <w:t>（</w:t>
      </w:r>
      <w:r>
        <w:rPr>
          <w:rFonts w:hint="eastAsia"/>
          <w:lang w:val="en-US" w:eastAsia="zh-CN"/>
        </w:rPr>
        <w:t>三</w:t>
      </w:r>
      <w:r>
        <w:rPr>
          <w:rFonts w:hint="eastAsia"/>
          <w:lang w:eastAsia="zh-CN"/>
        </w:rPr>
        <w:t>）与生态空间结合情况</w:t>
      </w:r>
      <w:bookmarkEnd w:id="36"/>
    </w:p>
    <w:p w14:paraId="79CD24D8">
      <w:pPr>
        <w:pStyle w:val="5"/>
        <w:widowControl w:val="0"/>
        <w:kinsoku/>
        <w:autoSpaceDE/>
        <w:autoSpaceDN/>
        <w:adjustRightInd/>
        <w:snapToGrid/>
        <w:spacing w:after="0" w:line="600" w:lineRule="exact"/>
        <w:ind w:firstLine="640" w:firstLineChars="200"/>
        <w:jc w:val="both"/>
        <w:textAlignment w:val="auto"/>
        <w:rPr>
          <w:rFonts w:hint="eastAsia" w:ascii="Times New Roman" w:hAnsi="Times New Roman" w:eastAsia="方正仿宋_GB2312" w:cs="方正仿宋_GB2312"/>
          <w:b w:val="0"/>
          <w:bCs w:val="0"/>
          <w:snapToGrid/>
          <w:color w:val="auto"/>
          <w:kern w:val="2"/>
          <w:sz w:val="32"/>
          <w:szCs w:val="32"/>
          <w:highlight w:val="none"/>
          <w:lang w:eastAsia="zh-CN"/>
        </w:rPr>
      </w:pPr>
      <w:r>
        <w:rPr>
          <w:rFonts w:hint="eastAsia" w:ascii="Times New Roman" w:hAnsi="Times New Roman" w:eastAsia="方正仿宋_GB2312" w:cs="方正仿宋_GB2312"/>
          <w:b w:val="0"/>
          <w:bCs w:val="0"/>
          <w:snapToGrid/>
          <w:color w:val="auto"/>
          <w:kern w:val="2"/>
          <w:sz w:val="32"/>
          <w:szCs w:val="32"/>
          <w:highlight w:val="none"/>
          <w:lang w:eastAsia="zh-CN"/>
        </w:rPr>
        <w:t>城口县生态保护红线总面积</w:t>
      </w:r>
      <w:r>
        <w:rPr>
          <w:rFonts w:hint="eastAsia" w:ascii="Times New Roman" w:hAnsi="Times New Roman" w:eastAsia="方正仿宋_GB2312" w:cs="方正仿宋_GB2312"/>
          <w:b w:val="0"/>
          <w:bCs w:val="0"/>
          <w:snapToGrid/>
          <w:color w:val="auto"/>
          <w:kern w:val="2"/>
          <w:sz w:val="32"/>
          <w:szCs w:val="32"/>
          <w:highlight w:val="none"/>
          <w:lang w:val="en-US" w:eastAsia="zh-CN"/>
        </w:rPr>
        <w:t>为1985.17</w:t>
      </w:r>
      <w:r>
        <w:rPr>
          <w:rFonts w:hint="default" w:ascii="Times New Roman" w:hAnsi="Times New Roman" w:eastAsia="方正仿宋_GB2312" w:cs="方正仿宋_GB2312"/>
          <w:b w:val="0"/>
          <w:bCs w:val="0"/>
          <w:snapToGrid/>
          <w:color w:val="auto"/>
          <w:kern w:val="2"/>
          <w:sz w:val="32"/>
          <w:szCs w:val="32"/>
          <w:highlight w:val="none"/>
          <w:lang w:val="en-US" w:eastAsia="zh-CN"/>
        </w:rPr>
        <w:t xml:space="preserve"> </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，本次禁止开垦陡坡地划定范围位于生态保护红线内的面积共</w:t>
      </w:r>
      <w:r>
        <w:rPr>
          <w:rFonts w:hint="eastAsia" w:ascii="Times New Roman" w:hAnsi="Times New Roman" w:eastAsia="方正仿宋_GB2312" w:cs="方正仿宋_GB2312"/>
          <w:b w:val="0"/>
          <w:bCs w:val="0"/>
          <w:snapToGrid/>
          <w:color w:val="auto"/>
          <w:kern w:val="2"/>
          <w:sz w:val="32"/>
          <w:szCs w:val="32"/>
          <w:highlight w:val="none"/>
          <w:lang w:val="en-US" w:eastAsia="zh-CN"/>
        </w:rPr>
        <w:t>1114.36</w:t>
      </w:r>
      <w:r>
        <w:rPr>
          <w:rFonts w:hint="eastAsia" w:ascii="Times New Roman" w:hAnsi="Times New Roman" w:eastAsia="方正仿宋_GB2312" w:cs="方正仿宋_GB2312"/>
          <w:b w:val="0"/>
          <w:bCs w:val="0"/>
          <w:snapToGrid/>
          <w:color w:val="auto"/>
          <w:kern w:val="2"/>
          <w:sz w:val="32"/>
          <w:szCs w:val="32"/>
          <w:highlight w:val="none"/>
          <w:lang w:eastAsia="zh-CN"/>
        </w:rPr>
        <w:t>km</w:t>
      </w:r>
      <w:r>
        <w:rPr>
          <w:rFonts w:hint="eastAsia" w:ascii="Times New Roman" w:hAnsi="Times New Roman" w:eastAsia="方正仿宋_GB2312" w:cs="方正仿宋_GB2312"/>
          <w:b w:val="0"/>
          <w:bCs w:val="0"/>
          <w:snapToGrid/>
          <w:color w:val="auto"/>
          <w:kern w:val="2"/>
          <w:sz w:val="32"/>
          <w:szCs w:val="32"/>
          <w:highlight w:val="none"/>
          <w:vertAlign w:val="superscript"/>
          <w:lang w:eastAsia="zh-CN"/>
        </w:rPr>
        <w:t>2</w:t>
      </w:r>
      <w:r>
        <w:rPr>
          <w:rFonts w:hint="eastAsia" w:ascii="Times New Roman" w:hAnsi="Times New Roman" w:eastAsia="方正仿宋_GB2312" w:cs="方正仿宋_GB2312"/>
          <w:b w:val="0"/>
          <w:bCs w:val="0"/>
          <w:snapToGrid/>
          <w:color w:val="auto"/>
          <w:kern w:val="2"/>
          <w:sz w:val="32"/>
          <w:szCs w:val="32"/>
          <w:highlight w:val="none"/>
          <w:lang w:eastAsia="zh-CN"/>
        </w:rPr>
        <w:t>，占生态保护红线总面积</w:t>
      </w:r>
      <w:r>
        <w:rPr>
          <w:rFonts w:hint="eastAsia" w:ascii="Times New Roman" w:hAnsi="Times New Roman" w:eastAsia="方正仿宋_GB2312" w:cs="方正仿宋_GB2312"/>
          <w:b w:val="0"/>
          <w:bCs w:val="0"/>
          <w:snapToGrid/>
          <w:color w:val="auto"/>
          <w:kern w:val="2"/>
          <w:sz w:val="32"/>
          <w:szCs w:val="32"/>
          <w:highlight w:val="none"/>
          <w:lang w:val="en-US" w:eastAsia="zh-CN"/>
        </w:rPr>
        <w:t>56.13</w:t>
      </w:r>
      <w:r>
        <w:rPr>
          <w:rFonts w:hint="eastAsia" w:ascii="Times New Roman" w:hAnsi="Times New Roman" w:eastAsia="方正仿宋_GB2312" w:cs="方正仿宋_GB2312"/>
          <w:b w:val="0"/>
          <w:bCs w:val="0"/>
          <w:snapToGrid/>
          <w:color w:val="auto"/>
          <w:kern w:val="2"/>
          <w:sz w:val="32"/>
          <w:szCs w:val="32"/>
          <w:highlight w:val="none"/>
          <w:lang w:eastAsia="zh-CN"/>
        </w:rPr>
        <w:t>%，占划定总面积</w:t>
      </w:r>
      <w:r>
        <w:rPr>
          <w:rFonts w:hint="eastAsia" w:ascii="Times New Roman" w:hAnsi="Times New Roman" w:eastAsia="方正仿宋_GB2312" w:cs="方正仿宋_GB2312"/>
          <w:b w:val="0"/>
          <w:bCs w:val="0"/>
          <w:snapToGrid/>
          <w:color w:val="auto"/>
          <w:kern w:val="2"/>
          <w:sz w:val="32"/>
          <w:szCs w:val="32"/>
          <w:highlight w:val="none"/>
          <w:lang w:val="en-US" w:eastAsia="zh-CN"/>
        </w:rPr>
        <w:t>100</w:t>
      </w:r>
      <w:r>
        <w:rPr>
          <w:rFonts w:hint="eastAsia" w:ascii="Times New Roman" w:hAnsi="Times New Roman" w:eastAsia="方正仿宋_GB2312" w:cs="方正仿宋_GB2312"/>
          <w:b w:val="0"/>
          <w:bCs w:val="0"/>
          <w:snapToGrid/>
          <w:color w:val="auto"/>
          <w:kern w:val="2"/>
          <w:sz w:val="32"/>
          <w:szCs w:val="32"/>
          <w:highlight w:val="none"/>
          <w:lang w:eastAsia="zh-CN"/>
        </w:rPr>
        <w:t>%。所划定区域与耕地均无交叉重叠，均位于城镇开发边界以外，且均位于中心城区规划用地和重大项目库等特定区域以外，充分考虑了生态保护、水土流失管控，以及主城及其周边未来发展建设的空间。划定范围与生态保护区域的结合情况如图4-3。</w:t>
      </w:r>
    </w:p>
    <w:p w14:paraId="5AFBEA2E">
      <w:pPr>
        <w:keepNext w:val="0"/>
        <w:keepLines w:val="0"/>
        <w:pageBreakBefore w:val="0"/>
        <w:widowControl/>
        <w:kinsoku/>
        <w:wordWrap/>
        <w:overflowPunct/>
        <w:topLinePunct w:val="0"/>
        <w:autoSpaceDE w:val="0"/>
        <w:autoSpaceDN w:val="0"/>
        <w:bidi w:val="0"/>
        <w:adjustRightInd w:val="0"/>
        <w:snapToGrid w:val="0"/>
        <w:spacing w:before="58" w:line="240" w:lineRule="auto"/>
        <w:ind w:firstLine="14"/>
        <w:jc w:val="both"/>
        <w:rPr>
          <w:rFonts w:hint="eastAsia" w:eastAsia="宋体"/>
          <w:color w:val="215968" w:themeColor="accent5" w:themeShade="80"/>
          <w:lang w:eastAsia="zh-CN"/>
        </w:rPr>
      </w:pPr>
      <w:r>
        <w:rPr>
          <w:rFonts w:hint="eastAsia" w:eastAsia="宋体"/>
          <w:color w:val="215968" w:themeColor="accent5" w:themeShade="80"/>
          <w:lang w:eastAsia="zh-CN"/>
        </w:rPr>
        <w:drawing>
          <wp:inline distT="0" distB="0" distL="114300" distR="114300">
            <wp:extent cx="5268595" cy="3862070"/>
            <wp:effectExtent l="0" t="0" r="0" b="0"/>
            <wp:docPr id="9" name="图片 9" descr="H:/3项目库/2025_城口县禁垦陡坡地划定/城口县_禁止开垦陡坡地划定工作需要的基础资料/2图表资料/城口县禁止开垦陡坡地范围与生态空间结合情况.jpg城口县禁止开垦陡坡地范围与生态空间结合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3项目库/2025_城口县禁垦陡坡地划定/城口县_禁止开垦陡坡地划定工作需要的基础资料/2图表资料/城口县禁止开垦陡坡地范围与生态空间结合情况.jpg城口县禁止开垦陡坡地范围与生态空间结合情况"/>
                    <pic:cNvPicPr>
                      <a:picLocks noChangeAspect="1"/>
                    </pic:cNvPicPr>
                  </pic:nvPicPr>
                  <pic:blipFill>
                    <a:blip r:embed="rId33"/>
                    <a:srcRect t="1818" b="1580"/>
                    <a:stretch>
                      <a:fillRect/>
                    </a:stretch>
                  </pic:blipFill>
                  <pic:spPr>
                    <a:xfrm>
                      <a:off x="0" y="0"/>
                      <a:ext cx="5268595" cy="3862070"/>
                    </a:xfrm>
                    <a:prstGeom prst="rect">
                      <a:avLst/>
                    </a:prstGeom>
                  </pic:spPr>
                </pic:pic>
              </a:graphicData>
            </a:graphic>
          </wp:inline>
        </w:drawing>
      </w:r>
    </w:p>
    <w:p w14:paraId="492AF272">
      <w:pPr>
        <w:widowControl w:val="0"/>
        <w:kinsoku/>
        <w:autoSpaceDE/>
        <w:autoSpaceDN/>
        <w:adjustRightInd w:val="0"/>
        <w:snapToGrid w:val="0"/>
        <w:spacing w:line="600" w:lineRule="exact"/>
        <w:jc w:val="center"/>
        <w:textAlignment w:val="auto"/>
        <w:rPr>
          <w:rFonts w:hint="eastAsia" w:ascii="黑体" w:hAnsi="黑体" w:eastAsia="黑体" w:cs="黑体"/>
          <w:bCs w:val="0"/>
          <w:snapToGrid/>
          <w:color w:val="auto"/>
          <w:kern w:val="2"/>
          <w:sz w:val="28"/>
          <w:szCs w:val="28"/>
          <w:highlight w:val="none"/>
          <w:lang w:eastAsia="zh-CN"/>
        </w:rPr>
      </w:pPr>
      <w:r>
        <w:rPr>
          <w:rFonts w:hint="eastAsia" w:ascii="黑体" w:hAnsi="黑体" w:eastAsia="黑体" w:cs="黑体"/>
          <w:bCs w:val="0"/>
          <w:snapToGrid/>
          <w:color w:val="auto"/>
          <w:kern w:val="2"/>
          <w:sz w:val="28"/>
          <w:szCs w:val="28"/>
          <w:highlight w:val="none"/>
          <w:lang w:eastAsia="zh-CN"/>
        </w:rPr>
        <w:t>图4-3城口县禁止开垦陡坡地与生态空间结合情况</w:t>
      </w:r>
    </w:p>
    <w:p w14:paraId="510248B3">
      <w:pPr>
        <w:pStyle w:val="2"/>
      </w:pPr>
    </w:p>
    <w:p w14:paraId="79B89D85">
      <w:pPr>
        <w:keepNext w:val="0"/>
        <w:keepLines w:val="0"/>
        <w:pageBreakBefore w:val="0"/>
        <w:widowControl/>
        <w:kinsoku/>
        <w:wordWrap/>
        <w:overflowPunct/>
        <w:topLinePunct w:val="0"/>
        <w:autoSpaceDE w:val="0"/>
        <w:autoSpaceDN w:val="0"/>
        <w:bidi w:val="0"/>
        <w:adjustRightInd w:val="0"/>
        <w:snapToGrid w:val="0"/>
        <w:spacing w:line="220" w:lineRule="auto"/>
        <w:jc w:val="both"/>
        <w:rPr>
          <w:rFonts w:ascii="黑体" w:hAnsi="黑体" w:eastAsia="黑体" w:cs="黑体"/>
          <w:color w:val="215968" w:themeColor="accent5" w:themeShade="80"/>
          <w:sz w:val="28"/>
          <w:szCs w:val="28"/>
        </w:rPr>
        <w:sectPr>
          <w:footerReference r:id="rId13" w:type="default"/>
          <w:pgSz w:w="11907" w:h="16839"/>
          <w:pgMar w:top="1440" w:right="1800" w:bottom="1440" w:left="1800" w:header="0" w:footer="1624" w:gutter="0"/>
          <w:pgNumType w:fmt="decimal"/>
          <w:cols w:space="720" w:num="1"/>
        </w:sectPr>
      </w:pPr>
    </w:p>
    <w:p w14:paraId="423D5847">
      <w:pPr>
        <w:pStyle w:val="3"/>
        <w:bidi w:val="0"/>
        <w:ind w:left="0" w:leftChars="0" w:firstLine="0" w:firstLineChars="0"/>
        <w:rPr>
          <w:rFonts w:hint="eastAsia"/>
          <w:lang w:val="en-US" w:eastAsia="zh-CN"/>
        </w:rPr>
      </w:pPr>
      <w:bookmarkStart w:id="37" w:name="bookmark52"/>
      <w:bookmarkEnd w:id="37"/>
      <w:bookmarkStart w:id="38" w:name="_Toc12277"/>
      <w:r>
        <w:rPr>
          <w:rFonts w:hint="eastAsia"/>
          <w:lang w:val="en-US" w:eastAsia="zh-CN"/>
        </w:rPr>
        <w:t>附表</w:t>
      </w:r>
      <w:r>
        <w:rPr>
          <w:rFonts w:hint="default"/>
          <w:lang w:val="en-US" w:eastAsia="zh-CN"/>
        </w:rPr>
        <w:t xml:space="preserve"> </w:t>
      </w:r>
      <w:r>
        <w:rPr>
          <w:rFonts w:hint="eastAsia"/>
          <w:lang w:val="en-US" w:eastAsia="zh-CN"/>
        </w:rPr>
        <w:t xml:space="preserve"> 城口县各乡镇禁止开垦陡坡地面积统计表</w:t>
      </w:r>
      <w:bookmarkEnd w:id="38"/>
    </w:p>
    <w:p w14:paraId="59C69988">
      <w:pPr>
        <w:keepNext w:val="0"/>
        <w:keepLines w:val="0"/>
        <w:pageBreakBefore w:val="0"/>
        <w:widowControl/>
        <w:kinsoku/>
        <w:wordWrap/>
        <w:overflowPunct/>
        <w:topLinePunct w:val="0"/>
        <w:autoSpaceDE w:val="0"/>
        <w:autoSpaceDN w:val="0"/>
        <w:bidi w:val="0"/>
        <w:adjustRightInd w:val="0"/>
        <w:snapToGrid w:val="0"/>
        <w:spacing w:line="208" w:lineRule="exact"/>
        <w:jc w:val="both"/>
        <w:rPr>
          <w:color w:val="auto"/>
        </w:rPr>
      </w:pPr>
    </w:p>
    <w:tbl>
      <w:tblPr>
        <w:tblStyle w:val="15"/>
        <w:tblW w:w="8298"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574"/>
        <w:gridCol w:w="2125"/>
        <w:gridCol w:w="2267"/>
        <w:gridCol w:w="1495"/>
      </w:tblGrid>
      <w:tr w14:paraId="5ECE3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37" w:type="dxa"/>
            <w:vAlign w:val="center"/>
          </w:tcPr>
          <w:p w14:paraId="013A744C">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序号</w:t>
            </w:r>
          </w:p>
        </w:tc>
        <w:tc>
          <w:tcPr>
            <w:tcW w:w="1574" w:type="dxa"/>
            <w:vAlign w:val="center"/>
          </w:tcPr>
          <w:p w14:paraId="5DFAD87A">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乡镇</w:t>
            </w:r>
          </w:p>
        </w:tc>
        <w:tc>
          <w:tcPr>
            <w:tcW w:w="2125" w:type="dxa"/>
            <w:vAlign w:val="center"/>
          </w:tcPr>
          <w:p w14:paraId="1F1CEB03">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禁止开垦陡坡地</w:t>
            </w:r>
          </w:p>
          <w:p w14:paraId="16B0D5E8">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图斑数量</w:t>
            </w:r>
          </w:p>
        </w:tc>
        <w:tc>
          <w:tcPr>
            <w:tcW w:w="2267" w:type="dxa"/>
            <w:vAlign w:val="center"/>
          </w:tcPr>
          <w:p w14:paraId="3181E46C">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禁止开垦陡坡地面积（</w:t>
            </w:r>
            <w:r>
              <w:rPr>
                <w:rFonts w:hint="eastAsia" w:ascii="宋体" w:hAnsi="宋体" w:eastAsia="宋体" w:cs="宋体"/>
                <w:b/>
                <w:bCs/>
                <w:snapToGrid/>
                <w:kern w:val="0"/>
                <w:sz w:val="21"/>
                <w:szCs w:val="21"/>
                <w:lang w:val="en-US" w:eastAsia="zh-CN"/>
              </w:rPr>
              <w:t>h</w:t>
            </w:r>
            <w:r>
              <w:rPr>
                <w:rFonts w:hint="eastAsia" w:ascii="宋体" w:hAnsi="宋体" w:eastAsia="宋体" w:cs="宋体"/>
                <w:b/>
                <w:bCs/>
                <w:snapToGrid/>
                <w:kern w:val="0"/>
                <w:sz w:val="21"/>
                <w:szCs w:val="21"/>
                <w:lang w:eastAsia="zh-CN"/>
              </w:rPr>
              <w:t>m</w:t>
            </w:r>
            <w:r>
              <w:rPr>
                <w:rFonts w:hint="eastAsia" w:ascii="宋体" w:hAnsi="宋体" w:eastAsia="宋体" w:cs="宋体"/>
                <w:b/>
                <w:bCs/>
                <w:snapToGrid/>
                <w:kern w:val="0"/>
                <w:sz w:val="21"/>
                <w:szCs w:val="21"/>
                <w:vertAlign w:val="superscript"/>
                <w:lang w:eastAsia="zh-CN"/>
              </w:rPr>
              <w:t>2</w:t>
            </w:r>
            <w:r>
              <w:rPr>
                <w:rFonts w:hint="eastAsia" w:ascii="宋体" w:hAnsi="宋体" w:eastAsia="宋体" w:cs="宋体"/>
                <w:b/>
                <w:bCs/>
                <w:snapToGrid/>
                <w:kern w:val="0"/>
                <w:sz w:val="21"/>
                <w:szCs w:val="21"/>
                <w:lang w:eastAsia="zh-CN"/>
              </w:rPr>
              <w:t>）</w:t>
            </w:r>
          </w:p>
        </w:tc>
        <w:tc>
          <w:tcPr>
            <w:tcW w:w="1495" w:type="dxa"/>
            <w:vAlign w:val="center"/>
          </w:tcPr>
          <w:p w14:paraId="5D080136">
            <w:pPr>
              <w:widowControl/>
              <w:kinsoku/>
              <w:autoSpaceDE/>
              <w:autoSpaceDN/>
              <w:adjustRightInd w:val="0"/>
              <w:snapToGrid w:val="0"/>
              <w:spacing w:line="240" w:lineRule="auto"/>
              <w:jc w:val="center"/>
              <w:textAlignment w:val="auto"/>
              <w:rPr>
                <w:rFonts w:hint="eastAsia" w:ascii="宋体" w:hAnsi="宋体" w:eastAsia="宋体" w:cs="宋体"/>
                <w:b/>
                <w:bCs/>
                <w:snapToGrid/>
                <w:kern w:val="0"/>
                <w:sz w:val="21"/>
                <w:szCs w:val="21"/>
                <w:lang w:eastAsia="zh-CN"/>
              </w:rPr>
            </w:pPr>
            <w:r>
              <w:rPr>
                <w:rFonts w:hint="eastAsia" w:ascii="宋体" w:hAnsi="宋体" w:eastAsia="宋体" w:cs="宋体"/>
                <w:b/>
                <w:bCs/>
                <w:snapToGrid/>
                <w:kern w:val="0"/>
                <w:sz w:val="21"/>
                <w:szCs w:val="21"/>
                <w:lang w:eastAsia="zh-CN"/>
              </w:rPr>
              <w:t>国土面积（km</w:t>
            </w:r>
            <w:r>
              <w:rPr>
                <w:rFonts w:hint="eastAsia" w:ascii="宋体" w:hAnsi="宋体" w:eastAsia="宋体" w:cs="宋体"/>
                <w:b/>
                <w:bCs/>
                <w:snapToGrid/>
                <w:kern w:val="0"/>
                <w:sz w:val="21"/>
                <w:szCs w:val="21"/>
                <w:vertAlign w:val="superscript"/>
                <w:lang w:eastAsia="zh-CN"/>
              </w:rPr>
              <w:t>2</w:t>
            </w:r>
            <w:r>
              <w:rPr>
                <w:rFonts w:hint="eastAsia" w:ascii="宋体" w:hAnsi="宋体" w:eastAsia="宋体" w:cs="宋体"/>
                <w:b/>
                <w:bCs/>
                <w:snapToGrid/>
                <w:kern w:val="0"/>
                <w:sz w:val="21"/>
                <w:szCs w:val="21"/>
                <w:lang w:eastAsia="zh-CN"/>
              </w:rPr>
              <w:t>）</w:t>
            </w:r>
          </w:p>
        </w:tc>
      </w:tr>
      <w:tr w14:paraId="38A16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7" w:type="dxa"/>
            <w:vAlign w:val="center"/>
          </w:tcPr>
          <w:p w14:paraId="787CA03A">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w:t>
            </w:r>
          </w:p>
        </w:tc>
        <w:tc>
          <w:tcPr>
            <w:tcW w:w="1574" w:type="dxa"/>
            <w:vAlign w:val="center"/>
          </w:tcPr>
          <w:p w14:paraId="47AD971E">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东安镇</w:t>
            </w:r>
          </w:p>
        </w:tc>
        <w:tc>
          <w:tcPr>
            <w:tcW w:w="2125" w:type="dxa"/>
            <w:vAlign w:val="center"/>
          </w:tcPr>
          <w:p w14:paraId="0B51FBB8">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74</w:t>
            </w:r>
          </w:p>
        </w:tc>
        <w:tc>
          <w:tcPr>
            <w:tcW w:w="2267" w:type="dxa"/>
            <w:vAlign w:val="center"/>
          </w:tcPr>
          <w:p w14:paraId="76AF5DD9">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20772.06</w:t>
            </w:r>
          </w:p>
        </w:tc>
        <w:tc>
          <w:tcPr>
            <w:tcW w:w="1495" w:type="dxa"/>
            <w:vAlign w:val="center"/>
          </w:tcPr>
          <w:p w14:paraId="5948F70D">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399.62</w:t>
            </w:r>
          </w:p>
        </w:tc>
      </w:tr>
      <w:tr w14:paraId="7394F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40CA4651">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2</w:t>
            </w:r>
          </w:p>
        </w:tc>
        <w:tc>
          <w:tcPr>
            <w:tcW w:w="1574" w:type="dxa"/>
            <w:vAlign w:val="center"/>
          </w:tcPr>
          <w:p w14:paraId="39DDF39C">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龙田</w:t>
            </w:r>
            <w:r>
              <w:rPr>
                <w:rFonts w:hint="eastAsia" w:eastAsia="宋体" w:cs="Arial"/>
                <w:i w:val="0"/>
                <w:iCs w:val="0"/>
                <w:snapToGrid w:val="0"/>
                <w:color w:val="000000"/>
                <w:kern w:val="0"/>
                <w:sz w:val="20"/>
                <w:szCs w:val="20"/>
                <w:u w:val="none"/>
                <w:lang w:val="en-US" w:eastAsia="zh-CN" w:bidi="ar"/>
              </w:rPr>
              <w:t>镇</w:t>
            </w:r>
          </w:p>
        </w:tc>
        <w:tc>
          <w:tcPr>
            <w:tcW w:w="2125" w:type="dxa"/>
            <w:vAlign w:val="center"/>
          </w:tcPr>
          <w:p w14:paraId="36B385BD">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36</w:t>
            </w:r>
          </w:p>
        </w:tc>
        <w:tc>
          <w:tcPr>
            <w:tcW w:w="2267" w:type="dxa"/>
            <w:vAlign w:val="center"/>
          </w:tcPr>
          <w:p w14:paraId="52ADD010">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10224.17</w:t>
            </w:r>
          </w:p>
        </w:tc>
        <w:tc>
          <w:tcPr>
            <w:tcW w:w="1495" w:type="dxa"/>
            <w:vAlign w:val="center"/>
          </w:tcPr>
          <w:p w14:paraId="787E3F58">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225.64</w:t>
            </w:r>
          </w:p>
        </w:tc>
      </w:tr>
      <w:tr w14:paraId="0459E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7" w:type="dxa"/>
            <w:vAlign w:val="center"/>
          </w:tcPr>
          <w:p w14:paraId="7ECEEBE6">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3</w:t>
            </w:r>
          </w:p>
        </w:tc>
        <w:tc>
          <w:tcPr>
            <w:tcW w:w="1574" w:type="dxa"/>
            <w:vAlign w:val="center"/>
          </w:tcPr>
          <w:p w14:paraId="5ED6A83A">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明中乡</w:t>
            </w:r>
          </w:p>
        </w:tc>
        <w:tc>
          <w:tcPr>
            <w:tcW w:w="2125" w:type="dxa"/>
            <w:vAlign w:val="center"/>
          </w:tcPr>
          <w:p w14:paraId="02450F98">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27</w:t>
            </w:r>
          </w:p>
        </w:tc>
        <w:tc>
          <w:tcPr>
            <w:tcW w:w="2267" w:type="dxa"/>
            <w:vAlign w:val="center"/>
          </w:tcPr>
          <w:p w14:paraId="7F499A92">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8068.66</w:t>
            </w:r>
          </w:p>
        </w:tc>
        <w:tc>
          <w:tcPr>
            <w:tcW w:w="1495" w:type="dxa"/>
            <w:vAlign w:val="center"/>
          </w:tcPr>
          <w:p w14:paraId="7AB8B10D">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177.17</w:t>
            </w:r>
          </w:p>
        </w:tc>
      </w:tr>
      <w:tr w14:paraId="5B5AD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11FAFDB3">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4</w:t>
            </w:r>
          </w:p>
        </w:tc>
        <w:tc>
          <w:tcPr>
            <w:tcW w:w="1574" w:type="dxa"/>
            <w:vAlign w:val="center"/>
          </w:tcPr>
          <w:p w14:paraId="3E5B054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北屏</w:t>
            </w:r>
            <w:r>
              <w:rPr>
                <w:rFonts w:hint="eastAsia" w:eastAsia="宋体" w:cs="Arial"/>
                <w:i w:val="0"/>
                <w:iCs w:val="0"/>
                <w:snapToGrid w:val="0"/>
                <w:color w:val="000000"/>
                <w:kern w:val="0"/>
                <w:sz w:val="20"/>
                <w:szCs w:val="20"/>
                <w:u w:val="none"/>
                <w:lang w:val="en-US" w:eastAsia="zh-CN" w:bidi="ar"/>
              </w:rPr>
              <w:t>镇</w:t>
            </w:r>
          </w:p>
        </w:tc>
        <w:tc>
          <w:tcPr>
            <w:tcW w:w="2125" w:type="dxa"/>
            <w:vAlign w:val="center"/>
          </w:tcPr>
          <w:p w14:paraId="10D3F0DF">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21</w:t>
            </w:r>
          </w:p>
        </w:tc>
        <w:tc>
          <w:tcPr>
            <w:tcW w:w="2267" w:type="dxa"/>
            <w:vAlign w:val="center"/>
          </w:tcPr>
          <w:p w14:paraId="6391B8D4">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7285.85</w:t>
            </w:r>
          </w:p>
        </w:tc>
        <w:tc>
          <w:tcPr>
            <w:tcW w:w="1495" w:type="dxa"/>
            <w:vAlign w:val="center"/>
          </w:tcPr>
          <w:p w14:paraId="3CAAF409">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138.68</w:t>
            </w:r>
          </w:p>
        </w:tc>
      </w:tr>
      <w:tr w14:paraId="38742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3D32A245">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5</w:t>
            </w:r>
          </w:p>
        </w:tc>
        <w:tc>
          <w:tcPr>
            <w:tcW w:w="1574" w:type="dxa"/>
            <w:vAlign w:val="center"/>
          </w:tcPr>
          <w:p w14:paraId="37ED3D8E">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岚天乡</w:t>
            </w:r>
          </w:p>
        </w:tc>
        <w:tc>
          <w:tcPr>
            <w:tcW w:w="2125" w:type="dxa"/>
            <w:vAlign w:val="center"/>
          </w:tcPr>
          <w:p w14:paraId="664E8BE6">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10</w:t>
            </w:r>
          </w:p>
        </w:tc>
        <w:tc>
          <w:tcPr>
            <w:tcW w:w="2267" w:type="dxa"/>
            <w:vAlign w:val="center"/>
          </w:tcPr>
          <w:p w14:paraId="3FFBF8E9">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7075.4</w:t>
            </w:r>
          </w:p>
        </w:tc>
        <w:tc>
          <w:tcPr>
            <w:tcW w:w="1495" w:type="dxa"/>
            <w:vAlign w:val="center"/>
          </w:tcPr>
          <w:p w14:paraId="0A950CB4">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111.55</w:t>
            </w:r>
          </w:p>
        </w:tc>
      </w:tr>
      <w:tr w14:paraId="497D4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029B85BB">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6</w:t>
            </w:r>
          </w:p>
        </w:tc>
        <w:tc>
          <w:tcPr>
            <w:tcW w:w="1574" w:type="dxa"/>
            <w:vAlign w:val="center"/>
          </w:tcPr>
          <w:p w14:paraId="59C32EDC">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高楠镇</w:t>
            </w:r>
          </w:p>
        </w:tc>
        <w:tc>
          <w:tcPr>
            <w:tcW w:w="2125" w:type="dxa"/>
            <w:vAlign w:val="center"/>
          </w:tcPr>
          <w:p w14:paraId="0DE0157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15</w:t>
            </w:r>
          </w:p>
        </w:tc>
        <w:tc>
          <w:tcPr>
            <w:tcW w:w="2267" w:type="dxa"/>
            <w:vAlign w:val="center"/>
          </w:tcPr>
          <w:p w14:paraId="4B0988B8">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5030.91</w:t>
            </w:r>
          </w:p>
        </w:tc>
        <w:tc>
          <w:tcPr>
            <w:tcW w:w="1495" w:type="dxa"/>
            <w:vAlign w:val="center"/>
          </w:tcPr>
          <w:p w14:paraId="3D27ADB4">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145.94</w:t>
            </w:r>
          </w:p>
        </w:tc>
      </w:tr>
      <w:tr w14:paraId="60BAF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Align w:val="center"/>
          </w:tcPr>
          <w:p w14:paraId="53F9E226">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7</w:t>
            </w:r>
          </w:p>
        </w:tc>
        <w:tc>
          <w:tcPr>
            <w:tcW w:w="1574" w:type="dxa"/>
            <w:vAlign w:val="center"/>
          </w:tcPr>
          <w:p w14:paraId="2200B9AB">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双河乡</w:t>
            </w:r>
          </w:p>
        </w:tc>
        <w:tc>
          <w:tcPr>
            <w:tcW w:w="2125" w:type="dxa"/>
            <w:vAlign w:val="center"/>
          </w:tcPr>
          <w:p w14:paraId="26ABBEC3">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58</w:t>
            </w:r>
          </w:p>
        </w:tc>
        <w:tc>
          <w:tcPr>
            <w:tcW w:w="2267" w:type="dxa"/>
            <w:vAlign w:val="center"/>
          </w:tcPr>
          <w:p w14:paraId="2F83504A">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4766.95</w:t>
            </w:r>
          </w:p>
        </w:tc>
        <w:tc>
          <w:tcPr>
            <w:tcW w:w="1495" w:type="dxa"/>
            <w:vAlign w:val="center"/>
          </w:tcPr>
          <w:p w14:paraId="769C1F00">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133.71</w:t>
            </w:r>
          </w:p>
        </w:tc>
      </w:tr>
      <w:tr w14:paraId="633DB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3D5F12C4">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8</w:t>
            </w:r>
          </w:p>
        </w:tc>
        <w:tc>
          <w:tcPr>
            <w:tcW w:w="1574" w:type="dxa"/>
            <w:vAlign w:val="center"/>
          </w:tcPr>
          <w:p w14:paraId="71258FA8">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高观镇</w:t>
            </w:r>
          </w:p>
        </w:tc>
        <w:tc>
          <w:tcPr>
            <w:tcW w:w="2125" w:type="dxa"/>
            <w:vAlign w:val="center"/>
          </w:tcPr>
          <w:p w14:paraId="521322C2">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22</w:t>
            </w:r>
          </w:p>
        </w:tc>
        <w:tc>
          <w:tcPr>
            <w:tcW w:w="2267" w:type="dxa"/>
            <w:vAlign w:val="center"/>
          </w:tcPr>
          <w:p w14:paraId="2DB4F5FA">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4738.78</w:t>
            </w:r>
          </w:p>
        </w:tc>
        <w:tc>
          <w:tcPr>
            <w:tcW w:w="1495" w:type="dxa"/>
            <w:vAlign w:val="center"/>
          </w:tcPr>
          <w:p w14:paraId="171C740C">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113.25</w:t>
            </w:r>
          </w:p>
        </w:tc>
      </w:tr>
      <w:tr w14:paraId="13F20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7" w:type="dxa"/>
            <w:vAlign w:val="center"/>
          </w:tcPr>
          <w:p w14:paraId="49D1D71C">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9</w:t>
            </w:r>
          </w:p>
        </w:tc>
        <w:tc>
          <w:tcPr>
            <w:tcW w:w="1574" w:type="dxa"/>
            <w:vAlign w:val="center"/>
          </w:tcPr>
          <w:p w14:paraId="506B3EB0">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庙坝镇</w:t>
            </w:r>
          </w:p>
        </w:tc>
        <w:tc>
          <w:tcPr>
            <w:tcW w:w="2125" w:type="dxa"/>
            <w:vAlign w:val="center"/>
          </w:tcPr>
          <w:p w14:paraId="06239FEA">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18</w:t>
            </w:r>
          </w:p>
        </w:tc>
        <w:tc>
          <w:tcPr>
            <w:tcW w:w="2267" w:type="dxa"/>
            <w:vAlign w:val="center"/>
          </w:tcPr>
          <w:p w14:paraId="2A983BFD">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4626.58</w:t>
            </w:r>
          </w:p>
        </w:tc>
        <w:tc>
          <w:tcPr>
            <w:tcW w:w="1495" w:type="dxa"/>
            <w:vAlign w:val="center"/>
          </w:tcPr>
          <w:p w14:paraId="3DF237D1">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174.54</w:t>
            </w:r>
          </w:p>
        </w:tc>
      </w:tr>
      <w:tr w14:paraId="5F7DC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5C25FDEE">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10</w:t>
            </w:r>
          </w:p>
        </w:tc>
        <w:tc>
          <w:tcPr>
            <w:tcW w:w="1574" w:type="dxa"/>
            <w:vAlign w:val="center"/>
          </w:tcPr>
          <w:p w14:paraId="249DEB4C">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河鱼乡</w:t>
            </w:r>
          </w:p>
        </w:tc>
        <w:tc>
          <w:tcPr>
            <w:tcW w:w="2125" w:type="dxa"/>
            <w:vAlign w:val="center"/>
          </w:tcPr>
          <w:p w14:paraId="4397685B">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23</w:t>
            </w:r>
          </w:p>
        </w:tc>
        <w:tc>
          <w:tcPr>
            <w:tcW w:w="2267" w:type="dxa"/>
            <w:vAlign w:val="center"/>
          </w:tcPr>
          <w:p w14:paraId="1D4B466A">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4658.05</w:t>
            </w:r>
          </w:p>
        </w:tc>
        <w:tc>
          <w:tcPr>
            <w:tcW w:w="1495" w:type="dxa"/>
            <w:vAlign w:val="center"/>
          </w:tcPr>
          <w:p w14:paraId="260D5284">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147.76</w:t>
            </w:r>
          </w:p>
        </w:tc>
      </w:tr>
      <w:tr w14:paraId="562DF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Align w:val="center"/>
          </w:tcPr>
          <w:p w14:paraId="27F884D5">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11</w:t>
            </w:r>
          </w:p>
        </w:tc>
        <w:tc>
          <w:tcPr>
            <w:tcW w:w="1574" w:type="dxa"/>
            <w:vAlign w:val="center"/>
          </w:tcPr>
          <w:p w14:paraId="2AA77EB6">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蓼子乡</w:t>
            </w:r>
          </w:p>
        </w:tc>
        <w:tc>
          <w:tcPr>
            <w:tcW w:w="2125" w:type="dxa"/>
            <w:vAlign w:val="center"/>
          </w:tcPr>
          <w:p w14:paraId="6033CD6A">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32</w:t>
            </w:r>
          </w:p>
        </w:tc>
        <w:tc>
          <w:tcPr>
            <w:tcW w:w="2267" w:type="dxa"/>
            <w:vAlign w:val="center"/>
          </w:tcPr>
          <w:p w14:paraId="511C5E6E">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4251.84</w:t>
            </w:r>
          </w:p>
        </w:tc>
        <w:tc>
          <w:tcPr>
            <w:tcW w:w="1495" w:type="dxa"/>
            <w:vAlign w:val="center"/>
          </w:tcPr>
          <w:p w14:paraId="0A5C5547">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126.11</w:t>
            </w:r>
          </w:p>
        </w:tc>
      </w:tr>
      <w:tr w14:paraId="7A11D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Align w:val="center"/>
          </w:tcPr>
          <w:p w14:paraId="0CED8667">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12</w:t>
            </w:r>
          </w:p>
        </w:tc>
        <w:tc>
          <w:tcPr>
            <w:tcW w:w="1574" w:type="dxa"/>
            <w:vAlign w:val="center"/>
          </w:tcPr>
          <w:p w14:paraId="2F8A0E68">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厚坪乡</w:t>
            </w:r>
          </w:p>
        </w:tc>
        <w:tc>
          <w:tcPr>
            <w:tcW w:w="2125" w:type="dxa"/>
            <w:vAlign w:val="center"/>
          </w:tcPr>
          <w:p w14:paraId="34625AA2">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23</w:t>
            </w:r>
          </w:p>
        </w:tc>
        <w:tc>
          <w:tcPr>
            <w:tcW w:w="2267" w:type="dxa"/>
            <w:vAlign w:val="center"/>
          </w:tcPr>
          <w:p w14:paraId="2CA454BD">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4147.29</w:t>
            </w:r>
          </w:p>
        </w:tc>
        <w:tc>
          <w:tcPr>
            <w:tcW w:w="1495" w:type="dxa"/>
            <w:vAlign w:val="center"/>
          </w:tcPr>
          <w:p w14:paraId="4011FC2D">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130.32</w:t>
            </w:r>
          </w:p>
        </w:tc>
      </w:tr>
      <w:tr w14:paraId="18578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49F31B96">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13</w:t>
            </w:r>
          </w:p>
        </w:tc>
        <w:tc>
          <w:tcPr>
            <w:tcW w:w="1574" w:type="dxa"/>
            <w:vAlign w:val="center"/>
          </w:tcPr>
          <w:p w14:paraId="0F0DF5ED">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咸宜镇</w:t>
            </w:r>
          </w:p>
        </w:tc>
        <w:tc>
          <w:tcPr>
            <w:tcW w:w="2125" w:type="dxa"/>
            <w:vAlign w:val="center"/>
          </w:tcPr>
          <w:p w14:paraId="210F99BE">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28</w:t>
            </w:r>
          </w:p>
        </w:tc>
        <w:tc>
          <w:tcPr>
            <w:tcW w:w="2267" w:type="dxa"/>
            <w:vAlign w:val="center"/>
          </w:tcPr>
          <w:p w14:paraId="62563DD6">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4098.27</w:t>
            </w:r>
          </w:p>
        </w:tc>
        <w:tc>
          <w:tcPr>
            <w:tcW w:w="1495" w:type="dxa"/>
            <w:vAlign w:val="center"/>
          </w:tcPr>
          <w:p w14:paraId="7197156F">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164.74</w:t>
            </w:r>
          </w:p>
        </w:tc>
      </w:tr>
      <w:tr w14:paraId="23F8B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4E34359E">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14</w:t>
            </w:r>
          </w:p>
        </w:tc>
        <w:tc>
          <w:tcPr>
            <w:tcW w:w="1574" w:type="dxa"/>
            <w:vAlign w:val="center"/>
          </w:tcPr>
          <w:p w14:paraId="675D77E7">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修齐镇</w:t>
            </w:r>
          </w:p>
        </w:tc>
        <w:tc>
          <w:tcPr>
            <w:tcW w:w="2125" w:type="dxa"/>
            <w:vAlign w:val="center"/>
          </w:tcPr>
          <w:p w14:paraId="316D622B">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17</w:t>
            </w:r>
          </w:p>
        </w:tc>
        <w:tc>
          <w:tcPr>
            <w:tcW w:w="2267" w:type="dxa"/>
            <w:vAlign w:val="center"/>
          </w:tcPr>
          <w:p w14:paraId="04440E8B">
            <w:pPr>
              <w:keepNext w:val="0"/>
              <w:keepLines w:val="0"/>
              <w:widowControl/>
              <w:suppressLineNumbers w:val="0"/>
              <w:jc w:val="center"/>
              <w:textAlignment w:val="center"/>
              <w:rPr>
                <w:rFonts w:hint="default"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3806.98</w:t>
            </w:r>
          </w:p>
        </w:tc>
        <w:tc>
          <w:tcPr>
            <w:tcW w:w="1495" w:type="dxa"/>
            <w:vAlign w:val="center"/>
          </w:tcPr>
          <w:p w14:paraId="659F3EE3">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165.71</w:t>
            </w:r>
          </w:p>
        </w:tc>
      </w:tr>
      <w:tr w14:paraId="366CF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7" w:type="dxa"/>
            <w:vAlign w:val="center"/>
          </w:tcPr>
          <w:p w14:paraId="055E5515">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15</w:t>
            </w:r>
          </w:p>
        </w:tc>
        <w:tc>
          <w:tcPr>
            <w:tcW w:w="1574" w:type="dxa"/>
            <w:vAlign w:val="center"/>
          </w:tcPr>
          <w:p w14:paraId="7AA6046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左岚乡</w:t>
            </w:r>
          </w:p>
        </w:tc>
        <w:tc>
          <w:tcPr>
            <w:tcW w:w="2125" w:type="dxa"/>
            <w:vAlign w:val="center"/>
          </w:tcPr>
          <w:p w14:paraId="707B2A23">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8</w:t>
            </w:r>
          </w:p>
        </w:tc>
        <w:tc>
          <w:tcPr>
            <w:tcW w:w="2267" w:type="dxa"/>
            <w:vAlign w:val="center"/>
          </w:tcPr>
          <w:p w14:paraId="2A129547">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2852.58</w:t>
            </w:r>
          </w:p>
        </w:tc>
        <w:tc>
          <w:tcPr>
            <w:tcW w:w="1495" w:type="dxa"/>
            <w:vAlign w:val="center"/>
          </w:tcPr>
          <w:p w14:paraId="3D1119C3">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124.3</w:t>
            </w:r>
          </w:p>
        </w:tc>
      </w:tr>
      <w:tr w14:paraId="3223A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Align w:val="center"/>
          </w:tcPr>
          <w:p w14:paraId="0C562C1D">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16</w:t>
            </w:r>
          </w:p>
        </w:tc>
        <w:tc>
          <w:tcPr>
            <w:tcW w:w="1574" w:type="dxa"/>
            <w:vAlign w:val="center"/>
          </w:tcPr>
          <w:p w14:paraId="792D691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周溪乡</w:t>
            </w:r>
          </w:p>
        </w:tc>
        <w:tc>
          <w:tcPr>
            <w:tcW w:w="2125" w:type="dxa"/>
            <w:vAlign w:val="center"/>
          </w:tcPr>
          <w:p w14:paraId="0DB081FA">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46</w:t>
            </w:r>
          </w:p>
        </w:tc>
        <w:tc>
          <w:tcPr>
            <w:tcW w:w="2267" w:type="dxa"/>
            <w:vAlign w:val="center"/>
          </w:tcPr>
          <w:p w14:paraId="1EAFC95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2877.07</w:t>
            </w:r>
          </w:p>
        </w:tc>
        <w:tc>
          <w:tcPr>
            <w:tcW w:w="1495" w:type="dxa"/>
            <w:vAlign w:val="center"/>
          </w:tcPr>
          <w:p w14:paraId="2C17C0A2">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79.22</w:t>
            </w:r>
          </w:p>
        </w:tc>
      </w:tr>
      <w:tr w14:paraId="2FA17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106FDF74">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17</w:t>
            </w:r>
          </w:p>
        </w:tc>
        <w:tc>
          <w:tcPr>
            <w:tcW w:w="1574" w:type="dxa"/>
            <w:vAlign w:val="center"/>
          </w:tcPr>
          <w:p w14:paraId="6320341D">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鸡鸣乡</w:t>
            </w:r>
          </w:p>
        </w:tc>
        <w:tc>
          <w:tcPr>
            <w:tcW w:w="2125" w:type="dxa"/>
            <w:vAlign w:val="center"/>
          </w:tcPr>
          <w:p w14:paraId="01CC152B">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20</w:t>
            </w:r>
          </w:p>
        </w:tc>
        <w:tc>
          <w:tcPr>
            <w:tcW w:w="2267" w:type="dxa"/>
            <w:vAlign w:val="center"/>
          </w:tcPr>
          <w:p w14:paraId="30C9B9C8">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2603.89</w:t>
            </w:r>
          </w:p>
        </w:tc>
        <w:tc>
          <w:tcPr>
            <w:tcW w:w="1495" w:type="dxa"/>
            <w:vAlign w:val="center"/>
          </w:tcPr>
          <w:p w14:paraId="1D001A87">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80.06</w:t>
            </w:r>
          </w:p>
        </w:tc>
      </w:tr>
      <w:tr w14:paraId="5F2BA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6974195D">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18</w:t>
            </w:r>
          </w:p>
        </w:tc>
        <w:tc>
          <w:tcPr>
            <w:tcW w:w="1574" w:type="dxa"/>
            <w:vAlign w:val="center"/>
          </w:tcPr>
          <w:p w14:paraId="078A5174">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巴山镇</w:t>
            </w:r>
          </w:p>
        </w:tc>
        <w:tc>
          <w:tcPr>
            <w:tcW w:w="2125" w:type="dxa"/>
            <w:vAlign w:val="center"/>
          </w:tcPr>
          <w:p w14:paraId="2A8DE1EB">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19</w:t>
            </w:r>
          </w:p>
        </w:tc>
        <w:tc>
          <w:tcPr>
            <w:tcW w:w="2267" w:type="dxa"/>
            <w:vAlign w:val="center"/>
          </w:tcPr>
          <w:p w14:paraId="31BB36DF">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2438.08</w:t>
            </w:r>
          </w:p>
        </w:tc>
        <w:tc>
          <w:tcPr>
            <w:tcW w:w="1495" w:type="dxa"/>
            <w:vAlign w:val="center"/>
          </w:tcPr>
          <w:p w14:paraId="228CA710">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126.84</w:t>
            </w:r>
          </w:p>
        </w:tc>
      </w:tr>
      <w:tr w14:paraId="0D982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Align w:val="center"/>
          </w:tcPr>
          <w:p w14:paraId="4DF93640">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19</w:t>
            </w:r>
          </w:p>
        </w:tc>
        <w:tc>
          <w:tcPr>
            <w:tcW w:w="1574" w:type="dxa"/>
            <w:vAlign w:val="center"/>
          </w:tcPr>
          <w:p w14:paraId="55ADB27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明通镇</w:t>
            </w:r>
          </w:p>
        </w:tc>
        <w:tc>
          <w:tcPr>
            <w:tcW w:w="2125" w:type="dxa"/>
            <w:vAlign w:val="center"/>
          </w:tcPr>
          <w:p w14:paraId="6524CB25">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14</w:t>
            </w:r>
          </w:p>
        </w:tc>
        <w:tc>
          <w:tcPr>
            <w:tcW w:w="2267" w:type="dxa"/>
            <w:vAlign w:val="center"/>
          </w:tcPr>
          <w:p w14:paraId="642FF532">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2116.59</w:t>
            </w:r>
          </w:p>
        </w:tc>
        <w:tc>
          <w:tcPr>
            <w:tcW w:w="1495" w:type="dxa"/>
            <w:vAlign w:val="center"/>
          </w:tcPr>
          <w:p w14:paraId="6FA99FAE">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80.53</w:t>
            </w:r>
          </w:p>
        </w:tc>
      </w:tr>
      <w:tr w14:paraId="41C42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Align w:val="center"/>
          </w:tcPr>
          <w:p w14:paraId="61B0CB9C">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20</w:t>
            </w:r>
          </w:p>
        </w:tc>
        <w:tc>
          <w:tcPr>
            <w:tcW w:w="1574" w:type="dxa"/>
            <w:vAlign w:val="center"/>
          </w:tcPr>
          <w:p w14:paraId="64E699AF">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沿河乡</w:t>
            </w:r>
          </w:p>
        </w:tc>
        <w:tc>
          <w:tcPr>
            <w:tcW w:w="2125" w:type="dxa"/>
            <w:vAlign w:val="center"/>
          </w:tcPr>
          <w:p w14:paraId="7B4244D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30</w:t>
            </w:r>
          </w:p>
        </w:tc>
        <w:tc>
          <w:tcPr>
            <w:tcW w:w="2267" w:type="dxa"/>
            <w:vAlign w:val="center"/>
          </w:tcPr>
          <w:p w14:paraId="284D5D26">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1602.18</w:t>
            </w:r>
          </w:p>
        </w:tc>
        <w:tc>
          <w:tcPr>
            <w:tcW w:w="1495" w:type="dxa"/>
            <w:vAlign w:val="center"/>
          </w:tcPr>
          <w:p w14:paraId="2694E395">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111.07</w:t>
            </w:r>
          </w:p>
        </w:tc>
      </w:tr>
      <w:tr w14:paraId="15761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7" w:type="dxa"/>
            <w:vAlign w:val="center"/>
          </w:tcPr>
          <w:p w14:paraId="6742BB86">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21</w:t>
            </w:r>
          </w:p>
        </w:tc>
        <w:tc>
          <w:tcPr>
            <w:tcW w:w="1574" w:type="dxa"/>
            <w:vAlign w:val="center"/>
          </w:tcPr>
          <w:p w14:paraId="2925D973">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高燕镇</w:t>
            </w:r>
          </w:p>
        </w:tc>
        <w:tc>
          <w:tcPr>
            <w:tcW w:w="2125" w:type="dxa"/>
            <w:vAlign w:val="center"/>
          </w:tcPr>
          <w:p w14:paraId="504608E6">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23</w:t>
            </w:r>
          </w:p>
        </w:tc>
        <w:tc>
          <w:tcPr>
            <w:tcW w:w="2267" w:type="dxa"/>
            <w:vAlign w:val="center"/>
          </w:tcPr>
          <w:p w14:paraId="320BBA05">
            <w:pPr>
              <w:keepNext w:val="0"/>
              <w:keepLines w:val="0"/>
              <w:widowControl/>
              <w:suppressLineNumbers w:val="0"/>
              <w:jc w:val="center"/>
              <w:textAlignment w:val="center"/>
              <w:rPr>
                <w:rFonts w:hint="default"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1081.73</w:t>
            </w:r>
          </w:p>
        </w:tc>
        <w:tc>
          <w:tcPr>
            <w:tcW w:w="1495" w:type="dxa"/>
            <w:vAlign w:val="center"/>
          </w:tcPr>
          <w:p w14:paraId="11188875">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137.96</w:t>
            </w:r>
          </w:p>
        </w:tc>
      </w:tr>
      <w:tr w14:paraId="3E2B8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Align w:val="center"/>
          </w:tcPr>
          <w:p w14:paraId="2E494B3D">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22</w:t>
            </w:r>
          </w:p>
        </w:tc>
        <w:tc>
          <w:tcPr>
            <w:tcW w:w="1574" w:type="dxa"/>
            <w:vAlign w:val="center"/>
          </w:tcPr>
          <w:p w14:paraId="7470F6F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复兴街道</w:t>
            </w:r>
          </w:p>
        </w:tc>
        <w:tc>
          <w:tcPr>
            <w:tcW w:w="2125" w:type="dxa"/>
            <w:vAlign w:val="center"/>
          </w:tcPr>
          <w:p w14:paraId="6F74C48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13</w:t>
            </w:r>
          </w:p>
        </w:tc>
        <w:tc>
          <w:tcPr>
            <w:tcW w:w="2267" w:type="dxa"/>
            <w:vAlign w:val="center"/>
          </w:tcPr>
          <w:p w14:paraId="50277ED5">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1002.26</w:t>
            </w:r>
          </w:p>
        </w:tc>
        <w:tc>
          <w:tcPr>
            <w:tcW w:w="1495" w:type="dxa"/>
            <w:vAlign w:val="center"/>
          </w:tcPr>
          <w:p w14:paraId="0BE0A10C">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53.15</w:t>
            </w:r>
          </w:p>
        </w:tc>
      </w:tr>
      <w:tr w14:paraId="114BE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7" w:type="dxa"/>
            <w:vAlign w:val="center"/>
          </w:tcPr>
          <w:p w14:paraId="0AC3EB39">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23</w:t>
            </w:r>
          </w:p>
        </w:tc>
        <w:tc>
          <w:tcPr>
            <w:tcW w:w="1574" w:type="dxa"/>
            <w:vAlign w:val="center"/>
          </w:tcPr>
          <w:p w14:paraId="018B77F5">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治平乡</w:t>
            </w:r>
          </w:p>
        </w:tc>
        <w:tc>
          <w:tcPr>
            <w:tcW w:w="2125" w:type="dxa"/>
            <w:vAlign w:val="center"/>
          </w:tcPr>
          <w:p w14:paraId="58BF1FAF">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12</w:t>
            </w:r>
          </w:p>
        </w:tc>
        <w:tc>
          <w:tcPr>
            <w:tcW w:w="2267" w:type="dxa"/>
            <w:vAlign w:val="center"/>
          </w:tcPr>
          <w:p w14:paraId="56F73815">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877.19</w:t>
            </w:r>
          </w:p>
        </w:tc>
        <w:tc>
          <w:tcPr>
            <w:tcW w:w="1495" w:type="dxa"/>
            <w:vAlign w:val="center"/>
          </w:tcPr>
          <w:p w14:paraId="06FDA881">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60.33</w:t>
            </w:r>
          </w:p>
        </w:tc>
      </w:tr>
      <w:tr w14:paraId="151D5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Align w:val="center"/>
          </w:tcPr>
          <w:p w14:paraId="68469193">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24</w:t>
            </w:r>
          </w:p>
        </w:tc>
        <w:tc>
          <w:tcPr>
            <w:tcW w:w="1574" w:type="dxa"/>
            <w:vAlign w:val="center"/>
          </w:tcPr>
          <w:p w14:paraId="6DC6F4A5">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坪坝镇</w:t>
            </w:r>
          </w:p>
        </w:tc>
        <w:tc>
          <w:tcPr>
            <w:tcW w:w="2125" w:type="dxa"/>
            <w:vAlign w:val="center"/>
          </w:tcPr>
          <w:p w14:paraId="02CE0DBA">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6</w:t>
            </w:r>
          </w:p>
        </w:tc>
        <w:tc>
          <w:tcPr>
            <w:tcW w:w="2267" w:type="dxa"/>
            <w:vAlign w:val="center"/>
          </w:tcPr>
          <w:p w14:paraId="1F16E3C9">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293.37</w:t>
            </w:r>
          </w:p>
        </w:tc>
        <w:tc>
          <w:tcPr>
            <w:tcW w:w="1495" w:type="dxa"/>
            <w:vAlign w:val="center"/>
          </w:tcPr>
          <w:p w14:paraId="4490050D">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59.74</w:t>
            </w:r>
          </w:p>
        </w:tc>
      </w:tr>
      <w:tr w14:paraId="4F274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Align w:val="center"/>
          </w:tcPr>
          <w:p w14:paraId="1B2359CF">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eastAsia" w:ascii="Arial" w:hAnsi="Arial" w:eastAsia="宋体" w:cs="Arial"/>
                <w:i w:val="0"/>
                <w:iCs w:val="0"/>
                <w:snapToGrid w:val="0"/>
                <w:color w:val="000000"/>
                <w:kern w:val="0"/>
                <w:sz w:val="20"/>
                <w:szCs w:val="20"/>
                <w:u w:val="none"/>
                <w:lang w:val="en-US" w:eastAsia="zh-CN" w:bidi="ar"/>
              </w:rPr>
              <w:t>25</w:t>
            </w:r>
          </w:p>
        </w:tc>
        <w:tc>
          <w:tcPr>
            <w:tcW w:w="1574" w:type="dxa"/>
            <w:vAlign w:val="center"/>
          </w:tcPr>
          <w:p w14:paraId="37B4CDEA">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葛城街道</w:t>
            </w:r>
          </w:p>
        </w:tc>
        <w:tc>
          <w:tcPr>
            <w:tcW w:w="2125" w:type="dxa"/>
            <w:vAlign w:val="center"/>
          </w:tcPr>
          <w:p w14:paraId="3682B681">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eastAsia="zh-CN"/>
              </w:rPr>
            </w:pPr>
            <w:r>
              <w:rPr>
                <w:rFonts w:hint="default" w:ascii="Arial" w:hAnsi="Arial" w:eastAsia="宋体" w:cs="Arial"/>
                <w:i w:val="0"/>
                <w:iCs w:val="0"/>
                <w:snapToGrid w:val="0"/>
                <w:color w:val="000000"/>
                <w:kern w:val="0"/>
                <w:sz w:val="20"/>
                <w:szCs w:val="20"/>
                <w:u w:val="none"/>
                <w:lang w:val="en-US" w:eastAsia="zh-CN" w:bidi="ar"/>
              </w:rPr>
              <w:t>3</w:t>
            </w:r>
          </w:p>
        </w:tc>
        <w:tc>
          <w:tcPr>
            <w:tcW w:w="2267" w:type="dxa"/>
            <w:vAlign w:val="center"/>
          </w:tcPr>
          <w:p w14:paraId="2C58B620">
            <w:pPr>
              <w:keepNext w:val="0"/>
              <w:keepLines w:val="0"/>
              <w:widowControl/>
              <w:suppressLineNumbers w:val="0"/>
              <w:jc w:val="center"/>
              <w:textAlignment w:val="center"/>
              <w:rPr>
                <w:rFonts w:hint="eastAsia" w:ascii="CESI仿宋-GB2312" w:hAnsi="CESI仿宋-GB2312" w:eastAsia="CESI仿宋-GB2312" w:cs="CESI仿宋-GB2312"/>
                <w:snapToGrid/>
                <w:kern w:val="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139.76</w:t>
            </w:r>
          </w:p>
        </w:tc>
        <w:tc>
          <w:tcPr>
            <w:tcW w:w="1495" w:type="dxa"/>
            <w:vAlign w:val="center"/>
          </w:tcPr>
          <w:p w14:paraId="22A36E65">
            <w:pPr>
              <w:keepNext w:val="0"/>
              <w:keepLines w:val="0"/>
              <w:widowControl/>
              <w:suppressLineNumbers w:val="0"/>
              <w:jc w:val="center"/>
              <w:textAlignment w:val="center"/>
              <w:rPr>
                <w:rFonts w:hint="eastAsia" w:ascii="Arial" w:hAnsi="Arial" w:eastAsia="宋体" w:cs="Arial"/>
                <w:i w:val="0"/>
                <w:iCs w:val="0"/>
                <w:snapToGrid w:val="0"/>
                <w:color w:val="000000"/>
                <w:kern w:val="0"/>
                <w:sz w:val="20"/>
                <w:szCs w:val="20"/>
                <w:u w:val="none"/>
                <w:lang w:val="en-US" w:eastAsia="zh-CN" w:bidi="ar"/>
              </w:rPr>
            </w:pPr>
            <w:r>
              <w:rPr>
                <w:rFonts w:hint="default" w:ascii="Arial" w:hAnsi="Arial" w:eastAsia="宋体" w:cs="Arial"/>
                <w:i w:val="0"/>
                <w:iCs w:val="0"/>
                <w:snapToGrid w:val="0"/>
                <w:color w:val="000000"/>
                <w:kern w:val="0"/>
                <w:sz w:val="20"/>
                <w:szCs w:val="20"/>
                <w:u w:val="none"/>
                <w:lang w:val="en-US" w:eastAsia="zh-CN" w:bidi="ar"/>
              </w:rPr>
              <w:t>21.58</w:t>
            </w:r>
          </w:p>
        </w:tc>
      </w:tr>
      <w:tr w14:paraId="71736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11" w:type="dxa"/>
            <w:gridSpan w:val="2"/>
            <w:vAlign w:val="center"/>
          </w:tcPr>
          <w:p w14:paraId="1EB75A9B">
            <w:pPr>
              <w:widowControl/>
              <w:kinsoku/>
              <w:autoSpaceDE/>
              <w:autoSpaceDN/>
              <w:adjustRightInd w:val="0"/>
              <w:snapToGrid w:val="0"/>
              <w:spacing w:line="240" w:lineRule="auto"/>
              <w:jc w:val="center"/>
              <w:textAlignment w:val="auto"/>
              <w:rPr>
                <w:rFonts w:hint="eastAsia" w:ascii="CESI仿宋-GB2312" w:hAnsi="CESI仿宋-GB2312" w:eastAsia="CESI仿宋-GB2312" w:cs="CESI仿宋-GB2312"/>
                <w:b/>
                <w:bCs/>
                <w:snapToGrid/>
                <w:kern w:val="0"/>
                <w:sz w:val="21"/>
                <w:szCs w:val="21"/>
                <w:lang w:eastAsia="zh-CN"/>
              </w:rPr>
            </w:pPr>
            <w:r>
              <w:rPr>
                <w:rFonts w:hint="eastAsia" w:ascii="CESI仿宋-GB2312" w:hAnsi="CESI仿宋-GB2312" w:eastAsia="CESI仿宋-GB2312" w:cs="CESI仿宋-GB2312"/>
                <w:b/>
                <w:bCs/>
                <w:snapToGrid/>
                <w:kern w:val="0"/>
                <w:sz w:val="21"/>
                <w:szCs w:val="21"/>
                <w:lang w:eastAsia="zh-CN"/>
              </w:rPr>
              <w:t>合计</w:t>
            </w:r>
          </w:p>
        </w:tc>
        <w:tc>
          <w:tcPr>
            <w:tcW w:w="2125" w:type="dxa"/>
            <w:vAlign w:val="bottom"/>
          </w:tcPr>
          <w:p w14:paraId="30D47E2D">
            <w:pPr>
              <w:keepNext w:val="0"/>
              <w:keepLines w:val="0"/>
              <w:widowControl/>
              <w:suppressLineNumbers w:val="0"/>
              <w:jc w:val="center"/>
              <w:textAlignment w:val="bottom"/>
              <w:rPr>
                <w:rFonts w:hint="default" w:ascii="CESI仿宋-GB2312" w:hAnsi="CESI仿宋-GB2312" w:eastAsia="CESI仿宋-GB2312" w:cs="CESI仿宋-GB2312"/>
                <w:b/>
                <w:bCs/>
                <w:snapToGrid/>
                <w:kern w:val="0"/>
                <w:sz w:val="21"/>
                <w:szCs w:val="21"/>
                <w:lang w:val="en-US" w:eastAsia="zh-CN"/>
              </w:rPr>
            </w:pPr>
            <w:r>
              <w:rPr>
                <w:rFonts w:hint="default" w:ascii="CESI仿宋-GB2312" w:hAnsi="CESI仿宋-GB2312" w:eastAsia="CESI仿宋-GB2312" w:cs="CESI仿宋-GB2312"/>
                <w:b/>
                <w:bCs/>
                <w:i w:val="0"/>
                <w:iCs w:val="0"/>
                <w:snapToGrid w:val="0"/>
                <w:color w:val="000000"/>
                <w:kern w:val="0"/>
                <w:sz w:val="21"/>
                <w:szCs w:val="21"/>
                <w:u w:val="none"/>
                <w:lang w:val="en-US" w:eastAsia="zh-CN" w:bidi="ar"/>
              </w:rPr>
              <w:t>598</w:t>
            </w:r>
          </w:p>
        </w:tc>
        <w:tc>
          <w:tcPr>
            <w:tcW w:w="2267" w:type="dxa"/>
            <w:vAlign w:val="bottom"/>
          </w:tcPr>
          <w:p w14:paraId="7E867FFB">
            <w:pPr>
              <w:keepNext w:val="0"/>
              <w:keepLines w:val="0"/>
              <w:widowControl/>
              <w:suppressLineNumbers w:val="0"/>
              <w:jc w:val="center"/>
              <w:textAlignment w:val="bottom"/>
              <w:rPr>
                <w:rFonts w:hint="default" w:ascii="CESI仿宋-GB2312" w:hAnsi="CESI仿宋-GB2312" w:eastAsia="CESI仿宋-GB2312" w:cs="CESI仿宋-GB2312"/>
                <w:b/>
                <w:bCs/>
                <w:snapToGrid/>
                <w:kern w:val="0"/>
                <w:sz w:val="21"/>
                <w:szCs w:val="21"/>
                <w:lang w:val="en-US" w:eastAsia="zh-CN"/>
              </w:rPr>
            </w:pPr>
            <w:r>
              <w:rPr>
                <w:rFonts w:hint="default" w:ascii="CESI仿宋-GB2312" w:hAnsi="CESI仿宋-GB2312" w:eastAsia="CESI仿宋-GB2312" w:cs="CESI仿宋-GB2312"/>
                <w:b/>
                <w:bCs/>
                <w:i w:val="0"/>
                <w:iCs w:val="0"/>
                <w:snapToGrid w:val="0"/>
                <w:color w:val="000000"/>
                <w:kern w:val="0"/>
                <w:sz w:val="21"/>
                <w:szCs w:val="21"/>
                <w:u w:val="none"/>
                <w:lang w:val="en-US" w:eastAsia="zh-CN" w:bidi="ar"/>
              </w:rPr>
              <w:t>111436.49</w:t>
            </w:r>
          </w:p>
        </w:tc>
        <w:tc>
          <w:tcPr>
            <w:tcW w:w="1495" w:type="dxa"/>
            <w:vAlign w:val="center"/>
          </w:tcPr>
          <w:p w14:paraId="134A7BFA">
            <w:pPr>
              <w:widowControl/>
              <w:kinsoku/>
              <w:autoSpaceDE/>
              <w:autoSpaceDN/>
              <w:adjustRightInd w:val="0"/>
              <w:snapToGrid w:val="0"/>
              <w:spacing w:line="240" w:lineRule="auto"/>
              <w:jc w:val="center"/>
              <w:textAlignment w:val="auto"/>
              <w:rPr>
                <w:rFonts w:hint="default" w:ascii="CESI仿宋-GB2312" w:hAnsi="CESI仿宋-GB2312" w:eastAsia="CESI仿宋-GB2312" w:cs="CESI仿宋-GB2312"/>
                <w:b/>
                <w:bCs/>
                <w:snapToGrid/>
                <w:kern w:val="0"/>
                <w:sz w:val="21"/>
                <w:szCs w:val="21"/>
                <w:lang w:val="en-US" w:eastAsia="zh-CN"/>
              </w:rPr>
            </w:pPr>
            <w:r>
              <w:rPr>
                <w:rFonts w:hint="eastAsia" w:ascii="CESI仿宋-GB2312" w:hAnsi="CESI仿宋-GB2312" w:eastAsia="CESI仿宋-GB2312" w:cs="CESI仿宋-GB2312"/>
                <w:b/>
                <w:bCs/>
                <w:snapToGrid/>
                <w:kern w:val="0"/>
                <w:sz w:val="21"/>
                <w:szCs w:val="21"/>
                <w:lang w:val="en-US" w:eastAsia="zh-CN"/>
              </w:rPr>
              <w:t>3289.52</w:t>
            </w:r>
          </w:p>
        </w:tc>
      </w:tr>
    </w:tbl>
    <w:p w14:paraId="236DEA3D">
      <w:pPr>
        <w:pStyle w:val="5"/>
        <w:keepNext w:val="0"/>
        <w:keepLines w:val="0"/>
        <w:pageBreakBefore w:val="0"/>
        <w:widowControl/>
        <w:kinsoku/>
        <w:wordWrap/>
        <w:overflowPunct/>
        <w:topLinePunct w:val="0"/>
        <w:autoSpaceDE w:val="0"/>
        <w:autoSpaceDN w:val="0"/>
        <w:bidi w:val="0"/>
        <w:adjustRightInd w:val="0"/>
        <w:snapToGrid w:val="0"/>
        <w:spacing w:before="98" w:line="219" w:lineRule="auto"/>
        <w:ind w:left="23"/>
        <w:jc w:val="both"/>
        <w:rPr>
          <w:color w:val="auto"/>
          <w:sz w:val="24"/>
          <w:szCs w:val="24"/>
        </w:rPr>
      </w:pPr>
      <w:r>
        <w:rPr>
          <w:color w:val="auto"/>
          <w:spacing w:val="-1"/>
          <w:sz w:val="24"/>
          <w:szCs w:val="24"/>
        </w:rPr>
        <w:t>注：乡镇国土面积数据来源于</w:t>
      </w:r>
      <w:r>
        <w:rPr>
          <w:rFonts w:hint="eastAsia"/>
          <w:color w:val="auto"/>
          <w:spacing w:val="-1"/>
          <w:sz w:val="24"/>
          <w:szCs w:val="24"/>
          <w:lang w:eastAsia="zh-CN"/>
        </w:rPr>
        <w:t>城口县</w:t>
      </w:r>
      <w:r>
        <w:rPr>
          <w:color w:val="auto"/>
          <w:spacing w:val="-1"/>
          <w:sz w:val="24"/>
          <w:szCs w:val="24"/>
        </w:rPr>
        <w:t>“三调”数据库</w:t>
      </w:r>
    </w:p>
    <w:p w14:paraId="1460E6FB">
      <w:pPr>
        <w:keepNext w:val="0"/>
        <w:keepLines w:val="0"/>
        <w:pageBreakBefore w:val="0"/>
        <w:widowControl/>
        <w:kinsoku/>
        <w:wordWrap/>
        <w:overflowPunct/>
        <w:topLinePunct w:val="0"/>
        <w:autoSpaceDE w:val="0"/>
        <w:autoSpaceDN w:val="0"/>
        <w:bidi w:val="0"/>
        <w:adjustRightInd w:val="0"/>
        <w:snapToGrid w:val="0"/>
        <w:spacing w:line="219" w:lineRule="auto"/>
        <w:jc w:val="both"/>
        <w:rPr>
          <w:color w:val="215968" w:themeColor="accent5" w:themeShade="80"/>
          <w:sz w:val="24"/>
          <w:szCs w:val="24"/>
        </w:rPr>
        <w:sectPr>
          <w:footerReference r:id="rId14" w:type="default"/>
          <w:pgSz w:w="11907" w:h="16839"/>
          <w:pgMar w:top="1440" w:right="1800" w:bottom="1440" w:left="1800" w:header="0" w:footer="1624" w:gutter="0"/>
          <w:pgNumType w:fmt="decimal"/>
          <w:cols w:space="720" w:num="1"/>
        </w:sectPr>
      </w:pPr>
    </w:p>
    <w:p w14:paraId="3C065976">
      <w:pPr>
        <w:pStyle w:val="3"/>
        <w:bidi w:val="0"/>
        <w:ind w:left="0" w:leftChars="0" w:firstLine="0" w:firstLineChars="0"/>
        <w:rPr>
          <w:rFonts w:hint="default"/>
          <w:lang w:val="en-US" w:eastAsia="zh-CN"/>
        </w:rPr>
      </w:pPr>
      <w:bookmarkStart w:id="39" w:name="_Toc10790"/>
      <w:r>
        <w:rPr>
          <w:rFonts w:hint="eastAsia"/>
          <w:lang w:val="en-US" w:eastAsia="zh-CN"/>
        </w:rPr>
        <w:t>附图</w:t>
      </w:r>
      <w:r>
        <w:rPr>
          <w:rFonts w:hint="default"/>
          <w:lang w:val="en-US" w:eastAsia="zh-CN"/>
        </w:rPr>
        <w:t xml:space="preserve"> </w:t>
      </w:r>
      <w:r>
        <w:rPr>
          <w:rFonts w:hint="eastAsia"/>
          <w:lang w:val="en-US" w:eastAsia="zh-CN"/>
        </w:rPr>
        <w:t>城口县禁止开垦陡坡地范围示意图</w:t>
      </w:r>
      <w:bookmarkEnd w:id="39"/>
    </w:p>
    <w:p w14:paraId="5F668136">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eastAsia" w:eastAsia="宋体"/>
          <w:lang w:eastAsia="zh-CN"/>
        </w:rPr>
      </w:pPr>
      <w:r>
        <w:rPr>
          <w:rFonts w:hint="eastAsia" w:eastAsia="宋体"/>
          <w:lang w:eastAsia="zh-CN"/>
        </w:rPr>
        <w:drawing>
          <wp:inline distT="0" distB="0" distL="114300" distR="114300">
            <wp:extent cx="6927850" cy="5317490"/>
            <wp:effectExtent l="0" t="0" r="6350" b="1270"/>
            <wp:docPr id="10" name="图片 10" descr="C:/Users/44188/Desktop/城口县禁止开垦陡坡地范围划定成果图.jpg城口县禁止开垦陡坡地范围划定成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44188/Desktop/城口县禁止开垦陡坡地范围划定成果图.jpg城口县禁止开垦陡坡地范围划定成果图"/>
                    <pic:cNvPicPr>
                      <a:picLocks noChangeAspect="1"/>
                    </pic:cNvPicPr>
                  </pic:nvPicPr>
                  <pic:blipFill>
                    <a:blip r:embed="rId34"/>
                    <a:srcRect l="233" r="233"/>
                    <a:stretch>
                      <a:fillRect/>
                    </a:stretch>
                  </pic:blipFill>
                  <pic:spPr>
                    <a:xfrm>
                      <a:off x="0" y="0"/>
                      <a:ext cx="6927850" cy="5317490"/>
                    </a:xfrm>
                    <a:prstGeom prst="rect">
                      <a:avLst/>
                    </a:prstGeom>
                  </pic:spPr>
                </pic:pic>
              </a:graphicData>
            </a:graphic>
          </wp:inline>
        </w:drawing>
      </w:r>
    </w:p>
    <w:sectPr>
      <w:footerReference r:id="rId15" w:type="default"/>
      <w:pgSz w:w="16839" w:h="11907"/>
      <w:pgMar w:top="1440" w:right="1800" w:bottom="1440" w:left="180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E8C367C-CC2F-4A01-B352-517DE4F47C48}"/>
  </w:font>
  <w:font w:name="黑体">
    <w:panose1 w:val="02010600030101010101"/>
    <w:charset w:val="86"/>
    <w:family w:val="auto"/>
    <w:pitch w:val="default"/>
    <w:sig w:usb0="800002BF" w:usb1="38CF7CFA" w:usb2="00000016" w:usb3="00000000" w:csb0="00040001" w:csb1="00000000"/>
    <w:embedRegular r:id="rId2" w:fontKey="{910C697C-FDC0-40EA-9B62-E1663331CF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altName w:val="方正仿宋_GBK"/>
    <w:panose1 w:val="02000000000000000000"/>
    <w:charset w:val="86"/>
    <w:family w:val="auto"/>
    <w:pitch w:val="default"/>
    <w:sig w:usb0="00000000" w:usb1="00000000" w:usb2="00000012" w:usb3="00000000" w:csb0="00040001" w:csb1="00000000"/>
    <w:embedRegular r:id="rId3" w:fontKey="{3A1AF53D-3737-4CC3-B9C7-25F04373BC50}"/>
  </w:font>
  <w:font w:name="方正仿宋_GBK">
    <w:panose1 w:val="03000509000000000000"/>
    <w:charset w:val="86"/>
    <w:family w:val="auto"/>
    <w:pitch w:val="default"/>
    <w:sig w:usb0="00000001" w:usb1="080E0000" w:usb2="00000000" w:usb3="00000000" w:csb0="00040000" w:csb1="00000000"/>
    <w:embedRegular r:id="rId4" w:fontKey="{875BB734-548E-4219-AFAE-25874B1BA650}"/>
  </w:font>
  <w:font w:name="方正小标宋_GBK">
    <w:panose1 w:val="03000509000000000000"/>
    <w:charset w:val="86"/>
    <w:family w:val="auto"/>
    <w:pitch w:val="default"/>
    <w:sig w:usb0="00000001" w:usb1="080E0000" w:usb2="00000000" w:usb3="00000000" w:csb0="00040000" w:csb1="00000000"/>
    <w:embedRegular r:id="rId5" w:fontKey="{34E40D2E-7F4A-489B-ADEC-D0A6DC481E1B}"/>
  </w:font>
  <w:font w:name="方正仿宋_GBK-WinCharSetFFFF-H">
    <w:altName w:val="方正仿宋_GBK"/>
    <w:panose1 w:val="00000000000000000000"/>
    <w:charset w:val="00"/>
    <w:family w:val="auto"/>
    <w:pitch w:val="default"/>
    <w:sig w:usb0="00000000" w:usb1="00000000" w:usb2="00000000" w:usb3="00000000" w:csb0="00040001" w:csb1="00000000"/>
    <w:embedRegular r:id="rId6" w:fontKey="{9F63FCB9-B197-4D85-ABA4-1B8786015C33}"/>
  </w:font>
  <w:font w:name="Times-Roman">
    <w:altName w:val="Times New Roman"/>
    <w:panose1 w:val="00000000000000000000"/>
    <w:charset w:val="00"/>
    <w:family w:val="auto"/>
    <w:pitch w:val="default"/>
    <w:sig w:usb0="00000000" w:usb1="00000000" w:usb2="00000000" w:usb3="00000000" w:csb0="00040001" w:csb1="00000000"/>
    <w:embedRegular r:id="rId7" w:fontKey="{71CEE296-8E34-4A01-BEA8-DCAA50C913CF}"/>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8" w:fontKey="{E5BBDD1A-6EE5-44AD-858F-094E2495FAC5}"/>
  </w:font>
  <w:font w:name="仿宋_GB2312">
    <w:panose1 w:val="02010609030101010101"/>
    <w:charset w:val="86"/>
    <w:family w:val="modern"/>
    <w:pitch w:val="default"/>
    <w:sig w:usb0="00000001" w:usb1="080E0000" w:usb2="00000000" w:usb3="00000000" w:csb0="00040000" w:csb1="00000000"/>
    <w:embedRegular r:id="rId9" w:fontKey="{CC9D91A0-E8C9-4834-9AC7-085A82CBCDBE}"/>
  </w:font>
  <w:font w:name="楷体">
    <w:panose1 w:val="02010609060101010101"/>
    <w:charset w:val="86"/>
    <w:family w:val="auto"/>
    <w:pitch w:val="default"/>
    <w:sig w:usb0="800002BF" w:usb1="38CF7CFA" w:usb2="00000016" w:usb3="00000000" w:csb0="00040001" w:csb1="00000000"/>
    <w:embedRegular r:id="rId10" w:fontKey="{969788F7-E2B7-4E9A-90E5-BEA7616E002A}"/>
  </w:font>
  <w:font w:name="CESI仿宋-GB2312">
    <w:altName w:val="仿宋"/>
    <w:panose1 w:val="02000500000000000000"/>
    <w:charset w:val="86"/>
    <w:family w:val="auto"/>
    <w:pitch w:val="default"/>
    <w:sig w:usb0="00000000" w:usb1="00000000" w:usb2="00000010" w:usb3="00000000" w:csb0="0004000F" w:csb1="00000000"/>
    <w:embedRegular r:id="rId11" w:fontKey="{D5F3FF9E-E0B6-4A5E-AE55-82FEE9122E3B}"/>
  </w:font>
  <w:font w:name="微软雅黑">
    <w:panose1 w:val="020B0503020204020204"/>
    <w:charset w:val="86"/>
    <w:family w:val="auto"/>
    <w:pitch w:val="default"/>
    <w:sig w:usb0="80000287" w:usb1="2ACF3C50" w:usb2="00000016" w:usb3="00000000" w:csb0="0004001F" w:csb1="00000000"/>
    <w:embedRegular r:id="rId12" w:fontKey="{BDECC664-34FA-4DC7-B6D1-3EC7476EF3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04ED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2DFA2">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4A2DFA2">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BEF5B">
    <w:pPr>
      <w:spacing w:line="14" w:lineRule="auto"/>
      <w:rPr>
        <w:rFonts w:ascii="Arial"/>
        <w:sz w:val="2"/>
      </w:rPr>
    </w:pPr>
    <w:r>
      <w:rPr>
        <w:sz w:val="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D067C">
                          <w:pPr>
                            <w:pStyle w:val="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8ED067C">
                    <w:pPr>
                      <w:pStyle w:val="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E9BA8">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72A824">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872A824">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02B3F">
    <w:pPr>
      <w:pStyle w:val="5"/>
      <w:spacing w:line="173" w:lineRule="auto"/>
      <w:ind w:left="4353"/>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7D66A">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017D66A">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38A46">
    <w:pPr>
      <w:tabs>
        <w:tab w:val="left" w:pos="4639"/>
      </w:tabs>
      <w:spacing w:line="172" w:lineRule="auto"/>
      <w:ind w:left="4139"/>
      <w:rPr>
        <w:rFonts w:hint="eastAsia" w:ascii="楷体" w:hAnsi="楷体" w:eastAsia="楷体" w:cs="楷体"/>
        <w:sz w:val="18"/>
        <w:szCs w:val="18"/>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7E3F8">
                          <w:pPr>
                            <w:pStyle w:val="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657E3F8">
                    <w:pPr>
                      <w:pStyle w:val="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2BD92">
    <w:pPr>
      <w:pStyle w:val="5"/>
      <w:spacing w:line="173" w:lineRule="auto"/>
      <w:ind w:left="4087"/>
      <w:rPr>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48092">
                          <w:pPr>
                            <w:pStyle w:val="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E548092">
                    <w:pPr>
                      <w:pStyle w:val="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82134">
    <w:pPr>
      <w:pStyle w:val="5"/>
      <w:spacing w:line="173" w:lineRule="auto"/>
      <w:ind w:left="4087"/>
      <w:rPr>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0E88C">
                          <w:pPr>
                            <w:pStyle w:val="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7C0E88C">
                    <w:pPr>
                      <w:pStyle w:val="2"/>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DEB36">
    <w:pPr>
      <w:pStyle w:val="5"/>
      <w:spacing w:line="173" w:lineRule="auto"/>
      <w:ind w:left="4087"/>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C3DBC">
                          <w:pPr>
                            <w:pStyle w:val="2"/>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3FC3DBC">
                    <w:pPr>
                      <w:pStyle w:val="2"/>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C4E67">
    <w:pPr>
      <w:pStyle w:val="5"/>
      <w:spacing w:line="173" w:lineRule="auto"/>
      <w:ind w:left="4074"/>
      <w:rPr>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5B213">
                          <w:pPr>
                            <w:pStyle w:val="2"/>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835B213">
                    <w:pPr>
                      <w:pStyle w:val="2"/>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4DCC6">
    <w:pPr>
      <w:pStyle w:val="5"/>
      <w:spacing w:line="173" w:lineRule="auto"/>
      <w:ind w:left="4076"/>
      <w:rPr>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495D5">
                          <w:pPr>
                            <w:pStyle w:val="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56495D5">
                    <w:pPr>
                      <w:pStyle w:val="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E194E">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U3NmM4MmFiYmJlNjY3N2Q3MTdkN2MxYzllNGU4NTcifQ=="/>
    <w:docVar w:name="KSO_WPS_MARK_KEY" w:val="c1d09cc7-ea71-4e4d-89fe-47ac214784a7"/>
  </w:docVars>
  <w:rsids>
    <w:rsidRoot w:val="00000000"/>
    <w:rsid w:val="00613F9E"/>
    <w:rsid w:val="008B33C1"/>
    <w:rsid w:val="008C73DE"/>
    <w:rsid w:val="00AB7435"/>
    <w:rsid w:val="00B46D55"/>
    <w:rsid w:val="00C0687C"/>
    <w:rsid w:val="023F0464"/>
    <w:rsid w:val="024B5A70"/>
    <w:rsid w:val="0394180E"/>
    <w:rsid w:val="0467020F"/>
    <w:rsid w:val="04877EA0"/>
    <w:rsid w:val="04A5425E"/>
    <w:rsid w:val="04A649ED"/>
    <w:rsid w:val="04CB7F16"/>
    <w:rsid w:val="04E83035"/>
    <w:rsid w:val="05120C0E"/>
    <w:rsid w:val="05220413"/>
    <w:rsid w:val="079C0598"/>
    <w:rsid w:val="08391C14"/>
    <w:rsid w:val="097D4AF7"/>
    <w:rsid w:val="0998043E"/>
    <w:rsid w:val="0A650C83"/>
    <w:rsid w:val="0A7D4890"/>
    <w:rsid w:val="0AA82056"/>
    <w:rsid w:val="0AB85FB1"/>
    <w:rsid w:val="0B692FD1"/>
    <w:rsid w:val="0CDF466A"/>
    <w:rsid w:val="0E44403A"/>
    <w:rsid w:val="0F3B1FB3"/>
    <w:rsid w:val="10014FAA"/>
    <w:rsid w:val="11C664AC"/>
    <w:rsid w:val="12445622"/>
    <w:rsid w:val="12545FF0"/>
    <w:rsid w:val="12B2767E"/>
    <w:rsid w:val="13A32AA2"/>
    <w:rsid w:val="13CC1D73"/>
    <w:rsid w:val="157D1577"/>
    <w:rsid w:val="1594241D"/>
    <w:rsid w:val="167C5736"/>
    <w:rsid w:val="170D692B"/>
    <w:rsid w:val="17805AD6"/>
    <w:rsid w:val="18AB2C3E"/>
    <w:rsid w:val="197E04E1"/>
    <w:rsid w:val="1A3B730B"/>
    <w:rsid w:val="1B4C184D"/>
    <w:rsid w:val="1C7F0825"/>
    <w:rsid w:val="1CAC2742"/>
    <w:rsid w:val="1CC21F65"/>
    <w:rsid w:val="1CF739BD"/>
    <w:rsid w:val="1D1A76CF"/>
    <w:rsid w:val="1E89012F"/>
    <w:rsid w:val="1ECE074D"/>
    <w:rsid w:val="1ED87D0B"/>
    <w:rsid w:val="1EFD54D7"/>
    <w:rsid w:val="1FAB21DA"/>
    <w:rsid w:val="1FB97650"/>
    <w:rsid w:val="1FEC17D3"/>
    <w:rsid w:val="20C02CB5"/>
    <w:rsid w:val="20C830F3"/>
    <w:rsid w:val="22627DAF"/>
    <w:rsid w:val="23113B92"/>
    <w:rsid w:val="236643F1"/>
    <w:rsid w:val="237111AD"/>
    <w:rsid w:val="23C91E2B"/>
    <w:rsid w:val="23C97B72"/>
    <w:rsid w:val="24523BCF"/>
    <w:rsid w:val="24A25583"/>
    <w:rsid w:val="257D4C7B"/>
    <w:rsid w:val="267C52B0"/>
    <w:rsid w:val="26F94AD6"/>
    <w:rsid w:val="274A6DDF"/>
    <w:rsid w:val="278C389C"/>
    <w:rsid w:val="27F61835"/>
    <w:rsid w:val="28995227"/>
    <w:rsid w:val="28B135BA"/>
    <w:rsid w:val="28BF46B0"/>
    <w:rsid w:val="28DC6C1F"/>
    <w:rsid w:val="28E84317"/>
    <w:rsid w:val="28EA6ACC"/>
    <w:rsid w:val="291034DE"/>
    <w:rsid w:val="29FB2CD5"/>
    <w:rsid w:val="2A1B583C"/>
    <w:rsid w:val="2A26707C"/>
    <w:rsid w:val="2A5B111F"/>
    <w:rsid w:val="2AB01F25"/>
    <w:rsid w:val="2B0439C6"/>
    <w:rsid w:val="2B5B7F5A"/>
    <w:rsid w:val="2B9E76FA"/>
    <w:rsid w:val="2C0B2FE1"/>
    <w:rsid w:val="2CD86C3B"/>
    <w:rsid w:val="2E8F52A2"/>
    <w:rsid w:val="2EA9088F"/>
    <w:rsid w:val="2EC27A73"/>
    <w:rsid w:val="2F8F217B"/>
    <w:rsid w:val="30006BD5"/>
    <w:rsid w:val="3023147B"/>
    <w:rsid w:val="308E051A"/>
    <w:rsid w:val="312D57A8"/>
    <w:rsid w:val="31570A76"/>
    <w:rsid w:val="31F77B64"/>
    <w:rsid w:val="32430FFB"/>
    <w:rsid w:val="324E2004"/>
    <w:rsid w:val="34A044E2"/>
    <w:rsid w:val="34B14942"/>
    <w:rsid w:val="353115DE"/>
    <w:rsid w:val="363C0287"/>
    <w:rsid w:val="3684230E"/>
    <w:rsid w:val="36F34D9D"/>
    <w:rsid w:val="375A4870"/>
    <w:rsid w:val="395835DE"/>
    <w:rsid w:val="3AF82165"/>
    <w:rsid w:val="3B144E42"/>
    <w:rsid w:val="3DE2363F"/>
    <w:rsid w:val="3F12227D"/>
    <w:rsid w:val="3F5900B0"/>
    <w:rsid w:val="3F5C54AA"/>
    <w:rsid w:val="3F8F12DE"/>
    <w:rsid w:val="400D33F3"/>
    <w:rsid w:val="40292018"/>
    <w:rsid w:val="40411F33"/>
    <w:rsid w:val="405A7C3B"/>
    <w:rsid w:val="41AD023F"/>
    <w:rsid w:val="41F30A12"/>
    <w:rsid w:val="421A510F"/>
    <w:rsid w:val="42577DC0"/>
    <w:rsid w:val="430D368B"/>
    <w:rsid w:val="439711A6"/>
    <w:rsid w:val="43B05954"/>
    <w:rsid w:val="445719BA"/>
    <w:rsid w:val="44635EB2"/>
    <w:rsid w:val="44873232"/>
    <w:rsid w:val="449F08F6"/>
    <w:rsid w:val="44D426B2"/>
    <w:rsid w:val="45350C77"/>
    <w:rsid w:val="456629C4"/>
    <w:rsid w:val="45D93CF8"/>
    <w:rsid w:val="46AD799C"/>
    <w:rsid w:val="46F273E0"/>
    <w:rsid w:val="47132E82"/>
    <w:rsid w:val="473F1DF8"/>
    <w:rsid w:val="47ED3A8B"/>
    <w:rsid w:val="48392258"/>
    <w:rsid w:val="48973020"/>
    <w:rsid w:val="49725FF6"/>
    <w:rsid w:val="49777AB0"/>
    <w:rsid w:val="49861AA1"/>
    <w:rsid w:val="49C85F39"/>
    <w:rsid w:val="4A1C2405"/>
    <w:rsid w:val="4A2530CA"/>
    <w:rsid w:val="4ADC44DC"/>
    <w:rsid w:val="4B0709C0"/>
    <w:rsid w:val="4B214900"/>
    <w:rsid w:val="4BC0573E"/>
    <w:rsid w:val="4C04698B"/>
    <w:rsid w:val="4C6053BE"/>
    <w:rsid w:val="4D6640C3"/>
    <w:rsid w:val="4DA51436"/>
    <w:rsid w:val="4DD007AC"/>
    <w:rsid w:val="4E120D90"/>
    <w:rsid w:val="4E251369"/>
    <w:rsid w:val="4EA50C1B"/>
    <w:rsid w:val="4F046F07"/>
    <w:rsid w:val="4F120326"/>
    <w:rsid w:val="4F7C60D9"/>
    <w:rsid w:val="50351667"/>
    <w:rsid w:val="50444D71"/>
    <w:rsid w:val="506D7517"/>
    <w:rsid w:val="50E11520"/>
    <w:rsid w:val="5116195C"/>
    <w:rsid w:val="51854803"/>
    <w:rsid w:val="51E25CE3"/>
    <w:rsid w:val="52180084"/>
    <w:rsid w:val="52302CBD"/>
    <w:rsid w:val="52C76699"/>
    <w:rsid w:val="52D37D59"/>
    <w:rsid w:val="53004AAE"/>
    <w:rsid w:val="5304379F"/>
    <w:rsid w:val="535E0C41"/>
    <w:rsid w:val="55CD4B1F"/>
    <w:rsid w:val="55EE7BED"/>
    <w:rsid w:val="56122D02"/>
    <w:rsid w:val="5629049D"/>
    <w:rsid w:val="565F3DA6"/>
    <w:rsid w:val="582E3A30"/>
    <w:rsid w:val="58325231"/>
    <w:rsid w:val="58B13D4F"/>
    <w:rsid w:val="59E2289B"/>
    <w:rsid w:val="5A811847"/>
    <w:rsid w:val="5B121FC7"/>
    <w:rsid w:val="5B4E2FAE"/>
    <w:rsid w:val="5BB25A89"/>
    <w:rsid w:val="5C56533E"/>
    <w:rsid w:val="5CF943B6"/>
    <w:rsid w:val="5D4448B9"/>
    <w:rsid w:val="5D4C593F"/>
    <w:rsid w:val="5D7715F2"/>
    <w:rsid w:val="5E275A5A"/>
    <w:rsid w:val="5E6C3022"/>
    <w:rsid w:val="5E8F2D4E"/>
    <w:rsid w:val="60A95105"/>
    <w:rsid w:val="6109328C"/>
    <w:rsid w:val="615F2EAC"/>
    <w:rsid w:val="621B2647"/>
    <w:rsid w:val="6311467A"/>
    <w:rsid w:val="63DF2082"/>
    <w:rsid w:val="64567A45"/>
    <w:rsid w:val="64BF421D"/>
    <w:rsid w:val="64FD7744"/>
    <w:rsid w:val="65757FBB"/>
    <w:rsid w:val="65805465"/>
    <w:rsid w:val="66BD78CB"/>
    <w:rsid w:val="66FC34A6"/>
    <w:rsid w:val="67A07D7A"/>
    <w:rsid w:val="686E7CE6"/>
    <w:rsid w:val="687B7247"/>
    <w:rsid w:val="68870ADA"/>
    <w:rsid w:val="698E7D75"/>
    <w:rsid w:val="69D05BF2"/>
    <w:rsid w:val="6A2627B9"/>
    <w:rsid w:val="6AFE1987"/>
    <w:rsid w:val="6BC923FB"/>
    <w:rsid w:val="6C1D11B2"/>
    <w:rsid w:val="6C5A3D81"/>
    <w:rsid w:val="6D907EE9"/>
    <w:rsid w:val="6EF7057C"/>
    <w:rsid w:val="6F4C023C"/>
    <w:rsid w:val="6F507937"/>
    <w:rsid w:val="6F8A1914"/>
    <w:rsid w:val="70A72810"/>
    <w:rsid w:val="70EF6340"/>
    <w:rsid w:val="70FD7D89"/>
    <w:rsid w:val="72514A93"/>
    <w:rsid w:val="734E0910"/>
    <w:rsid w:val="738642C8"/>
    <w:rsid w:val="73D736E8"/>
    <w:rsid w:val="73DE4597"/>
    <w:rsid w:val="747F7695"/>
    <w:rsid w:val="74C02E7E"/>
    <w:rsid w:val="75A35605"/>
    <w:rsid w:val="76674885"/>
    <w:rsid w:val="775E5C88"/>
    <w:rsid w:val="776C0DBB"/>
    <w:rsid w:val="7AEB2111"/>
    <w:rsid w:val="7B201710"/>
    <w:rsid w:val="7B3B62E0"/>
    <w:rsid w:val="7B580C40"/>
    <w:rsid w:val="7C787147"/>
    <w:rsid w:val="7D2B56E8"/>
    <w:rsid w:val="7DAE1698"/>
    <w:rsid w:val="7DB25F49"/>
    <w:rsid w:val="7E364890"/>
    <w:rsid w:val="7FDF7E65"/>
    <w:rsid w:val="7FFD13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widowControl w:val="0"/>
      <w:kinsoku/>
      <w:autoSpaceDE/>
      <w:autoSpaceDN/>
      <w:adjustRightInd/>
      <w:snapToGrid/>
      <w:spacing w:line="600" w:lineRule="exact"/>
      <w:ind w:firstLine="640" w:firstLineChars="200"/>
      <w:jc w:val="both"/>
      <w:textAlignment w:val="auto"/>
      <w:outlineLvl w:val="0"/>
    </w:pPr>
    <w:rPr>
      <w:rFonts w:ascii="Times New Roman" w:hAnsi="Times New Roman" w:eastAsia="黑体" w:cs="Times New Roman"/>
      <w:snapToGrid/>
      <w:kern w:val="2"/>
      <w:sz w:val="32"/>
      <w:szCs w:val="32"/>
      <w:lang w:eastAsia="zh-CN"/>
    </w:rPr>
  </w:style>
  <w:style w:type="paragraph" w:styleId="4">
    <w:name w:val="heading 2"/>
    <w:basedOn w:val="5"/>
    <w:next w:val="1"/>
    <w:unhideWhenUsed/>
    <w:qFormat/>
    <w:uiPriority w:val="0"/>
    <w:pPr>
      <w:widowControl w:val="0"/>
      <w:kinsoku/>
      <w:autoSpaceDE/>
      <w:autoSpaceDN/>
      <w:adjustRightInd/>
      <w:snapToGrid/>
      <w:spacing w:line="600" w:lineRule="exact"/>
      <w:ind w:firstLine="640" w:firstLineChars="200"/>
      <w:jc w:val="both"/>
      <w:textAlignment w:val="auto"/>
      <w:outlineLvl w:val="1"/>
    </w:pPr>
    <w:rPr>
      <w:rFonts w:ascii="Times New Roman" w:hAnsi="Times New Roman" w:eastAsia="方正仿宋_GB2312" w:cs="方正仿宋_GB2312"/>
      <w:b/>
      <w:bCs/>
      <w:snapToGrid/>
      <w:color w:val="auto"/>
      <w:kern w:val="2"/>
      <w:sz w:val="32"/>
      <w:szCs w:val="32"/>
      <w:highlight w:val="none"/>
      <w:lang w:eastAsia="zh-CN"/>
    </w:rPr>
  </w:style>
  <w:style w:type="paragraph" w:styleId="6">
    <w:name w:val="heading 3"/>
    <w:basedOn w:val="4"/>
    <w:next w:val="1"/>
    <w:unhideWhenUsed/>
    <w:qFormat/>
    <w:uiPriority w:val="0"/>
    <w:pPr>
      <w:spacing w:afterLines="50"/>
      <w:outlineLvl w:val="2"/>
    </w:pPr>
  </w:style>
  <w:style w:type="paragraph" w:styleId="7">
    <w:name w:val="heading 4"/>
    <w:basedOn w:val="6"/>
    <w:next w:val="1"/>
    <w:unhideWhenUsed/>
    <w:qFormat/>
    <w:uiPriority w:val="0"/>
    <w:pPr>
      <w:outlineLvl w:val="3"/>
    </w:pPr>
  </w:style>
  <w:style w:type="character" w:default="1" w:styleId="13">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5">
    <w:name w:val="Body Text"/>
    <w:basedOn w:val="1"/>
    <w:next w:val="1"/>
    <w:semiHidden/>
    <w:qFormat/>
    <w:uiPriority w:val="0"/>
    <w:rPr>
      <w:rFonts w:ascii="宋体" w:hAnsi="宋体" w:eastAsia="宋体" w:cs="宋体"/>
      <w:sz w:val="28"/>
      <w:szCs w:val="28"/>
      <w:lang w:val="en-US" w:eastAsia="en-US" w:bidi="ar-SA"/>
    </w:rPr>
  </w:style>
  <w:style w:type="paragraph" w:styleId="8">
    <w:name w:val="toc 3"/>
    <w:basedOn w:val="1"/>
    <w:next w:val="1"/>
    <w:qFormat/>
    <w:uiPriority w:val="0"/>
    <w:pPr>
      <w:ind w:left="840" w:leftChars="400"/>
    </w:p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Hyperlink"/>
    <w:basedOn w:val="13"/>
    <w:qFormat/>
    <w:uiPriority w:val="0"/>
    <w:rPr>
      <w:color w:val="0000FF"/>
      <w:u w:val="single"/>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宋体" w:hAnsi="宋体" w:eastAsia="宋体" w:cs="宋体"/>
      <w:sz w:val="24"/>
      <w:szCs w:val="24"/>
      <w:lang w:val="en-US" w:eastAsia="en-US" w:bidi="ar-SA"/>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chart" Target="charts/chart1.xml"/><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3&#39033;&#30446;&#24211;\2025_&#22478;&#21475;&#21439;&#31105;&#22438;&#38497;&#22369;&#22320;&#21010;&#23450;\2&#22478;&#21475;&#21439;&#31105;&#27490;&#24320;&#22438;&#38497;&#22369;&#22320;&#38754;&#31215;&#32479;&#35745;&#34920;\&#22478;&#21475;&#21439;&#31105;&#27490;&#24320;&#22438;&#38497;&#22369;&#22320;&#38754;&#31215;&#32479;&#35745;&#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sz="1200"/>
              <a:t>禁止开垦陡坡地面积（hm²）</a:t>
            </a:r>
            <a:endParaRPr sz="1200"/>
          </a:p>
        </c:rich>
      </c:tx>
      <c:layout/>
      <c:overlay val="0"/>
      <c:spPr>
        <a:noFill/>
        <a:ln>
          <a:noFill/>
        </a:ln>
        <a:effectLst/>
      </c:spPr>
    </c:title>
    <c:autoTitleDeleted val="0"/>
    <c:plotArea>
      <c:layout/>
      <c:barChart>
        <c:barDir val="col"/>
        <c:grouping val="clustered"/>
        <c:varyColors val="0"/>
        <c:ser>
          <c:idx val="0"/>
          <c:order val="0"/>
          <c:tx>
            <c:strRef>
              <c:f>[城口县禁止开垦陡坡地面积统计表.xls]城口县禁止开垦陡坡地统计表!$C$1</c:f>
              <c:strCache>
                <c:ptCount val="1"/>
                <c:pt idx="0">
                  <c:v>禁止开垦陡坡地面积
（hm²）</c:v>
                </c:pt>
              </c:strCache>
            </c:strRef>
          </c:tx>
          <c:spPr>
            <a:solidFill>
              <a:schemeClr val="accent1"/>
            </a:solidFill>
            <a:ln>
              <a:noFill/>
            </a:ln>
            <a:effectLst/>
          </c:spPr>
          <c:invertIfNegative val="0"/>
          <c:dLbls>
            <c:delete val="1"/>
          </c:dLbls>
          <c:cat>
            <c:strRef>
              <c:f>[城口县禁止开垦陡坡地面积统计表.xls]城口县禁止开垦陡坡地统计表!$B$2:$B$26</c:f>
              <c:strCache>
                <c:ptCount val="25"/>
                <c:pt idx="0">
                  <c:v>东安镇</c:v>
                </c:pt>
                <c:pt idx="1">
                  <c:v>龙田镇</c:v>
                </c:pt>
                <c:pt idx="2">
                  <c:v>明中乡</c:v>
                </c:pt>
                <c:pt idx="3">
                  <c:v>北屏镇</c:v>
                </c:pt>
                <c:pt idx="4">
                  <c:v>岚天乡</c:v>
                </c:pt>
                <c:pt idx="5">
                  <c:v>高楠镇</c:v>
                </c:pt>
                <c:pt idx="6">
                  <c:v>双河乡</c:v>
                </c:pt>
                <c:pt idx="7">
                  <c:v>高观镇</c:v>
                </c:pt>
                <c:pt idx="8">
                  <c:v>庙坝镇</c:v>
                </c:pt>
                <c:pt idx="9">
                  <c:v>河鱼乡</c:v>
                </c:pt>
                <c:pt idx="10">
                  <c:v>蓼子乡</c:v>
                </c:pt>
                <c:pt idx="11">
                  <c:v>厚坪乡</c:v>
                </c:pt>
                <c:pt idx="12">
                  <c:v>咸宜镇</c:v>
                </c:pt>
                <c:pt idx="13">
                  <c:v>修齐镇</c:v>
                </c:pt>
                <c:pt idx="14">
                  <c:v>左岚乡</c:v>
                </c:pt>
                <c:pt idx="15">
                  <c:v>周溪乡</c:v>
                </c:pt>
                <c:pt idx="16">
                  <c:v>鸡鸣乡</c:v>
                </c:pt>
                <c:pt idx="17">
                  <c:v>巴山镇</c:v>
                </c:pt>
                <c:pt idx="18">
                  <c:v>明通镇</c:v>
                </c:pt>
                <c:pt idx="19">
                  <c:v>沿河乡</c:v>
                </c:pt>
                <c:pt idx="20">
                  <c:v>高燕镇</c:v>
                </c:pt>
                <c:pt idx="21">
                  <c:v>复兴街道</c:v>
                </c:pt>
                <c:pt idx="22">
                  <c:v>治平乡</c:v>
                </c:pt>
                <c:pt idx="23">
                  <c:v>坪坝镇</c:v>
                </c:pt>
                <c:pt idx="24">
                  <c:v>葛城街道</c:v>
                </c:pt>
              </c:strCache>
            </c:strRef>
          </c:cat>
          <c:val>
            <c:numRef>
              <c:f>[城口县禁止开垦陡坡地面积统计表.xls]城口县禁止开垦陡坡地统计表!$C$2:$C$26</c:f>
              <c:numCache>
                <c:formatCode>General</c:formatCode>
                <c:ptCount val="25"/>
                <c:pt idx="0">
                  <c:v>20772.06</c:v>
                </c:pt>
                <c:pt idx="1">
                  <c:v>10224.17</c:v>
                </c:pt>
                <c:pt idx="2">
                  <c:v>8068.66</c:v>
                </c:pt>
                <c:pt idx="3">
                  <c:v>7285.85</c:v>
                </c:pt>
                <c:pt idx="4">
                  <c:v>7075.4</c:v>
                </c:pt>
                <c:pt idx="5">
                  <c:v>5030.91</c:v>
                </c:pt>
                <c:pt idx="6">
                  <c:v>4766.95</c:v>
                </c:pt>
                <c:pt idx="7">
                  <c:v>4738.78</c:v>
                </c:pt>
                <c:pt idx="8">
                  <c:v>4626.58</c:v>
                </c:pt>
                <c:pt idx="9">
                  <c:v>4658.05</c:v>
                </c:pt>
                <c:pt idx="10">
                  <c:v>4251.84</c:v>
                </c:pt>
                <c:pt idx="11">
                  <c:v>4147.29</c:v>
                </c:pt>
                <c:pt idx="12">
                  <c:v>4098.27</c:v>
                </c:pt>
                <c:pt idx="13">
                  <c:v>3806.98</c:v>
                </c:pt>
                <c:pt idx="14">
                  <c:v>2852.58</c:v>
                </c:pt>
                <c:pt idx="15">
                  <c:v>2877.07</c:v>
                </c:pt>
                <c:pt idx="16">
                  <c:v>2603.89</c:v>
                </c:pt>
                <c:pt idx="17">
                  <c:v>2438.08</c:v>
                </c:pt>
                <c:pt idx="18">
                  <c:v>2116.59</c:v>
                </c:pt>
                <c:pt idx="19">
                  <c:v>1602.18</c:v>
                </c:pt>
                <c:pt idx="20">
                  <c:v>1081.73</c:v>
                </c:pt>
                <c:pt idx="21">
                  <c:v>1002.26</c:v>
                </c:pt>
                <c:pt idx="22">
                  <c:v>877.19</c:v>
                </c:pt>
                <c:pt idx="23">
                  <c:v>293.37</c:v>
                </c:pt>
                <c:pt idx="24">
                  <c:v>139.76</c:v>
                </c:pt>
              </c:numCache>
            </c:numRef>
          </c:val>
        </c:ser>
        <c:dLbls>
          <c:showLegendKey val="0"/>
          <c:showVal val="0"/>
          <c:showCatName val="0"/>
          <c:showSerName val="0"/>
          <c:showPercent val="0"/>
          <c:showBubbleSize val="0"/>
        </c:dLbls>
        <c:gapWidth val="246"/>
        <c:overlap val="-28"/>
        <c:axId val="453559884"/>
        <c:axId val="174442031"/>
      </c:barChart>
      <c:catAx>
        <c:axId val="4535598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442031"/>
        <c:crosses val="autoZero"/>
        <c:auto val="1"/>
        <c:lblAlgn val="ctr"/>
        <c:lblOffset val="100"/>
        <c:noMultiLvlLbl val="0"/>
      </c:catAx>
      <c:valAx>
        <c:axId val="17444203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3559884"/>
        <c:crosses val="autoZero"/>
        <c:crossBetween val="between"/>
      </c:valAx>
      <c:spPr>
        <a:noFill/>
        <a:ln>
          <a:noFill/>
        </a:ln>
        <a:effectLst/>
      </c:spPr>
    </c:plotArea>
    <c:plotVisOnly val="1"/>
    <c:dispBlanksAs val="gap"/>
    <c:showDLblsOverMax val="0"/>
    <c:extLst>
      <c:ext uri="{0b15fc19-7d7d-44ad-8c2d-2c3a37ce22c3}">
        <chartProps xmlns="https://web.wps.cn/et/2018/main" chartId="{8c44f3dc-0faf-4f23-85ac-0e01747edff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10226</Words>
  <Characters>11727</Characters>
  <TotalTime>2</TotalTime>
  <ScaleCrop>false</ScaleCrop>
  <LinksUpToDate>false</LinksUpToDate>
  <CharactersWithSpaces>11934</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2024-12-17T19:04:00Z</dcterms:created>
  <dc:creator>Administrator</dc:creator>
  <cp:lastModifiedBy>彼岸花开七色天</cp:lastModifiedBy>
  <dcterms:modified xsi:type="dcterms:W3CDTF">2025-04-02T00:58:39Z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2024-12-26T14:24:23Z</vt:filetime>
  </property>
  <property fmtid="{D5CDD505-2E9C-101B-9397-08002B2CF9AE}" pid="4" name="KSOProductBuildVer">
    <vt:lpwstr>2052-12.1.0.20305</vt:lpwstr>
  </property>
  <property fmtid="{D5CDD505-2E9C-101B-9397-08002B2CF9AE}" pid="5" name="ICV">
    <vt:lpwstr>B39CF299B6224A2CBB7B1BD31EB611A4_13</vt:lpwstr>
  </property>
  <property fmtid="{D5CDD505-2E9C-101B-9397-08002B2CF9AE}" pid="6" name="KSOTemplateDocerSaveRecord">
    <vt:lpwstr>eyJoZGlkIjoiOWM5YjhiNTFjNDEzMDUxZTY3YWU1OTkzNWUyY2E3NTMiLCJ1c2VySWQiOiI3MjM2MTUzNTcifQ==</vt:lpwstr>
  </property>
</Properties>
</file>