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仿宋_GBK"/>
          <w:sz w:val="32"/>
        </w:rPr>
      </w:pPr>
      <w:r>
        <w:rPr>
          <w:rFonts w:eastAsia="方正仿宋_GBK"/>
          <w:sz w:val="32"/>
        </w:rPr>
        <w:t>附件</w:t>
      </w:r>
      <w:r>
        <w:rPr>
          <w:rFonts w:hint="eastAsia" w:eastAsia="方正仿宋_GBK"/>
          <w:sz w:val="32"/>
          <w:lang w:val="en-US" w:eastAsia="zh-CN"/>
        </w:rPr>
        <w:t>9</w:t>
      </w:r>
      <w:r>
        <w:rPr>
          <w:rFonts w:eastAsia="方正仿宋_GBK"/>
          <w:sz w:val="32"/>
        </w:rPr>
        <w:t>：</w:t>
      </w:r>
    </w:p>
    <w:p>
      <w:pPr>
        <w:spacing w:line="6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城口县双河乡人民政府</w:t>
      </w:r>
      <w:r>
        <w:rPr>
          <w:rFonts w:hint="eastAsia" w:ascii="华文中宋" w:hAnsi="华文中宋" w:eastAsia="华文中宋" w:cs="华文中宋"/>
          <w:sz w:val="44"/>
          <w:szCs w:val="44"/>
        </w:rPr>
        <w:t>20</w:t>
      </w:r>
      <w:r>
        <w:rPr>
          <w:rFonts w:ascii="华文中宋" w:hAnsi="华文中宋" w:eastAsia="华文中宋" w:cs="华文中宋"/>
          <w:sz w:val="44"/>
          <w:szCs w:val="44"/>
        </w:rPr>
        <w:t>20</w:t>
      </w:r>
      <w:r>
        <w:rPr>
          <w:rFonts w:hint="eastAsia" w:ascii="华文中宋" w:hAnsi="华文中宋" w:eastAsia="华文中宋" w:cs="华文中宋"/>
          <w:sz w:val="44"/>
          <w:szCs w:val="44"/>
        </w:rPr>
        <w:t>年部门预算</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（一）职能职责。</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主要职能是：贯彻执行党的路线方针政策和国家的法律法规，促进经济社会发展、加强社会管理和公共服务、维护社会和谐稳定。乡镇政府要适当调整经济管理职能，切实把工作重点转移到对农户和各类经济主体进行示范引导、提供政策服务以及营造发展环境上来。在做好经济工作的同时，努力提高乡镇的社会管理和公共服务水平。转变社会管理方式，变单纯依靠行政手段为综合利用经济、法律、行政和思想政治工作等手段开展工作。切实转变工作方法，切实做到突出发展、依法办事、管理民主、政务公开、强化服务。</w:t>
      </w:r>
    </w:p>
    <w:p>
      <w:pPr>
        <w:spacing w:line="600" w:lineRule="exact"/>
        <w:ind w:firstLine="640" w:firstLineChars="200"/>
        <w:rPr>
          <w:rFonts w:hint="eastAsia" w:ascii="方正仿宋_GBK" w:hAnsi="仿宋_GB2312" w:eastAsia="方正仿宋_GBK" w:cs="仿宋_GB2312"/>
          <w:sz w:val="32"/>
        </w:rPr>
      </w:pPr>
      <w:r>
        <w:rPr>
          <w:rFonts w:hint="eastAsia" w:ascii="仿宋_GB2312" w:hAnsi="仿宋_GB2312" w:eastAsia="仿宋_GB2312" w:cs="仿宋_GB2312"/>
          <w:sz w:val="32"/>
        </w:rPr>
        <w:t>2.五个方面的基本职能：执行政策法规、推动经济发展、搞好社会管理、强化公共服务、维护和谐稳定。</w:t>
      </w:r>
    </w:p>
    <w:p>
      <w:pPr>
        <w:spacing w:line="600" w:lineRule="exact"/>
        <w:ind w:firstLine="640" w:firstLineChars="200"/>
        <w:rPr>
          <w:rFonts w:hint="eastAsia" w:ascii="方正仿宋_GBK" w:hAnsi="仿宋_GB2312" w:eastAsia="方正仿宋_GBK"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。2019年本单位共有7个下属机关，分别为：共产党机关1个、政府机关1个、人大机关1个、参照公务员法管理事业单位1个(财政所）、财政补助单位3个（分别是：社保所、文化站、农服中心）。无增减变动</w:t>
      </w:r>
    </w:p>
    <w:p>
      <w:pPr>
        <w:pStyle w:val="4"/>
        <w:tabs>
          <w:tab w:val="center" w:pos="4153"/>
          <w:tab w:val="left" w:pos="7275"/>
        </w:tabs>
        <w:spacing w:line="600" w:lineRule="exact"/>
        <w:ind w:left="640" w:firstLine="0" w:firstLineChars="0"/>
        <w:jc w:val="left"/>
        <w:rPr>
          <w:rFonts w:hint="eastAsia" w:ascii="仿宋_GB2312" w:hAnsi="仿宋_GB2312" w:eastAsia="仿宋_GB2312" w:cs="仿宋_GB2312"/>
          <w:sz w:val="32"/>
        </w:rPr>
      </w:pPr>
    </w:p>
    <w:p>
      <w:pPr>
        <w:spacing w:line="600" w:lineRule="exact"/>
        <w:ind w:firstLine="640" w:firstLineChars="200"/>
        <w:rPr>
          <w:rFonts w:ascii="仿宋_GB2312" w:hAnsi="仿宋_GB2312" w:eastAsia="仿宋_GB2312" w:cs="仿宋_GB2312"/>
          <w:sz w:val="32"/>
        </w:rPr>
      </w:pPr>
    </w:p>
    <w:p>
      <w:pPr>
        <w:spacing w:line="60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（三）本轮</w:t>
      </w:r>
      <w:r>
        <w:rPr>
          <w:rFonts w:ascii="仿宋_GB2312" w:hAnsi="仿宋_GB2312" w:eastAsia="仿宋_GB2312" w:cs="仿宋_GB2312"/>
          <w:sz w:val="32"/>
        </w:rPr>
        <w:t>机构改革</w:t>
      </w:r>
      <w:r>
        <w:rPr>
          <w:rFonts w:hint="eastAsia" w:ascii="仿宋_GB2312" w:hAnsi="仿宋_GB2312" w:eastAsia="仿宋_GB2312" w:cs="仿宋_GB2312"/>
          <w:sz w:val="32"/>
        </w:rPr>
        <w:t>相关</w:t>
      </w:r>
      <w:r>
        <w:rPr>
          <w:rFonts w:ascii="仿宋_GB2312" w:hAnsi="仿宋_GB2312" w:eastAsia="仿宋_GB2312" w:cs="仿宋_GB2312"/>
          <w:sz w:val="32"/>
        </w:rPr>
        <w:t>情况。</w:t>
      </w:r>
      <w:r>
        <w:rPr>
          <w:rFonts w:hint="eastAsia" w:ascii="仿宋_GB2312" w:hAnsi="仿宋_GB2312" w:eastAsia="仿宋_GB2312" w:cs="仿宋_GB2312"/>
          <w:sz w:val="32"/>
          <w:lang w:val="en-US" w:eastAsia="zh-CN"/>
        </w:rPr>
        <w:t>无</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（一）收入预算：20</w:t>
      </w:r>
      <w:r>
        <w:rPr>
          <w:rFonts w:ascii="仿宋_GB2312" w:hAnsi="仿宋_GB2312" w:eastAsia="仿宋_GB2312" w:cs="仿宋_GB2312"/>
          <w:sz w:val="32"/>
        </w:rPr>
        <w:t>20</w:t>
      </w:r>
      <w:r>
        <w:rPr>
          <w:rFonts w:hint="eastAsia" w:ascii="仿宋_GB2312" w:hAnsi="仿宋_GB2312" w:eastAsia="仿宋_GB2312" w:cs="仿宋_GB2312"/>
          <w:sz w:val="32"/>
        </w:rPr>
        <w:t xml:space="preserve">年年初预算数 </w:t>
      </w:r>
      <w:r>
        <w:rPr>
          <w:rFonts w:hint="eastAsia" w:ascii="仿宋_GB2312" w:hAnsi="仿宋_GB2312" w:eastAsia="仿宋_GB2312" w:cs="仿宋_GB2312"/>
          <w:sz w:val="32"/>
          <w:lang w:val="en-US" w:eastAsia="zh-CN"/>
        </w:rPr>
        <w:t>842.6</w:t>
      </w:r>
      <w:r>
        <w:rPr>
          <w:rFonts w:hint="eastAsia" w:ascii="仿宋_GB2312" w:hAnsi="仿宋_GB2312" w:eastAsia="仿宋_GB2312" w:cs="仿宋_GB2312"/>
          <w:sz w:val="32"/>
        </w:rPr>
        <w:t xml:space="preserve">万元，其中：一般公共预算拨款 </w:t>
      </w:r>
      <w:r>
        <w:rPr>
          <w:rFonts w:hint="eastAsia" w:ascii="仿宋_GB2312" w:hAnsi="仿宋_GB2312" w:eastAsia="仿宋_GB2312" w:cs="仿宋_GB2312"/>
          <w:sz w:val="32"/>
          <w:lang w:val="en-US" w:eastAsia="zh-CN"/>
        </w:rPr>
        <w:t>842.6</w:t>
      </w:r>
      <w:r>
        <w:rPr>
          <w:rFonts w:hint="eastAsia" w:ascii="仿宋_GB2312" w:hAnsi="仿宋_GB2312" w:eastAsia="仿宋_GB2312" w:cs="仿宋_GB2312"/>
          <w:sz w:val="32"/>
        </w:rPr>
        <w:t xml:space="preserve">万元，政府性基金预算拨款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 xml:space="preserve">收入较去年增加 </w:t>
      </w:r>
      <w:r>
        <w:rPr>
          <w:rFonts w:hint="eastAsia" w:ascii="仿宋_GB2312" w:hAnsi="仿宋_GB2312" w:eastAsia="仿宋_GB2312" w:cs="仿宋_GB2312"/>
          <w:sz w:val="32"/>
          <w:lang w:val="en-US" w:eastAsia="zh-CN"/>
        </w:rPr>
        <w:t>83.76</w:t>
      </w:r>
      <w:r>
        <w:rPr>
          <w:rFonts w:hint="eastAsia" w:ascii="仿宋_GB2312" w:hAnsi="仿宋_GB2312" w:eastAsia="仿宋_GB2312" w:cs="仿宋_GB2312"/>
          <w:sz w:val="32"/>
        </w:rPr>
        <w:t>万元，主要是20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年双河乡在职人员有增加，主要用于保障在职人员工资福利及社会保险缴费，保障部门正常运转的各项商品服务支出。</w:t>
      </w:r>
    </w:p>
    <w:p>
      <w:pPr>
        <w:spacing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（二）支出预算：20</w:t>
      </w:r>
      <w:r>
        <w:rPr>
          <w:rFonts w:ascii="仿宋_GB2312" w:hAnsi="仿宋_GB2312" w:eastAsia="仿宋_GB2312" w:cs="仿宋_GB2312"/>
          <w:sz w:val="32"/>
        </w:rPr>
        <w:t>20</w:t>
      </w:r>
      <w:r>
        <w:rPr>
          <w:rFonts w:hint="eastAsia" w:ascii="仿宋_GB2312" w:hAnsi="仿宋_GB2312" w:eastAsia="仿宋_GB2312" w:cs="仿宋_GB2312"/>
          <w:sz w:val="32"/>
        </w:rPr>
        <w:t>年年初预算数</w:t>
      </w:r>
      <w:r>
        <w:rPr>
          <w:rFonts w:hint="eastAsia" w:ascii="仿宋_GB2312" w:hAnsi="仿宋_GB2312" w:eastAsia="仿宋_GB2312" w:cs="仿宋_GB2312"/>
          <w:sz w:val="32"/>
          <w:lang w:val="en-US" w:eastAsia="zh-CN"/>
        </w:rPr>
        <w:t>842.6</w:t>
      </w:r>
      <w:r>
        <w:rPr>
          <w:rFonts w:hint="eastAsia" w:ascii="仿宋_GB2312" w:hAnsi="仿宋_GB2312" w:eastAsia="仿宋_GB2312" w:cs="仿宋_GB2312"/>
          <w:sz w:val="32"/>
        </w:rPr>
        <w:t>万元，其中：一般公共服务</w:t>
      </w:r>
      <w:r>
        <w:rPr>
          <w:rFonts w:ascii="仿宋_GB2312" w:hAnsi="仿宋_GB2312" w:eastAsia="仿宋_GB2312" w:cs="仿宋_GB2312"/>
          <w:sz w:val="32"/>
        </w:rPr>
        <w:t xml:space="preserve"> </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300.59</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，文化体育与传媒支出</w:t>
      </w:r>
      <w:r>
        <w:rPr>
          <w:rFonts w:hint="eastAsia" w:ascii="仿宋_GB2312" w:hAnsi="仿宋_GB2312" w:eastAsia="仿宋_GB2312" w:cs="仿宋_GB2312"/>
          <w:sz w:val="32"/>
          <w:lang w:val="en-US" w:eastAsia="zh-CN"/>
        </w:rPr>
        <w:t>12.88万元，社会保障和就业134.96万元，医疗卫生与计划生育38.35万元，城乡社区支出30万元，农林水支出285.02万元，住房保障支出40.8万元。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ascii="仿宋_GB2312" w:hAnsi="仿宋_GB2312" w:eastAsia="仿宋_GB2312" w:cs="仿宋_GB2312"/>
          <w:sz w:val="32"/>
        </w:rPr>
        <w:t>20</w:t>
      </w:r>
      <w:r>
        <w:rPr>
          <w:rFonts w:hint="eastAsia" w:ascii="仿宋_GB2312" w:hAnsi="仿宋_GB2312" w:eastAsia="仿宋_GB2312" w:cs="仿宋_GB2312"/>
          <w:sz w:val="32"/>
        </w:rPr>
        <w:t>年一般公共预算财政拨款收入</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842.6</w:t>
      </w:r>
      <w:r>
        <w:rPr>
          <w:rFonts w:ascii="仿宋_GB2312" w:hAnsi="仿宋_GB2312" w:eastAsia="仿宋_GB2312" w:cs="仿宋_GB2312"/>
          <w:sz w:val="32"/>
        </w:rPr>
        <w:t xml:space="preserve"> </w:t>
      </w:r>
      <w:r>
        <w:rPr>
          <w:rFonts w:hint="eastAsia" w:ascii="仿宋_GB2312" w:hAnsi="仿宋_GB2312" w:eastAsia="仿宋_GB2312" w:cs="仿宋_GB2312"/>
          <w:sz w:val="32"/>
        </w:rPr>
        <w:t>万元，一般公共预算财政拨款支出</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842.6</w:t>
      </w:r>
      <w:r>
        <w:rPr>
          <w:rFonts w:hint="eastAsia" w:ascii="仿宋_GB2312" w:hAnsi="仿宋_GB2312" w:eastAsia="仿宋_GB2312" w:cs="仿宋_GB2312"/>
          <w:sz w:val="32"/>
        </w:rPr>
        <w:t>万元，比20</w:t>
      </w:r>
      <w:r>
        <w:rPr>
          <w:rFonts w:ascii="仿宋_GB2312" w:hAnsi="仿宋_GB2312" w:eastAsia="仿宋_GB2312" w:cs="仿宋_GB2312"/>
          <w:sz w:val="32"/>
        </w:rPr>
        <w:t>19</w:t>
      </w:r>
      <w:r>
        <w:rPr>
          <w:rFonts w:hint="eastAsia" w:ascii="仿宋_GB2312" w:hAnsi="仿宋_GB2312" w:eastAsia="仿宋_GB2312" w:cs="仿宋_GB2312"/>
          <w:sz w:val="32"/>
        </w:rPr>
        <w:t>年增加</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83.76</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w:t>
      </w:r>
      <w:r>
        <w:rPr>
          <w:rFonts w:hint="eastAsia" w:ascii="仿宋_GB2312" w:hAnsi="仿宋_GB2312" w:eastAsia="仿宋_GB2312" w:cs="仿宋_GB2312"/>
          <w:sz w:val="32"/>
          <w:lang w:val="en-US" w:eastAsia="zh-CN"/>
        </w:rPr>
        <w:t>83.76</w:t>
      </w:r>
      <w:r>
        <w:rPr>
          <w:rFonts w:hint="eastAsia" w:ascii="仿宋_GB2312" w:hAnsi="仿宋_GB2312" w:eastAsia="仿宋_GB2312" w:cs="仿宋_GB2312"/>
          <w:sz w:val="32"/>
        </w:rPr>
        <w:t>万元，比20</w:t>
      </w:r>
      <w:r>
        <w:rPr>
          <w:rFonts w:ascii="仿宋_GB2312" w:hAnsi="仿宋_GB2312" w:eastAsia="仿宋_GB2312" w:cs="仿宋_GB2312"/>
          <w:sz w:val="32"/>
        </w:rPr>
        <w:t>19</w:t>
      </w:r>
      <w:r>
        <w:rPr>
          <w:rFonts w:hint="eastAsia" w:ascii="仿宋_GB2312" w:hAnsi="仿宋_GB2312" w:eastAsia="仿宋_GB2312" w:cs="仿宋_GB2312"/>
          <w:sz w:val="32"/>
        </w:rPr>
        <w:t>年增加</w:t>
      </w:r>
      <w:r>
        <w:rPr>
          <w:rFonts w:hint="eastAsia" w:ascii="仿宋_GB2312" w:hAnsi="仿宋_GB2312" w:eastAsia="仿宋_GB2312" w:cs="仿宋_GB2312"/>
          <w:sz w:val="32"/>
          <w:lang w:val="en-US" w:eastAsia="zh-CN"/>
        </w:rPr>
        <w:t>83.76</w:t>
      </w:r>
      <w:r>
        <w:rPr>
          <w:rFonts w:hint="eastAsia" w:ascii="仿宋_GB2312" w:hAnsi="仿宋_GB2312" w:eastAsia="仿宋_GB2312" w:cs="仿宋_GB2312"/>
          <w:sz w:val="32"/>
        </w:rPr>
        <w:t>万元，主要原因是20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年双河乡在职人员有增加，主要用于保障在职人员工资福利及社会保险缴费，保障部门正常运转的各项商品服务支出；项目支出</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default" w:ascii="仿宋_GB2312" w:hAnsi="仿宋_GB2312" w:eastAsia="仿宋_GB2312" w:cs="仿宋_GB2312"/>
          <w:sz w:val="32"/>
        </w:rPr>
        <w:t>根据县委</w:t>
      </w:r>
      <w:r>
        <w:rPr>
          <w:rFonts w:hint="eastAsia" w:ascii="仿宋_GB2312" w:hAnsi="仿宋_GB2312" w:eastAsia="仿宋_GB2312" w:cs="仿宋_GB2312"/>
          <w:sz w:val="32"/>
          <w:lang w:eastAsia="zh-CN"/>
        </w:rPr>
        <w:t>县</w:t>
      </w:r>
      <w:r>
        <w:rPr>
          <w:rFonts w:hint="default" w:ascii="仿宋_GB2312" w:hAnsi="仿宋_GB2312" w:eastAsia="仿宋_GB2312" w:cs="仿宋_GB2312"/>
          <w:sz w:val="32"/>
        </w:rPr>
        <w:t>政府综合发展考虑，市县有关部门将陆续下达20</w:t>
      </w:r>
      <w:r>
        <w:rPr>
          <w:rFonts w:hint="eastAsia" w:ascii="仿宋_GB2312" w:hAnsi="仿宋_GB2312" w:eastAsia="仿宋_GB2312" w:cs="仿宋_GB2312"/>
          <w:sz w:val="32"/>
          <w:lang w:val="en-US" w:eastAsia="zh-CN"/>
        </w:rPr>
        <w:t>20</w:t>
      </w:r>
      <w:r>
        <w:rPr>
          <w:rFonts w:hint="default" w:ascii="仿宋_GB2312" w:hAnsi="仿宋_GB2312" w:eastAsia="仿宋_GB2312" w:cs="仿宋_GB2312"/>
          <w:sz w:val="32"/>
        </w:rPr>
        <w:t>年基础设施建设和扶贫相关项目资金文件，因此项目资金不在年初一般预算之列</w:t>
      </w:r>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城口县双河乡人民政府</w:t>
      </w:r>
      <w:r>
        <w:rPr>
          <w:rFonts w:ascii="仿宋_GB2312" w:hAnsi="仿宋_GB2312" w:eastAsia="仿宋_GB2312" w:cs="仿宋_GB2312"/>
          <w:color w:val="auto"/>
          <w:sz w:val="32"/>
        </w:rPr>
        <w:t>2020年</w:t>
      </w:r>
      <w:r>
        <w:rPr>
          <w:rFonts w:hint="eastAsia" w:ascii="仿宋_GB2312" w:hAnsi="仿宋_GB2312" w:eastAsia="仿宋_GB2312" w:cs="仿宋_GB2312"/>
          <w:color w:val="auto"/>
          <w:sz w:val="32"/>
        </w:rPr>
        <w:t>未</w:t>
      </w:r>
      <w:r>
        <w:rPr>
          <w:rFonts w:ascii="仿宋_GB2312" w:hAnsi="仿宋_GB2312" w:eastAsia="仿宋_GB2312" w:cs="仿宋_GB2312"/>
          <w:color w:val="auto"/>
          <w:sz w:val="32"/>
        </w:rPr>
        <w:t>使用政府性基金预算拨款安排的支出</w:t>
      </w:r>
      <w:r>
        <w:rPr>
          <w:rFonts w:hint="eastAsia" w:ascii="仿宋_GB2312" w:hAnsi="仿宋_GB2312" w:eastAsia="仿宋_GB2312" w:cs="仿宋_GB2312"/>
          <w:color w:val="auto"/>
          <w:sz w:val="32"/>
          <w:lang w:eastAsia="zh-CN"/>
        </w:rPr>
        <w:t>。</w:t>
      </w:r>
      <w:bookmarkStart w:id="0" w:name="_GoBack"/>
      <w:bookmarkEnd w:id="0"/>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 xml:space="preserve"> “三公”经费情况说明</w:t>
      </w:r>
    </w:p>
    <w:p>
      <w:pPr>
        <w:spacing w:line="600" w:lineRule="exact"/>
        <w:ind w:firstLine="600"/>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ascii="仿宋_GB2312" w:hAnsi="仿宋_GB2312" w:eastAsia="仿宋_GB2312" w:cs="仿宋_GB2312"/>
          <w:sz w:val="32"/>
        </w:rPr>
        <w:t>20</w:t>
      </w:r>
      <w:r>
        <w:rPr>
          <w:rFonts w:hint="eastAsia" w:ascii="仿宋_GB2312" w:hAnsi="仿宋_GB2312" w:eastAsia="仿宋_GB2312" w:cs="仿宋_GB2312"/>
          <w:sz w:val="32"/>
        </w:rPr>
        <w:t>年“三公”经费预算</w:t>
      </w:r>
      <w:r>
        <w:rPr>
          <w:rFonts w:hint="eastAsia" w:ascii="仿宋_GB2312" w:hAnsi="仿宋_GB2312" w:eastAsia="仿宋_GB2312" w:cs="仿宋_GB2312"/>
          <w:sz w:val="32"/>
          <w:lang w:val="en-US" w:eastAsia="zh-CN"/>
        </w:rPr>
        <w:t>34</w:t>
      </w:r>
      <w:r>
        <w:rPr>
          <w:rFonts w:hint="eastAsia" w:ascii="仿宋_GB2312" w:hAnsi="仿宋_GB2312" w:eastAsia="仿宋_GB2312" w:cs="仿宋_GB2312"/>
          <w:sz w:val="32"/>
        </w:rPr>
        <w:t>万元，比20</w:t>
      </w:r>
      <w:r>
        <w:rPr>
          <w:rFonts w:ascii="仿宋_GB2312" w:hAnsi="仿宋_GB2312" w:eastAsia="仿宋_GB2312" w:cs="仿宋_GB2312"/>
          <w:sz w:val="32"/>
        </w:rPr>
        <w:t>19</w:t>
      </w:r>
      <w:r>
        <w:rPr>
          <w:rFonts w:hint="eastAsia" w:ascii="仿宋_GB2312" w:hAnsi="仿宋_GB2312" w:eastAsia="仿宋_GB2312" w:cs="仿宋_GB2312"/>
          <w:sz w:val="32"/>
        </w:rPr>
        <w:t>年</w:t>
      </w:r>
      <w:r>
        <w:rPr>
          <w:rFonts w:ascii="仿宋_GB2312" w:hAnsi="仿宋_GB2312" w:eastAsia="仿宋_GB2312" w:cs="仿宋_GB2312"/>
          <w:sz w:val="32"/>
        </w:rPr>
        <w:t>增加</w:t>
      </w: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万元，比201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年增加</w:t>
      </w: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万元；公务用车运行维护费1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万元，比201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年增加</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万元；为搞好脱贫攻坚工作，迎接各项相关检查，所以年初“三公”预算数较上年预算有所增加。</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、机关运行经费。20</w:t>
      </w:r>
      <w:r>
        <w:rPr>
          <w:rFonts w:ascii="仿宋_GB2312" w:hAnsi="仿宋_GB2312" w:eastAsia="仿宋_GB2312" w:cs="仿宋_GB2312"/>
          <w:sz w:val="32"/>
        </w:rPr>
        <w:t>20</w:t>
      </w:r>
      <w:r>
        <w:rPr>
          <w:rFonts w:hint="eastAsia" w:ascii="仿宋_GB2312" w:hAnsi="仿宋_GB2312" w:eastAsia="仿宋_GB2312" w:cs="仿宋_GB2312"/>
          <w:sz w:val="32"/>
        </w:rPr>
        <w:t>年一般公共预算财政拨款运行经费</w:t>
      </w:r>
      <w:r>
        <w:rPr>
          <w:rFonts w:hint="eastAsia" w:ascii="仿宋_GB2312" w:hAnsi="仿宋_GB2312" w:eastAsia="仿宋_GB2312" w:cs="仿宋_GB2312"/>
          <w:sz w:val="32"/>
          <w:lang w:val="en-US" w:eastAsia="zh-CN"/>
        </w:rPr>
        <w:t>11.5</w:t>
      </w:r>
      <w:r>
        <w:rPr>
          <w:rFonts w:hint="eastAsia" w:ascii="仿宋_GB2312" w:hAnsi="仿宋_GB2312" w:eastAsia="仿宋_GB2312" w:cs="仿宋_GB2312"/>
          <w:sz w:val="32"/>
        </w:rPr>
        <w:t>万元，主要用于办公费、印刷费、邮电费、水电费、物管费、差旅费、会议费、培训费及其他商品和服务支出等。</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、政府采购情况。本单位政府采购预算总额</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sz w:val="32"/>
        </w:rPr>
        <w:t>3、绩效目标设置情况。</w:t>
      </w:r>
      <w:r>
        <w:rPr>
          <w:rFonts w:ascii="仿宋_GB2312" w:hAnsi="仿宋_GB2312" w:eastAsia="仿宋_GB2312" w:cs="仿宋_GB2312"/>
          <w:color w:val="000000"/>
          <w:sz w:val="32"/>
        </w:rPr>
        <w:t>2020年项目支出</w:t>
      </w:r>
      <w:r>
        <w:rPr>
          <w:rFonts w:hint="eastAsia" w:ascii="仿宋_GB2312" w:hAnsi="仿宋_GB2312" w:eastAsia="仿宋_GB2312" w:cs="仿宋_GB2312"/>
          <w:color w:val="000000"/>
          <w:sz w:val="32"/>
        </w:rPr>
        <w:t>均实行了</w:t>
      </w:r>
      <w:r>
        <w:rPr>
          <w:rFonts w:ascii="仿宋_GB2312" w:hAnsi="仿宋_GB2312" w:eastAsia="仿宋_GB2312" w:cs="仿宋_GB2312"/>
          <w:color w:val="000000"/>
          <w:sz w:val="32"/>
        </w:rPr>
        <w:t>绩效目标管理</w:t>
      </w:r>
      <w:r>
        <w:rPr>
          <w:rFonts w:hint="eastAsia" w:ascii="仿宋_GB2312" w:hAnsi="仿宋_GB2312" w:eastAsia="仿宋_GB2312" w:cs="仿宋_GB2312"/>
          <w:color w:val="000000"/>
          <w:sz w:val="32"/>
        </w:rPr>
        <w:t>。</w:t>
      </w:r>
    </w:p>
    <w:p>
      <w:pPr>
        <w:ind w:firstLine="640" w:firstLineChars="200"/>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rPr>
        <w:t>4、国有资产占有使用情况。截止20</w:t>
      </w:r>
      <w:r>
        <w:rPr>
          <w:rFonts w:ascii="仿宋_GB2312" w:hAnsi="仿宋_GB2312" w:eastAsia="仿宋_GB2312" w:cs="仿宋_GB2312"/>
          <w:color w:val="000000"/>
          <w:sz w:val="32"/>
        </w:rPr>
        <w:t>19</w:t>
      </w:r>
      <w:r>
        <w:rPr>
          <w:rFonts w:hint="eastAsia" w:ascii="仿宋_GB2312" w:hAnsi="仿宋_GB2312" w:eastAsia="仿宋_GB2312" w:cs="仿宋_GB2312"/>
          <w:color w:val="000000"/>
          <w:sz w:val="32"/>
        </w:rPr>
        <w:t>年12月，所属各预算单位共有车辆</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辆，其中</w:t>
      </w:r>
      <w:r>
        <w:rPr>
          <w:rFonts w:hint="eastAsia" w:ascii="仿宋_GB2312" w:hAnsi="仿宋_GB2312" w:eastAsia="仿宋_GB2312" w:cs="仿宋_GB2312"/>
          <w:color w:val="000000"/>
          <w:sz w:val="32"/>
          <w:lang w:val="en-US" w:eastAsia="zh-CN"/>
        </w:rPr>
        <w:t>应急保障车辆2辆</w:t>
      </w:r>
      <w:r>
        <w:rPr>
          <w:rFonts w:hint="eastAsia" w:ascii="仿宋_GB2312" w:hAnsi="仿宋_GB2312" w:eastAsia="仿宋_GB2312" w:cs="仿宋_GB2312"/>
          <w:color w:val="000000"/>
          <w:sz w:val="32"/>
        </w:rPr>
        <w:t>。20</w:t>
      </w:r>
      <w:r>
        <w:rPr>
          <w:rFonts w:ascii="仿宋_GB2312" w:hAnsi="仿宋_GB2312" w:eastAsia="仿宋_GB2312" w:cs="仿宋_GB2312"/>
          <w:color w:val="000000"/>
          <w:sz w:val="32"/>
        </w:rPr>
        <w:t>20</w:t>
      </w:r>
      <w:r>
        <w:rPr>
          <w:rFonts w:hint="eastAsia" w:ascii="仿宋_GB2312" w:hAnsi="仿宋_GB2312" w:eastAsia="仿宋_GB2312" w:cs="仿宋_GB2312"/>
          <w:color w:val="000000"/>
          <w:sz w:val="32"/>
        </w:rPr>
        <w:t>年一般公共预算安排购置车辆</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w:t>
      </w:r>
      <w:r>
        <w:rPr>
          <w:rFonts w:hint="eastAsia" w:ascii="仿宋_GB2312" w:hAnsi="仿宋_GB2312" w:eastAsia="仿宋_GB2312" w:cs="仿宋_GB2312"/>
          <w:color w:val="000000"/>
          <w:sz w:val="32"/>
          <w:lang w:eastAsia="zh-CN"/>
        </w:rPr>
        <w:t>。</w:t>
      </w:r>
    </w:p>
    <w:p>
      <w:pPr>
        <w:numPr>
          <w:ilvl w:val="0"/>
          <w:numId w:val="1"/>
        </w:numPr>
        <w:spacing w:line="600" w:lineRule="exact"/>
        <w:ind w:firstLine="640" w:firstLineChars="200"/>
        <w:rPr>
          <w:rFonts w:eastAsia="黑体"/>
          <w:sz w:val="32"/>
        </w:rPr>
      </w:pPr>
      <w:r>
        <w:rPr>
          <w:rFonts w:eastAsia="黑体"/>
          <w:sz w:val="32"/>
        </w:rPr>
        <w:t>专业性名词解释（纳入向社会公开范围的部门必须填写！）</w:t>
      </w:r>
    </w:p>
    <w:p>
      <w:pPr>
        <w:pStyle w:val="5"/>
        <w:tabs>
          <w:tab w:val="center" w:pos="4153"/>
          <w:tab w:val="left" w:pos="7275"/>
        </w:tabs>
        <w:spacing w:line="60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5"/>
        <w:tabs>
          <w:tab w:val="center" w:pos="4153"/>
          <w:tab w:val="left" w:pos="7275"/>
        </w:tabs>
        <w:spacing w:line="60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5"/>
        <w:tabs>
          <w:tab w:val="center" w:pos="4153"/>
          <w:tab w:val="left" w:pos="7275"/>
        </w:tabs>
        <w:spacing w:line="60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5"/>
        <w:tabs>
          <w:tab w:val="center" w:pos="4153"/>
          <w:tab w:val="left" w:pos="7275"/>
        </w:tabs>
        <w:spacing w:line="60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5"/>
        <w:tabs>
          <w:tab w:val="center" w:pos="4153"/>
          <w:tab w:val="left" w:pos="7275"/>
        </w:tabs>
        <w:spacing w:line="60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eastAsia="方正黑体_GBK"/>
          <w:sz w:val="32"/>
        </w:rPr>
      </w:pPr>
      <w:r>
        <w:rPr>
          <w:rFonts w:hint="eastAsia" w:eastAsia="方正黑体_GBK"/>
          <w:sz w:val="32"/>
          <w:lang w:eastAsia="zh-CN"/>
        </w:rPr>
        <w:t>七、</w:t>
      </w:r>
      <w:r>
        <w:rPr>
          <w:rFonts w:eastAsia="方正黑体_GBK"/>
          <w:sz w:val="32"/>
        </w:rPr>
        <w:t>预算公开联系方式。</w:t>
      </w:r>
    </w:p>
    <w:p>
      <w:pPr>
        <w:ind w:firstLine="643" w:firstLineChars="200"/>
        <w:rPr>
          <w:rFonts w:hint="default" w:ascii="仿宋_GB2312" w:hAnsi="仿宋_GB2312" w:eastAsia="仿宋_GB2312" w:cs="仿宋_GB2312"/>
          <w:b/>
          <w:sz w:val="32"/>
          <w:lang w:val="en-US" w:eastAsia="zh-CN"/>
        </w:rPr>
      </w:pPr>
      <w:r>
        <w:rPr>
          <w:rFonts w:hint="eastAsia" w:ascii="仿宋_GB2312" w:hAnsi="仿宋_GB2312" w:eastAsia="仿宋_GB2312" w:cs="仿宋_GB2312"/>
          <w:b/>
          <w:sz w:val="32"/>
        </w:rPr>
        <w:t>预算公开联系</w:t>
      </w:r>
      <w:r>
        <w:rPr>
          <w:rFonts w:hint="eastAsia" w:ascii="仿宋_GB2312" w:hAnsi="仿宋_GB2312" w:eastAsia="仿宋_GB2312" w:cs="仿宋_GB2312"/>
          <w:b/>
          <w:sz w:val="32"/>
          <w:lang w:val="en-US" w:eastAsia="zh-CN"/>
        </w:rPr>
        <w:t>单位</w:t>
      </w:r>
      <w:r>
        <w:rPr>
          <w:rFonts w:ascii="仿宋_GB2312" w:hAnsi="仿宋_GB2312" w:eastAsia="仿宋_GB2312" w:cs="仿宋_GB2312"/>
          <w:b/>
          <w:sz w:val="32"/>
        </w:rPr>
        <w:t>：</w:t>
      </w:r>
      <w:r>
        <w:rPr>
          <w:rFonts w:hint="eastAsia" w:ascii="仿宋_GB2312" w:hAnsi="仿宋_GB2312" w:eastAsia="仿宋_GB2312" w:cs="仿宋_GB2312"/>
          <w:b/>
          <w:sz w:val="32"/>
          <w:lang w:val="en-US" w:eastAsia="zh-CN"/>
        </w:rPr>
        <w:t>双河乡政府</w:t>
      </w:r>
      <w:r>
        <w:rPr>
          <w:rFonts w:hint="eastAsia" w:ascii="仿宋_GB2312" w:hAnsi="仿宋_GB2312" w:eastAsia="仿宋_GB2312" w:cs="仿宋_GB2312"/>
          <w:b/>
          <w:sz w:val="32"/>
        </w:rPr>
        <w:t xml:space="preserve"> </w:t>
      </w:r>
      <w:r>
        <w:rPr>
          <w:rFonts w:hint="eastAsia" w:ascii="仿宋_GB2312" w:hAnsi="仿宋_GB2312" w:eastAsia="仿宋_GB2312" w:cs="仿宋_GB2312"/>
          <w:b/>
          <w:sz w:val="32"/>
          <w:lang w:val="en-US" w:eastAsia="zh-CN"/>
        </w:rPr>
        <w:t xml:space="preserve"> </w:t>
      </w:r>
      <w:r>
        <w:rPr>
          <w:rFonts w:hint="eastAsia" w:ascii="仿宋_GB2312" w:hAnsi="仿宋_GB2312" w:eastAsia="仿宋_GB2312" w:cs="仿宋_GB2312"/>
          <w:b/>
          <w:sz w:val="32"/>
        </w:rPr>
        <w:t>联系方式</w:t>
      </w:r>
      <w:r>
        <w:rPr>
          <w:rFonts w:ascii="仿宋_GB2312" w:hAnsi="仿宋_GB2312" w:eastAsia="仿宋_GB2312" w:cs="仿宋_GB2312"/>
          <w:b/>
          <w:sz w:val="32"/>
        </w:rPr>
        <w:t>：</w:t>
      </w:r>
      <w:r>
        <w:rPr>
          <w:rFonts w:hint="eastAsia" w:ascii="仿宋_GB2312" w:hAnsi="仿宋_GB2312" w:eastAsia="仿宋_GB2312" w:cs="仿宋_GB2312"/>
          <w:b/>
          <w:sz w:val="32"/>
          <w:lang w:val="en-US" w:eastAsia="zh-CN"/>
        </w:rPr>
        <w:t>023-59295500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34F75"/>
    <w:rsid w:val="0E7A0FF5"/>
    <w:rsid w:val="14110134"/>
    <w:rsid w:val="2A234F75"/>
    <w:rsid w:val="2E164769"/>
    <w:rsid w:val="35301D0A"/>
    <w:rsid w:val="39CB5476"/>
    <w:rsid w:val="425132B4"/>
    <w:rsid w:val="59553E19"/>
    <w:rsid w:val="62030AC4"/>
    <w:rsid w:val="6D6A1B90"/>
    <w:rsid w:val="6F315B06"/>
    <w:rsid w:val="73FE5EE3"/>
    <w:rsid w:val="7B95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2020-08-05T08:59:00Z</dcterms:created>
  <dc:creator>zdb44</dc:creator>
  <cp:lastModifiedBy>周凡洁</cp:lastModifiedBy>
  <dcterms:modified xsi:type="dcterms:W3CDTF">2023-08-22T10:13:42Z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B166CCAEDB564732AC1C61C35FE59C49</vt:lpwstr>
  </property>
</Properties>
</file>