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475" w:rsidRDefault="00BE0E47">
      <w:pPr>
        <w:pStyle w:val="a9"/>
        <w:spacing w:line="552" w:lineRule="exact"/>
      </w:pPr>
      <w:r>
        <w:rPr>
          <w:rFonts w:hint="eastAsia"/>
        </w:rPr>
        <w:t>2020</w:t>
      </w:r>
      <w:r>
        <w:rPr>
          <w:rFonts w:hint="eastAsia"/>
        </w:rPr>
        <w:t>年度县级部门决算公开说明</w:t>
      </w:r>
    </w:p>
    <w:p w:rsidR="00336475" w:rsidRDefault="00336475">
      <w:pPr>
        <w:pStyle w:val="a8"/>
        <w:spacing w:line="552" w:lineRule="exact"/>
      </w:pPr>
    </w:p>
    <w:p w:rsidR="00336475" w:rsidRDefault="00BE0E47">
      <w:pPr>
        <w:pStyle w:val="a8"/>
        <w:spacing w:line="552" w:lineRule="exact"/>
        <w:rPr>
          <w:rFonts w:ascii="方正黑体_GBK" w:eastAsia="方正黑体_GBK" w:hAnsi="方正黑体_GBK" w:cs="方正黑体_GBK"/>
        </w:rPr>
      </w:pPr>
      <w:r>
        <w:rPr>
          <w:rFonts w:ascii="方正黑体_GBK" w:eastAsia="方正黑体_GBK" w:hAnsi="方正黑体_GBK" w:cs="方正黑体_GBK" w:hint="eastAsia"/>
        </w:rPr>
        <w:t>一、单位基本情况</w:t>
      </w:r>
    </w:p>
    <w:p w:rsidR="00336475" w:rsidRDefault="00BE0E47">
      <w:pPr>
        <w:pStyle w:val="a8"/>
        <w:spacing w:line="552" w:lineRule="exact"/>
        <w:rPr>
          <w:rFonts w:ascii="方正楷体_GBK" w:eastAsia="方正楷体_GBK" w:hAnsi="方正楷体_GBK" w:cs="方正楷体_GBK"/>
        </w:rPr>
      </w:pPr>
      <w:r>
        <w:rPr>
          <w:rFonts w:ascii="方正楷体_GBK" w:eastAsia="方正楷体_GBK" w:hAnsi="方正楷体_GBK" w:cs="方正楷体_GBK" w:hint="eastAsia"/>
        </w:rPr>
        <w:t>（一）职能职责</w:t>
      </w:r>
    </w:p>
    <w:p w:rsidR="00336475" w:rsidRDefault="00BE0E47">
      <w:pPr>
        <w:pStyle w:val="a8"/>
        <w:spacing w:line="552" w:lineRule="exact"/>
      </w:pPr>
      <w:r>
        <w:rPr>
          <w:rFonts w:hint="eastAsia"/>
        </w:rPr>
        <w:t>1.</w:t>
      </w:r>
      <w:r>
        <w:rPr>
          <w:rFonts w:hint="eastAsia"/>
        </w:rPr>
        <w:t>统筹实施乡村振兴战略，深化农业供给侧结构性改革，提升农业发展质量，扎实推进美丽乡村建设，推动农业全面升级、农村全面进步、农民全面发展，加快实现农业农村现代化。统筹研究和组织实施“三农”工作的地方发展战略、中长期规划、重大政策。负责县级农业综合执法，具体执法交由执法队伍承担，并以部门的名义统一执法。指导乡镇、街道农业综合执法工作。参与涉农的财税、价格、收储、金融保险、进出口等政策制定。</w:t>
      </w:r>
    </w:p>
    <w:p w:rsidR="00336475" w:rsidRDefault="00BE0E47">
      <w:pPr>
        <w:pStyle w:val="a8"/>
        <w:spacing w:line="552" w:lineRule="exact"/>
      </w:pPr>
      <w:r>
        <w:rPr>
          <w:rFonts w:hint="eastAsia"/>
        </w:rPr>
        <w:t>2.</w:t>
      </w:r>
      <w:r>
        <w:rPr>
          <w:rFonts w:hint="eastAsia"/>
        </w:rPr>
        <w:t>统筹推进发展农村社会事业、农村公共服务、农村文化、农村基础设施和乡村治理。牵头组织改善农村人居环境。指导农村精神文明和优秀农耕文化建设。</w:t>
      </w:r>
    </w:p>
    <w:p w:rsidR="00336475" w:rsidRDefault="00BE0E47">
      <w:pPr>
        <w:pStyle w:val="a8"/>
        <w:spacing w:line="552" w:lineRule="exact"/>
      </w:pPr>
      <w:r>
        <w:rPr>
          <w:rFonts w:hint="eastAsia"/>
        </w:rPr>
        <w:t>3.</w:t>
      </w:r>
      <w:r>
        <w:rPr>
          <w:rFonts w:hint="eastAsia"/>
        </w:rPr>
        <w:t>拟订全县深化农村经济体制改革和巩固完善农村基本经营制度的政策。负责农民承包地、农村宅基地改革和管理有关工作。负责农村集体产权制度改革相关工作，指导农村集体经济组织发展和集体资产管理工作。指导农民合作经济组织、农业社会化服务体系、新型农业经营主体建设与发展。承担中共城口县委全面深化改革委员会农业农村改革专项小组办公室日常工作。</w:t>
      </w:r>
    </w:p>
    <w:p w:rsidR="00336475" w:rsidRDefault="00BE0E47">
      <w:pPr>
        <w:pStyle w:val="a8"/>
        <w:spacing w:line="552" w:lineRule="exact"/>
      </w:pPr>
      <w:r>
        <w:rPr>
          <w:rFonts w:hint="eastAsia"/>
        </w:rPr>
        <w:t>4.</w:t>
      </w:r>
      <w:r>
        <w:rPr>
          <w:rFonts w:hint="eastAsia"/>
        </w:rPr>
        <w:t>指导乡村特色产业、农产品加工业、休闲农业和乡镇企业发展工作。提出促进大宗农产品流通的建议，培育、保护农业品牌。发布农业农村经济信息，监测分析农业农村经济运行。承担</w:t>
      </w:r>
      <w:r>
        <w:rPr>
          <w:rFonts w:hint="eastAsia"/>
        </w:rPr>
        <w:lastRenderedPageBreak/>
        <w:t>农业统计和农业农村信息化有关工作。</w:t>
      </w:r>
    </w:p>
    <w:p w:rsidR="00336475" w:rsidRDefault="00BE0E47">
      <w:pPr>
        <w:pStyle w:val="a8"/>
        <w:spacing w:line="552" w:lineRule="exact"/>
      </w:pPr>
      <w:r>
        <w:rPr>
          <w:rFonts w:hint="eastAsia"/>
        </w:rPr>
        <w:t>5.</w:t>
      </w:r>
      <w:r>
        <w:rPr>
          <w:rFonts w:hint="eastAsia"/>
        </w:rPr>
        <w:t>负责种植业、畜牧业、渔业、农业机械化等农业各产业的监督管理。指导粮食等农产品生产。组织构建现代农业产业体系、生产体系、经营体系，指导农业标准化生产。负责渔政、渔船、渔港监督管理。</w:t>
      </w:r>
    </w:p>
    <w:p w:rsidR="00336475" w:rsidRDefault="00BE0E47">
      <w:pPr>
        <w:pStyle w:val="a8"/>
        <w:spacing w:line="552" w:lineRule="exact"/>
      </w:pPr>
      <w:r>
        <w:rPr>
          <w:rFonts w:hint="eastAsia"/>
        </w:rPr>
        <w:t>6.</w:t>
      </w:r>
      <w:r>
        <w:rPr>
          <w:rFonts w:hint="eastAsia"/>
        </w:rPr>
        <w:t>负责食用农产品从种植养殖环节到进入批发、零售市场或生产加工企业前的质量安全监督管理，动植物疫病防控、畜禽屠宰环节、生鲜乳收购环节质量安全的监督管理。组织开展农产品质量安全监测、追溯、风险评估。指导农业检验检测体系建设。指导农业行业安全生产工作。</w:t>
      </w:r>
    </w:p>
    <w:p w:rsidR="00336475" w:rsidRDefault="00BE0E47">
      <w:pPr>
        <w:pStyle w:val="a8"/>
        <w:spacing w:line="552" w:lineRule="exact"/>
      </w:pPr>
      <w:r>
        <w:rPr>
          <w:rFonts w:hint="eastAsia"/>
        </w:rPr>
        <w:t>7.</w:t>
      </w:r>
      <w:r>
        <w:rPr>
          <w:rFonts w:hint="eastAsia"/>
        </w:rPr>
        <w:t>组织农业资源区划工作。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rsidR="00336475" w:rsidRDefault="00BE0E47">
      <w:pPr>
        <w:pStyle w:val="a8"/>
        <w:spacing w:line="552" w:lineRule="exact"/>
      </w:pPr>
      <w:r>
        <w:rPr>
          <w:rFonts w:hint="eastAsia"/>
        </w:rPr>
        <w:t>8.</w:t>
      </w:r>
      <w:r>
        <w:rPr>
          <w:rFonts w:hint="eastAsia"/>
        </w:rPr>
        <w:t>负责有关农业生产资料和农业投入品的监督管理。组织农业生产资料市场体系建设。组织兽医医政、兽药药政药检工作，负责执业兽医和畜禽屠宰行业管理。</w:t>
      </w:r>
    </w:p>
    <w:p w:rsidR="00336475" w:rsidRDefault="00BE0E47">
      <w:pPr>
        <w:pStyle w:val="a8"/>
        <w:spacing w:line="552" w:lineRule="exact"/>
      </w:pPr>
      <w:r>
        <w:rPr>
          <w:rFonts w:hint="eastAsia"/>
        </w:rPr>
        <w:t>9.</w:t>
      </w:r>
      <w:r>
        <w:rPr>
          <w:rFonts w:hint="eastAsia"/>
        </w:rPr>
        <w:t>负责农业防灾减灾、农作物重大病虫害防治工作。指导动植物防疫检疫体系建设，组织、监督动植物防疫检疫工作，发布疫情并组织扑灭。承担城口县防治动物重大疫病指挥部办公室日常工作。</w:t>
      </w:r>
    </w:p>
    <w:p w:rsidR="00336475" w:rsidRDefault="00BE0E47">
      <w:pPr>
        <w:pStyle w:val="a8"/>
        <w:spacing w:line="552" w:lineRule="exact"/>
      </w:pPr>
      <w:r>
        <w:rPr>
          <w:rFonts w:hint="eastAsia"/>
        </w:rPr>
        <w:lastRenderedPageBreak/>
        <w:t>10.</w:t>
      </w:r>
      <w:r>
        <w:rPr>
          <w:rFonts w:hint="eastAsia"/>
        </w:rPr>
        <w:t>负责农业投资管理。提出农业投融资体制机制改革建议。编制财政专项投资安排的农业投资建设规划，提出农业投资规模和方向、扶持农业农村发展财政项目的建议，按县政府规定权限审批农业投资项目，负责农业投资项目资金安排和监督管理。</w:t>
      </w:r>
    </w:p>
    <w:p w:rsidR="00336475" w:rsidRDefault="00BE0E47">
      <w:pPr>
        <w:pStyle w:val="a8"/>
        <w:spacing w:line="552" w:lineRule="exact"/>
      </w:pPr>
      <w:r>
        <w:rPr>
          <w:rFonts w:hint="eastAsia"/>
        </w:rPr>
        <w:t>11.</w:t>
      </w:r>
      <w:r>
        <w:rPr>
          <w:rFonts w:hint="eastAsia"/>
        </w:rPr>
        <w:t>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rsidR="00336475" w:rsidRDefault="00BE0E47">
      <w:pPr>
        <w:pStyle w:val="a8"/>
        <w:spacing w:line="552" w:lineRule="exact"/>
      </w:pPr>
      <w:r>
        <w:rPr>
          <w:rFonts w:hint="eastAsia"/>
        </w:rPr>
        <w:t>12.</w:t>
      </w:r>
      <w:r>
        <w:rPr>
          <w:rFonts w:hint="eastAsia"/>
        </w:rPr>
        <w:t>指导农业农村人才工作。拟订全县农业农村人才队伍建设规划并组织实施，指导农业教育和农业职业技能开发，指导新型职业农民培育、农业科技人才培养和农村实用人才培训工作。</w:t>
      </w:r>
    </w:p>
    <w:p w:rsidR="00336475" w:rsidRDefault="00BE0E47">
      <w:pPr>
        <w:pStyle w:val="a8"/>
        <w:spacing w:line="552" w:lineRule="exact"/>
      </w:pPr>
      <w:r>
        <w:rPr>
          <w:rFonts w:hint="eastAsia"/>
        </w:rPr>
        <w:t>13.</w:t>
      </w:r>
      <w:r>
        <w:rPr>
          <w:rFonts w:hint="eastAsia"/>
        </w:rPr>
        <w:t>承担农业对外合作工作。承办政府间农业涉外事务，组织开展农业农村国际交流合作。</w:t>
      </w:r>
    </w:p>
    <w:p w:rsidR="00336475" w:rsidRDefault="00BE0E47">
      <w:pPr>
        <w:pStyle w:val="a8"/>
        <w:spacing w:line="552" w:lineRule="exact"/>
      </w:pPr>
      <w:r>
        <w:rPr>
          <w:rFonts w:hint="eastAsia"/>
        </w:rPr>
        <w:t>14.</w:t>
      </w:r>
      <w:r>
        <w:rPr>
          <w:rFonts w:hint="eastAsia"/>
        </w:rPr>
        <w:t>负责所属企事业单位国有资产管理，按照权限管理所属单位干部人事、机构编制工作。承担农业农村招商引资工作，指导有关社会团体为农业农村经济发展服务。</w:t>
      </w:r>
    </w:p>
    <w:p w:rsidR="00336475" w:rsidRDefault="00BE0E47">
      <w:pPr>
        <w:pStyle w:val="a8"/>
        <w:spacing w:line="552" w:lineRule="exact"/>
      </w:pPr>
      <w:r>
        <w:rPr>
          <w:rFonts w:hint="eastAsia"/>
        </w:rPr>
        <w:t>15.</w:t>
      </w:r>
      <w:r>
        <w:rPr>
          <w:rFonts w:hint="eastAsia"/>
        </w:rPr>
        <w:t>负责机关、直属单位和行业社会组织党建工作。</w:t>
      </w:r>
    </w:p>
    <w:p w:rsidR="00336475" w:rsidRDefault="00BE0E47">
      <w:pPr>
        <w:pStyle w:val="a8"/>
        <w:spacing w:line="552" w:lineRule="exact"/>
      </w:pPr>
      <w:r>
        <w:rPr>
          <w:rFonts w:hint="eastAsia"/>
        </w:rPr>
        <w:t>16.</w:t>
      </w:r>
      <w:r>
        <w:rPr>
          <w:rFonts w:hint="eastAsia"/>
        </w:rPr>
        <w:t>完成县委、县政府交办的其他任务。</w:t>
      </w:r>
    </w:p>
    <w:p w:rsidR="00336475" w:rsidRDefault="00BE0E47">
      <w:pPr>
        <w:pStyle w:val="a8"/>
        <w:spacing w:line="552" w:lineRule="exact"/>
        <w:rPr>
          <w:rFonts w:ascii="方正楷体_GBK" w:eastAsia="方正楷体_GBK" w:hAnsi="方正楷体_GBK" w:cs="方正楷体_GBK"/>
        </w:rPr>
      </w:pPr>
      <w:r>
        <w:rPr>
          <w:rFonts w:ascii="方正楷体_GBK" w:eastAsia="方正楷体_GBK" w:hAnsi="方正楷体_GBK" w:cs="方正楷体_GBK" w:hint="eastAsia"/>
        </w:rPr>
        <w:t>（二）单位构成</w:t>
      </w:r>
    </w:p>
    <w:p w:rsidR="00336475" w:rsidRDefault="00BE0E47" w:rsidP="00B16F32">
      <w:pPr>
        <w:pStyle w:val="a8"/>
        <w:spacing w:line="552" w:lineRule="exact"/>
      </w:pPr>
      <w:r>
        <w:rPr>
          <w:rFonts w:hint="eastAsia"/>
          <w:b/>
          <w:bCs/>
        </w:rPr>
        <w:t>1.</w:t>
      </w:r>
      <w:r>
        <w:rPr>
          <w:rFonts w:hint="eastAsia"/>
          <w:b/>
          <w:bCs/>
        </w:rPr>
        <w:t>城口县农业行政执法支队。</w:t>
      </w:r>
      <w:r>
        <w:rPr>
          <w:rFonts w:hint="eastAsia"/>
        </w:rPr>
        <w:t>以县农业农村委名义，统一行使县农业农村委系统内兽医兽药、生猪屠宰、种子、化肥、农药、农机、农产品质量、渔业等行政处罚及与之相关的行政检查、行政强制等执法工作。</w:t>
      </w:r>
    </w:p>
    <w:p w:rsidR="00336475" w:rsidRDefault="00BE0E47" w:rsidP="00B16F32">
      <w:pPr>
        <w:pStyle w:val="a8"/>
        <w:spacing w:line="552" w:lineRule="exact"/>
      </w:pPr>
      <w:r>
        <w:rPr>
          <w:rFonts w:hint="eastAsia"/>
          <w:b/>
          <w:bCs/>
        </w:rPr>
        <w:lastRenderedPageBreak/>
        <w:t>2.</w:t>
      </w:r>
      <w:r>
        <w:rPr>
          <w:rFonts w:hint="eastAsia"/>
          <w:b/>
          <w:bCs/>
        </w:rPr>
        <w:t>城口县农业技术推广中心。</w:t>
      </w:r>
      <w:r>
        <w:rPr>
          <w:rFonts w:hint="eastAsia"/>
        </w:rPr>
        <w:t>负责农业科技成果的应用和先进实用技术的引进、试验示范和推广工作；开展农业技术指导、咨询、培训、开展技物结合的科技服务及推广；负责全县经济作物的试验示范与推广工作；负责指导全县农业生产的发展和技术工作；承担对乡镇（街道）农业技术推广机构的业务指导；负责辖区内农情信息收集整理汇总；参与并实施农业结构调整工作；组织实施中低产田土改造与利用及旱作节水农业和新型肥料的试验、示范和推广工作。负责植物重大病虫害的监测、研究、测报、信息传递及区域测报站的管理工作；负责农药安全使用技术培训、指导等工作；防止危害植物的危险性病、虫、杂草传播蔓延，负责对有害生物进行监测、预报和防治，保护农业生产安全；开展科学试验，为大面积防治病、虫、草、鼠应用高效、低毒、低残留农药提供科学依据。负责区域试验、新品种引进试验示范等品种管理工作。负责农机新机具、新技术的示范推广，并组织农机安全操作培训，组织农机社会化服务，贯彻落实购机补贴政策。</w:t>
      </w:r>
    </w:p>
    <w:p w:rsidR="00336475" w:rsidRDefault="00BE0E47" w:rsidP="00B16F32">
      <w:pPr>
        <w:pStyle w:val="a8"/>
        <w:spacing w:line="552" w:lineRule="exact"/>
      </w:pPr>
      <w:r>
        <w:rPr>
          <w:rFonts w:hint="eastAsia"/>
          <w:b/>
          <w:bCs/>
        </w:rPr>
        <w:t>3.</w:t>
      </w:r>
      <w:r>
        <w:rPr>
          <w:rFonts w:hint="eastAsia"/>
          <w:b/>
          <w:bCs/>
        </w:rPr>
        <w:t>城口县畜牧技术推广中心。</w:t>
      </w:r>
      <w:r>
        <w:rPr>
          <w:rFonts w:hint="eastAsia"/>
        </w:rPr>
        <w:t>负责全县畜牧业、渔业生产的发展规划和计划，协助当地政府做好畜牧、渔业养殖的区域性规划和布局，负责畜牧、渔业实用技术的培训、指导及推广应用、新技术的引进、试验示范及推广；对辖区内的种畜禽进行规范化管理，进行鉴定、登记发证、年审，承担对地方优良畜禽品种资源调查、保护、繁育及开发利用工作，负责对畜禽、渔业新品种的引进、繁育、及推广；负责对各类种畜禽、水产品及特种畜禽进行管理；负责引进饲料饲草新品种进行试验示范与推广工作；</w:t>
      </w:r>
      <w:r>
        <w:rPr>
          <w:rFonts w:hint="eastAsia"/>
        </w:rPr>
        <w:lastRenderedPageBreak/>
        <w:t>承办建设项目和示范性项目的组织实施和验收工作；负责畜牧、渔业统计。负责对草原保护、建设和利用情况的监督检查；编制本行政区域的草原保护、建设、利用规划；定期进行草原调查；对草原基本状况实行动态监测；选育、引进、推广优良草品种。</w:t>
      </w:r>
    </w:p>
    <w:p w:rsidR="00336475" w:rsidRDefault="00BE0E47" w:rsidP="00B16F32">
      <w:pPr>
        <w:pStyle w:val="a8"/>
        <w:spacing w:line="552" w:lineRule="exact"/>
      </w:pPr>
      <w:r>
        <w:rPr>
          <w:rFonts w:hint="eastAsia"/>
          <w:b/>
          <w:bCs/>
        </w:rPr>
        <w:t>4.</w:t>
      </w:r>
      <w:r>
        <w:rPr>
          <w:rFonts w:hint="eastAsia"/>
          <w:b/>
          <w:bCs/>
        </w:rPr>
        <w:t>城口县农业综合检测中心。</w:t>
      </w:r>
      <w:r>
        <w:rPr>
          <w:rFonts w:hint="eastAsia"/>
        </w:rPr>
        <w:t>负责农产品质量安全检验、检测工作，承担全县乡镇（街道）农产品质量安全监管站及农业企业农产品检测实验室建设指导、业务及技术培训，检测数据的收集、整理、统计、上报，接受其他委托检验。负责畜产品、水产品、饲料、药物质量监督检测。负责种子质量检测。负责植物营养诊断，农药质量与残留监测，产品鉴定与登记管理。负责土壤、植株等常规分析化验。负责上级单位安排的其他检测任务。负责全县动物疫病的监测、检测、诊断、流行病学调查、疫情报告以及其他预防、控制等技术工作，并组织实施；根据动物疫病监测和流行病学调查结果开展动物疫情分析评估；负责动物疫病、兽药、饲料及饲料添加剂、畜产品药物残留的检测及溯源调查；负责动物免疫、诊断、监（检）测、流行病学调查等动物疫病防控物资组织和储备；负责动物疫病预防相关法律法规的宣传教育和技术指导；根据国家、市动物疫病防治规划和动物疫病强制免疫计划参与草拟全县动物疫病免疫规划、计划、方案和工作意见，并组织实施；负责兽医实验室管理和指导工作。</w:t>
      </w:r>
    </w:p>
    <w:p w:rsidR="00336475" w:rsidRDefault="00BE0E47" w:rsidP="00B16F32">
      <w:pPr>
        <w:pStyle w:val="a8"/>
        <w:spacing w:line="552" w:lineRule="exact"/>
      </w:pPr>
      <w:r>
        <w:rPr>
          <w:rFonts w:hint="eastAsia"/>
          <w:b/>
          <w:bCs/>
        </w:rPr>
        <w:t>5.</w:t>
      </w:r>
      <w:r>
        <w:rPr>
          <w:rFonts w:hint="eastAsia"/>
          <w:b/>
          <w:bCs/>
        </w:rPr>
        <w:t>城口县农产品质量安全监督管理站。</w:t>
      </w:r>
      <w:r>
        <w:rPr>
          <w:rFonts w:hint="eastAsia"/>
        </w:rPr>
        <w:t>承担本辖区内的农产品质量安全执法检验；负责指导农产品生产基地和批发市场开展检测工作；负责承担全县“三品一标”认证工作规划和年度计划；</w:t>
      </w:r>
      <w:r>
        <w:rPr>
          <w:rFonts w:hint="eastAsia"/>
        </w:rPr>
        <w:lastRenderedPageBreak/>
        <w:t>负责无公害农产品、绿色食品、有机农产品、地理标志农产品和生态原产地保护产品的组织申报；负责乡镇（街道）农产品质量安全监督管理站的业务指导和技术服务工作；负责农产品质量安全监督检查的抽样和生产过程中的日常监督检验；接受其他委托检验和负责农产品质量安全方面的技术咨询、技术服务工作；对当地推广销售的种子、化肥、农药、兽药、饲料等农用生产物资的监测和市场监测以及农业生态环境监测与管理工作；负责农产品产地认证和产品质量认证；负责农产品质量安全申报的审批、认可等项工作。</w:t>
      </w:r>
    </w:p>
    <w:p w:rsidR="00336475" w:rsidRDefault="00BE0E47" w:rsidP="00B16F32">
      <w:pPr>
        <w:pStyle w:val="a8"/>
        <w:spacing w:line="552" w:lineRule="exact"/>
      </w:pPr>
      <w:r>
        <w:rPr>
          <w:rFonts w:hint="eastAsia"/>
          <w:b/>
          <w:bCs/>
        </w:rPr>
        <w:t>6.</w:t>
      </w:r>
      <w:r>
        <w:rPr>
          <w:rFonts w:hint="eastAsia"/>
          <w:b/>
          <w:bCs/>
        </w:rPr>
        <w:t>城口县农村能源与农业生态资源保护站。</w:t>
      </w:r>
      <w:r>
        <w:rPr>
          <w:rFonts w:hint="eastAsia"/>
        </w:rPr>
        <w:t>拟订全县农业生态环境保护、新农村建设、美丽乡村建设和可再生能源建设的规划并组织实施；负责农村可再生能源综合开发与利用和节能工作。承担农村能源建设与综合利用。承办并组织实施国家生态环境综合治理建设项目及其配套建设。负责外来入侵生物防治管理工作；承担农业生物物种资源保护和管理协调监督工作。负责农业生态环境保护管理与监测、基本农田保护区的环境质量监测、农业污染事故调查鉴定、种植业野生资源保护工作。组织实施生态农业建设试点与推广；承担农业生态环境建设与保护项目的实施。</w:t>
      </w:r>
    </w:p>
    <w:p w:rsidR="00336475" w:rsidRDefault="00BE0E47" w:rsidP="00B16F32">
      <w:pPr>
        <w:pStyle w:val="a8"/>
        <w:spacing w:line="552" w:lineRule="exact"/>
      </w:pPr>
      <w:r>
        <w:rPr>
          <w:rFonts w:hint="eastAsia"/>
          <w:b/>
          <w:bCs/>
        </w:rPr>
        <w:t>7.</w:t>
      </w:r>
      <w:r>
        <w:rPr>
          <w:rFonts w:hint="eastAsia"/>
          <w:b/>
          <w:bCs/>
        </w:rPr>
        <w:t>重庆市农业电视广播学校城口县分校（城口县农业信息中心）。</w:t>
      </w:r>
      <w:r>
        <w:rPr>
          <w:rFonts w:hint="eastAsia"/>
        </w:rPr>
        <w:t>负责全县农业和农村经济技术信息服务采集、信息加工处理、信息分析发布、农业信息系统建设、农业信息资料管理、信息查询与咨询服务、信息业务培训、信息技术的推广和农业信息资源的开发及利用。参与研究制定全县农业信息化发展规划、实施方</w:t>
      </w:r>
      <w:r>
        <w:rPr>
          <w:rFonts w:hint="eastAsia"/>
        </w:rPr>
        <w:lastRenderedPageBreak/>
        <w:t>案、建设标准和技术规范等；承担全县农业信息化发展研究和农业信息前沿技术应用推广工作；负责指导全县农业信息服务体系建设工作。承担全县农业数据资源建设与开发利用工作，包括农业农村经济、生产、市场等数据的采集整理、分析预警和决策支撑。承担信息系统建设维护工作，包括农业行业信息系统、县级农业门户网站、电子政务系统的建设维护，信息网络安全监管及网络舆情监测等保障工作。承担信息技术推广服务，包括农业大数据、农业物联网、农业电子商务等新技术、新产品、新模式的开发利用和示范推广。承担农业信息综合服务，包括信息业务培训、农业行业新媒体宣传等服务工作。负责进行农民技术教育和学历教育、绿色证书培训、新型职业农民培训、科技入户工程；农民转岗技能知识培训和短期实用技术培训工作；开展农业实用技术培训、推广先进农业实用技术、农村服务业培训和农业特有工种职业技能鉴定等工作，提高农民的科技文化素质及农民工的就业技能。指导、组织农民开展群众性体育活动，承办农民体育竞赛、农民体育交流，培养农民体育骨干。</w:t>
      </w:r>
    </w:p>
    <w:p w:rsidR="00336475" w:rsidRDefault="00BE0E47" w:rsidP="00B16F32">
      <w:pPr>
        <w:pStyle w:val="a8"/>
        <w:spacing w:line="552" w:lineRule="exact"/>
      </w:pPr>
      <w:r>
        <w:rPr>
          <w:rFonts w:hint="eastAsia"/>
          <w:b/>
          <w:bCs/>
        </w:rPr>
        <w:t>8.</w:t>
      </w:r>
      <w:r>
        <w:rPr>
          <w:rFonts w:hint="eastAsia"/>
          <w:b/>
          <w:bCs/>
        </w:rPr>
        <w:t>重庆市城岚公路北屏动物卫生监督检查站。</w:t>
      </w:r>
      <w:r>
        <w:rPr>
          <w:rFonts w:hint="eastAsia"/>
        </w:rPr>
        <w:t>对进出重庆市城岚公路的动物及动物产品实施查证验物；对无证的动物及动物产品依法进行处置后，符合补检或重检条件的进行补检或重检；对动物及动物产品的运载工具进行严格消毒；对查出病害的动物及其产品和污染物依法进行无害化处理，防止疫情通过运输环节传播蔓延。</w:t>
      </w:r>
    </w:p>
    <w:p w:rsidR="00336475" w:rsidRDefault="00BE0E47" w:rsidP="00B16F32">
      <w:pPr>
        <w:pStyle w:val="a8"/>
        <w:spacing w:line="552" w:lineRule="exact"/>
      </w:pPr>
      <w:r>
        <w:rPr>
          <w:rFonts w:hint="eastAsia"/>
          <w:b/>
          <w:bCs/>
        </w:rPr>
        <w:t>9.</w:t>
      </w:r>
      <w:r>
        <w:rPr>
          <w:rFonts w:hint="eastAsia"/>
          <w:b/>
          <w:bCs/>
        </w:rPr>
        <w:t>重庆市城万快速公路双河动物卫生监督检查站。</w:t>
      </w:r>
      <w:r>
        <w:rPr>
          <w:rFonts w:hint="eastAsia"/>
        </w:rPr>
        <w:t>对进出重</w:t>
      </w:r>
      <w:r>
        <w:rPr>
          <w:rFonts w:hint="eastAsia"/>
        </w:rPr>
        <w:lastRenderedPageBreak/>
        <w:t>庆市城万快速公路的动物及动物产品实施查证验物；对无证的动物及动物产品依法进行处置后，符合补检或重检条件的进行补检或重检；对动物及动物产品的运载工具进行严格消毒；对查出病害的动物及其产品和污染物依法进行无害化处理，防止疫情通过运输环节传播蔓延。</w:t>
      </w:r>
    </w:p>
    <w:p w:rsidR="00336475" w:rsidRDefault="00BE0E47">
      <w:pPr>
        <w:pStyle w:val="a8"/>
        <w:spacing w:line="552" w:lineRule="exact"/>
        <w:rPr>
          <w:rFonts w:ascii="方正黑体_GBK" w:eastAsia="方正黑体_GBK" w:hAnsi="方正黑体_GBK" w:cs="方正黑体_GBK"/>
        </w:rPr>
      </w:pPr>
      <w:r>
        <w:rPr>
          <w:rFonts w:ascii="方正黑体_GBK" w:eastAsia="方正黑体_GBK" w:hAnsi="方正黑体_GBK" w:cs="方正黑体_GBK" w:hint="eastAsia"/>
        </w:rPr>
        <w:t>二、部门决算情况说明</w:t>
      </w:r>
    </w:p>
    <w:p w:rsidR="00336475" w:rsidRDefault="00BE0E47">
      <w:pPr>
        <w:pStyle w:val="a8"/>
        <w:spacing w:line="552" w:lineRule="exact"/>
        <w:rPr>
          <w:rFonts w:ascii="方正仿宋_GBK" w:hAnsi="方正仿宋_GBK" w:cs="方正仿宋_GBK"/>
          <w:b/>
          <w:bCs/>
        </w:rPr>
      </w:pPr>
      <w:r>
        <w:rPr>
          <w:rFonts w:ascii="方正仿宋_GBK" w:hAnsi="方正仿宋_GBK" w:cs="方正仿宋_GBK" w:hint="eastAsia"/>
          <w:b/>
          <w:bCs/>
        </w:rPr>
        <w:t>（一）总体情况</w:t>
      </w:r>
    </w:p>
    <w:p w:rsidR="00336475" w:rsidRDefault="00BE0E47">
      <w:pPr>
        <w:pStyle w:val="a8"/>
        <w:spacing w:line="552" w:lineRule="exact"/>
      </w:pPr>
      <w:r>
        <w:rPr>
          <w:rFonts w:hint="eastAsia"/>
        </w:rPr>
        <w:t>2020</w:t>
      </w:r>
      <w:r>
        <w:rPr>
          <w:rFonts w:hint="eastAsia"/>
        </w:rPr>
        <w:t>年度收入总计</w:t>
      </w:r>
      <w:r>
        <w:rPr>
          <w:rFonts w:hint="eastAsia"/>
        </w:rPr>
        <w:t>19103.96</w:t>
      </w:r>
      <w:r>
        <w:rPr>
          <w:rFonts w:hint="eastAsia"/>
        </w:rPr>
        <w:t>万元，支出总计</w:t>
      </w:r>
      <w:r>
        <w:rPr>
          <w:rFonts w:hint="eastAsia"/>
        </w:rPr>
        <w:t>19103.96</w:t>
      </w:r>
      <w:r>
        <w:rPr>
          <w:rFonts w:hint="eastAsia"/>
        </w:rPr>
        <w:t>万元。收支较上年决算数减少</w:t>
      </w:r>
      <w:r>
        <w:rPr>
          <w:rFonts w:hint="eastAsia"/>
        </w:rPr>
        <w:t>11543.74</w:t>
      </w:r>
      <w:r>
        <w:rPr>
          <w:rFonts w:hint="eastAsia"/>
        </w:rPr>
        <w:t>万元、减少</w:t>
      </w:r>
      <w:r>
        <w:rPr>
          <w:rFonts w:hint="eastAsia"/>
        </w:rPr>
        <w:t>37.67%</w:t>
      </w:r>
      <w:r>
        <w:rPr>
          <w:rFonts w:hint="eastAsia"/>
        </w:rPr>
        <w:t>，主要原因是本年度专项资金预算减少。</w:t>
      </w:r>
    </w:p>
    <w:p w:rsidR="00336475" w:rsidRDefault="00BE0E47">
      <w:pPr>
        <w:pStyle w:val="a8"/>
        <w:spacing w:line="552" w:lineRule="exact"/>
        <w:rPr>
          <w:rFonts w:ascii="方正仿宋_GBK" w:hAnsi="方正仿宋_GBK" w:cs="方正仿宋_GBK"/>
          <w:b/>
          <w:bCs/>
        </w:rPr>
      </w:pPr>
      <w:r>
        <w:rPr>
          <w:rFonts w:ascii="方正仿宋_GBK" w:hAnsi="方正仿宋_GBK" w:cs="方正仿宋_GBK" w:hint="eastAsia"/>
          <w:b/>
          <w:bCs/>
        </w:rPr>
        <w:t>（二）收入情况</w:t>
      </w:r>
    </w:p>
    <w:p w:rsidR="00336475" w:rsidRDefault="00BE0E47">
      <w:pPr>
        <w:pStyle w:val="a8"/>
        <w:spacing w:line="552" w:lineRule="exact"/>
      </w:pPr>
      <w:r>
        <w:rPr>
          <w:rFonts w:hint="eastAsia"/>
        </w:rPr>
        <w:t>2020</w:t>
      </w:r>
      <w:r>
        <w:rPr>
          <w:rFonts w:hint="eastAsia"/>
        </w:rPr>
        <w:t>年度收入合计</w:t>
      </w:r>
      <w:r>
        <w:rPr>
          <w:rFonts w:hint="eastAsia"/>
        </w:rPr>
        <w:t>13,334.99</w:t>
      </w:r>
      <w:r>
        <w:rPr>
          <w:rFonts w:hint="eastAsia"/>
        </w:rPr>
        <w:t>万元，较上年决算数减少</w:t>
      </w:r>
      <w:r>
        <w:rPr>
          <w:rFonts w:hint="eastAsia"/>
        </w:rPr>
        <w:t>7527.72</w:t>
      </w:r>
      <w:r>
        <w:rPr>
          <w:rFonts w:hint="eastAsia"/>
        </w:rPr>
        <w:t>万元，下降</w:t>
      </w:r>
      <w:r>
        <w:rPr>
          <w:rFonts w:hint="eastAsia"/>
        </w:rPr>
        <w:t>36.08%</w:t>
      </w:r>
      <w:r>
        <w:rPr>
          <w:rFonts w:hint="eastAsia"/>
        </w:rPr>
        <w:t>，主要原因是本年度专项资金预算减少。其中：财政拨款收入</w:t>
      </w:r>
      <w:r>
        <w:rPr>
          <w:rFonts w:hint="eastAsia"/>
        </w:rPr>
        <w:t>13116.15</w:t>
      </w:r>
      <w:r>
        <w:rPr>
          <w:rFonts w:hint="eastAsia"/>
        </w:rPr>
        <w:t>万元，占</w:t>
      </w:r>
      <w:r>
        <w:rPr>
          <w:rFonts w:hint="eastAsia"/>
        </w:rPr>
        <w:t>98.36%</w:t>
      </w:r>
      <w:r>
        <w:rPr>
          <w:rFonts w:hint="eastAsia"/>
        </w:rPr>
        <w:t>；其他收入</w:t>
      </w:r>
      <w:r>
        <w:rPr>
          <w:rFonts w:hint="eastAsia"/>
        </w:rPr>
        <w:t>218.84</w:t>
      </w:r>
      <w:r>
        <w:rPr>
          <w:rFonts w:hint="eastAsia"/>
        </w:rPr>
        <w:t>万元，占</w:t>
      </w:r>
      <w:r>
        <w:rPr>
          <w:rFonts w:hint="eastAsia"/>
        </w:rPr>
        <w:t>1.64%</w:t>
      </w:r>
      <w:r>
        <w:rPr>
          <w:rFonts w:hint="eastAsia"/>
        </w:rPr>
        <w:t>。年初结转和结余</w:t>
      </w:r>
      <w:r>
        <w:rPr>
          <w:rFonts w:hint="eastAsia"/>
        </w:rPr>
        <w:t>5768.97</w:t>
      </w:r>
      <w:r>
        <w:rPr>
          <w:rFonts w:hint="eastAsia"/>
        </w:rPr>
        <w:t>万元。</w:t>
      </w:r>
    </w:p>
    <w:p w:rsidR="00336475" w:rsidRDefault="00BE0E47">
      <w:pPr>
        <w:pStyle w:val="a8"/>
        <w:spacing w:line="552" w:lineRule="exact"/>
        <w:rPr>
          <w:rFonts w:ascii="方正仿宋_GBK" w:hAnsi="方正仿宋_GBK" w:cs="方正仿宋_GBK"/>
          <w:b/>
          <w:bCs/>
        </w:rPr>
      </w:pPr>
      <w:r>
        <w:rPr>
          <w:rFonts w:ascii="方正仿宋_GBK" w:hAnsi="方正仿宋_GBK" w:cs="方正仿宋_GBK" w:hint="eastAsia"/>
          <w:b/>
          <w:bCs/>
        </w:rPr>
        <w:t>（三）支出情况</w:t>
      </w:r>
    </w:p>
    <w:p w:rsidR="00336475" w:rsidRDefault="00BE0E47">
      <w:pPr>
        <w:pStyle w:val="a8"/>
        <w:spacing w:line="552" w:lineRule="exact"/>
      </w:pPr>
      <w:r>
        <w:rPr>
          <w:rFonts w:hint="eastAsia"/>
        </w:rPr>
        <w:t>2020</w:t>
      </w:r>
      <w:r>
        <w:rPr>
          <w:rFonts w:hint="eastAsia"/>
        </w:rPr>
        <w:t>年度支出合计</w:t>
      </w:r>
      <w:r>
        <w:rPr>
          <w:rFonts w:hint="eastAsia"/>
        </w:rPr>
        <w:t>13905.13</w:t>
      </w:r>
      <w:r>
        <w:rPr>
          <w:rFonts w:hint="eastAsia"/>
        </w:rPr>
        <w:t>万元，较上年决算数减少</w:t>
      </w:r>
      <w:r>
        <w:rPr>
          <w:rFonts w:hint="eastAsia"/>
        </w:rPr>
        <w:t>10973.6</w:t>
      </w:r>
      <w:r>
        <w:rPr>
          <w:rFonts w:hint="eastAsia"/>
        </w:rPr>
        <w:t>万元，减少</w:t>
      </w:r>
      <w:r>
        <w:rPr>
          <w:rFonts w:hint="eastAsia"/>
        </w:rPr>
        <w:t>44.1%</w:t>
      </w:r>
      <w:r>
        <w:rPr>
          <w:rFonts w:hint="eastAsia"/>
        </w:rPr>
        <w:t>，主要原因是本年度专项资金预算减少，支出对应减少。其中：基本支出</w:t>
      </w:r>
      <w:r>
        <w:rPr>
          <w:rFonts w:hint="eastAsia"/>
        </w:rPr>
        <w:t>2656.65</w:t>
      </w:r>
      <w:r>
        <w:rPr>
          <w:rFonts w:hint="eastAsia"/>
        </w:rPr>
        <w:t>万元，占</w:t>
      </w:r>
      <w:r>
        <w:rPr>
          <w:rFonts w:hint="eastAsia"/>
        </w:rPr>
        <w:t>19.11%</w:t>
      </w:r>
      <w:r>
        <w:rPr>
          <w:rFonts w:hint="eastAsia"/>
        </w:rPr>
        <w:t>；项目支出</w:t>
      </w:r>
      <w:r>
        <w:rPr>
          <w:rFonts w:hint="eastAsia"/>
        </w:rPr>
        <w:t>11248.49</w:t>
      </w:r>
      <w:r>
        <w:rPr>
          <w:rFonts w:hint="eastAsia"/>
        </w:rPr>
        <w:t>万元，占</w:t>
      </w:r>
      <w:r>
        <w:rPr>
          <w:rFonts w:hint="eastAsia"/>
        </w:rPr>
        <w:t>80.89%</w:t>
      </w:r>
      <w:r>
        <w:rPr>
          <w:rFonts w:hint="eastAsia"/>
        </w:rPr>
        <w:t>。</w:t>
      </w:r>
    </w:p>
    <w:p w:rsidR="00336475" w:rsidRDefault="00BE0E47">
      <w:pPr>
        <w:pStyle w:val="a8"/>
        <w:spacing w:line="552" w:lineRule="exact"/>
        <w:rPr>
          <w:rFonts w:ascii="方正仿宋_GBK" w:hAnsi="方正仿宋_GBK" w:cs="方正仿宋_GBK"/>
          <w:b/>
          <w:bCs/>
        </w:rPr>
      </w:pPr>
      <w:r>
        <w:rPr>
          <w:rFonts w:ascii="方正仿宋_GBK" w:hAnsi="方正仿宋_GBK" w:cs="方正仿宋_GBK" w:hint="eastAsia"/>
          <w:b/>
          <w:bCs/>
        </w:rPr>
        <w:t>（四）结转结余情况</w:t>
      </w:r>
    </w:p>
    <w:p w:rsidR="00336475" w:rsidRDefault="00BE0E47">
      <w:pPr>
        <w:pStyle w:val="a8"/>
        <w:spacing w:line="552" w:lineRule="exact"/>
      </w:pPr>
      <w:r>
        <w:rPr>
          <w:rFonts w:hint="eastAsia"/>
        </w:rPr>
        <w:t>2020</w:t>
      </w:r>
      <w:r>
        <w:rPr>
          <w:rFonts w:hint="eastAsia"/>
        </w:rPr>
        <w:t>年度年末结转和结余</w:t>
      </w:r>
      <w:r>
        <w:rPr>
          <w:rFonts w:hint="eastAsia"/>
        </w:rPr>
        <w:t>5198.83</w:t>
      </w:r>
      <w:r>
        <w:rPr>
          <w:rFonts w:hint="eastAsia"/>
        </w:rPr>
        <w:t>万元，较上年决算数减少</w:t>
      </w:r>
      <w:r>
        <w:rPr>
          <w:rFonts w:hint="eastAsia"/>
        </w:rPr>
        <w:t>570.14</w:t>
      </w:r>
      <w:r>
        <w:rPr>
          <w:rFonts w:hint="eastAsia"/>
        </w:rPr>
        <w:t>万元，下降</w:t>
      </w:r>
      <w:r>
        <w:rPr>
          <w:rFonts w:hint="eastAsia"/>
        </w:rPr>
        <w:t>9.88%</w:t>
      </w:r>
      <w:r>
        <w:rPr>
          <w:rFonts w:hint="eastAsia"/>
        </w:rPr>
        <w:t>，主要原因是本年度加快了项目实施进</w:t>
      </w:r>
      <w:r>
        <w:rPr>
          <w:rFonts w:hint="eastAsia"/>
        </w:rPr>
        <w:lastRenderedPageBreak/>
        <w:t>度和资金拨付进度。</w:t>
      </w:r>
    </w:p>
    <w:p w:rsidR="00336475" w:rsidRDefault="00BE0E47">
      <w:pPr>
        <w:pStyle w:val="a8"/>
        <w:spacing w:line="552" w:lineRule="exact"/>
        <w:rPr>
          <w:rFonts w:ascii="方正黑体_GBK" w:eastAsia="方正黑体_GBK" w:hAnsi="方正黑体_GBK" w:cs="方正黑体_GBK"/>
        </w:rPr>
      </w:pPr>
      <w:r>
        <w:rPr>
          <w:rFonts w:ascii="方正黑体_GBK" w:eastAsia="方正黑体_GBK" w:hAnsi="方正黑体_GBK" w:cs="方正黑体_GBK" w:hint="eastAsia"/>
        </w:rPr>
        <w:t>三、“三公”经费情况说明</w:t>
      </w:r>
    </w:p>
    <w:p w:rsidR="00336475" w:rsidRDefault="00BE0E47">
      <w:pPr>
        <w:pStyle w:val="a8"/>
        <w:spacing w:line="552" w:lineRule="exact"/>
        <w:rPr>
          <w:rFonts w:ascii="方正楷体_GBK" w:eastAsia="方正楷体_GBK" w:hAnsi="方正楷体_GBK" w:cs="方正楷体_GBK"/>
        </w:rPr>
      </w:pPr>
      <w:r>
        <w:rPr>
          <w:rFonts w:ascii="方正楷体_GBK" w:eastAsia="方正楷体_GBK" w:hAnsi="方正楷体_GBK" w:cs="方正楷体_GBK" w:hint="eastAsia"/>
        </w:rPr>
        <w:t>（一）“三公”经费支出情况</w:t>
      </w:r>
    </w:p>
    <w:p w:rsidR="00336475" w:rsidRDefault="00BE0E47">
      <w:pPr>
        <w:pStyle w:val="a8"/>
        <w:spacing w:line="552" w:lineRule="exact"/>
      </w:pPr>
      <w:r>
        <w:rPr>
          <w:rFonts w:hint="eastAsia"/>
        </w:rPr>
        <w:t>2020</w:t>
      </w:r>
      <w:r>
        <w:rPr>
          <w:rFonts w:hint="eastAsia"/>
        </w:rPr>
        <w:t>年度“三公”经费支出共计</w:t>
      </w:r>
      <w:r>
        <w:rPr>
          <w:rFonts w:hint="eastAsia"/>
        </w:rPr>
        <w:t>33.02</w:t>
      </w:r>
      <w:r>
        <w:rPr>
          <w:rFonts w:hint="eastAsia"/>
        </w:rPr>
        <w:t>万元，较年初预算数减少</w:t>
      </w:r>
      <w:r>
        <w:rPr>
          <w:rFonts w:hint="eastAsia"/>
        </w:rPr>
        <w:t>18.28</w:t>
      </w:r>
      <w:r>
        <w:rPr>
          <w:rFonts w:hint="eastAsia"/>
        </w:rPr>
        <w:t>万元，下降</w:t>
      </w:r>
      <w:r>
        <w:rPr>
          <w:rFonts w:hint="eastAsia"/>
        </w:rPr>
        <w:t>35.63%</w:t>
      </w:r>
      <w:r>
        <w:rPr>
          <w:rFonts w:hint="eastAsia"/>
        </w:rPr>
        <w:t>，较上年支出数减少</w:t>
      </w:r>
      <w:r>
        <w:rPr>
          <w:rFonts w:hint="eastAsia"/>
        </w:rPr>
        <w:t>72.57</w:t>
      </w:r>
      <w:r>
        <w:rPr>
          <w:rFonts w:hint="eastAsia"/>
        </w:rPr>
        <w:t>万元，减少</w:t>
      </w:r>
      <w:r>
        <w:rPr>
          <w:rFonts w:hint="eastAsia"/>
        </w:rPr>
        <w:t>68.73%</w:t>
      </w:r>
      <w:r>
        <w:rPr>
          <w:rFonts w:hint="eastAsia"/>
        </w:rPr>
        <w:t>，主要原因是认真贯彻落实中央八项规定精神，时刻保持“过紧日子”思想，按照只减不增的要求从严控制“三公”经费，且</w:t>
      </w:r>
      <w:r>
        <w:rPr>
          <w:rFonts w:hint="eastAsia"/>
        </w:rPr>
        <w:t>2020</w:t>
      </w:r>
      <w:r>
        <w:rPr>
          <w:rFonts w:hint="eastAsia"/>
        </w:rPr>
        <w:t>年度未产生因公出国（境）费用。</w:t>
      </w:r>
    </w:p>
    <w:p w:rsidR="00336475" w:rsidRDefault="00BE0E47">
      <w:pPr>
        <w:pStyle w:val="a8"/>
        <w:spacing w:line="552" w:lineRule="exact"/>
      </w:pPr>
      <w:r>
        <w:rPr>
          <w:rFonts w:hint="eastAsia"/>
        </w:rPr>
        <w:t>2020</w:t>
      </w:r>
      <w:r>
        <w:rPr>
          <w:rFonts w:hint="eastAsia"/>
        </w:rPr>
        <w:t>年度本部门未发生因公出国（境）费用，未发生公务车购置费支出。</w:t>
      </w:r>
      <w:r>
        <w:rPr>
          <w:rFonts w:hint="eastAsia"/>
        </w:rPr>
        <w:t>2020</w:t>
      </w:r>
      <w:r>
        <w:rPr>
          <w:rFonts w:hint="eastAsia"/>
        </w:rPr>
        <w:t>年度公务车运行维护费</w:t>
      </w:r>
      <w:r>
        <w:rPr>
          <w:rFonts w:hint="eastAsia"/>
        </w:rPr>
        <w:t>26.49</w:t>
      </w:r>
      <w:r>
        <w:rPr>
          <w:rFonts w:hint="eastAsia"/>
        </w:rPr>
        <w:t>万元，主要用于机要文件交换、市内因公出行、财政业务检查等工作所需车辆的燃料费、维修费、过桥过路费、保险费等。费用支出较上年支出数减少</w:t>
      </w:r>
      <w:r>
        <w:rPr>
          <w:rFonts w:hint="eastAsia"/>
        </w:rPr>
        <w:t>3.75</w:t>
      </w:r>
      <w:r>
        <w:rPr>
          <w:rFonts w:hint="eastAsia"/>
        </w:rPr>
        <w:t>万元，下降</w:t>
      </w:r>
      <w:r>
        <w:rPr>
          <w:rFonts w:hint="eastAsia"/>
        </w:rPr>
        <w:t>12.4%</w:t>
      </w:r>
      <w:r>
        <w:rPr>
          <w:rFonts w:hint="eastAsia"/>
        </w:rPr>
        <w:t>，较年初预算数减少</w:t>
      </w:r>
      <w:r>
        <w:rPr>
          <w:rFonts w:hint="eastAsia"/>
        </w:rPr>
        <w:t>7.81</w:t>
      </w:r>
      <w:r>
        <w:rPr>
          <w:rFonts w:hint="eastAsia"/>
        </w:rPr>
        <w:t>万元，下降</w:t>
      </w:r>
      <w:r>
        <w:rPr>
          <w:rFonts w:hint="eastAsia"/>
        </w:rPr>
        <w:t>22.77%</w:t>
      </w:r>
      <w:r>
        <w:rPr>
          <w:rFonts w:hint="eastAsia"/>
        </w:rPr>
        <w:t>，较上年支出数和年初预算数减少的主要原因是严格落实公车使用规定，公车运行维护成本大幅下降。</w:t>
      </w:r>
    </w:p>
    <w:p w:rsidR="00336475" w:rsidRDefault="00BE0E47">
      <w:pPr>
        <w:pStyle w:val="a8"/>
        <w:spacing w:line="552" w:lineRule="exact"/>
      </w:pPr>
      <w:r>
        <w:rPr>
          <w:rFonts w:hint="eastAsia"/>
        </w:rPr>
        <w:t>2020</w:t>
      </w:r>
      <w:r>
        <w:rPr>
          <w:rFonts w:hint="eastAsia"/>
        </w:rPr>
        <w:t>年度公务接待费</w:t>
      </w:r>
      <w:r>
        <w:rPr>
          <w:rFonts w:hint="eastAsia"/>
        </w:rPr>
        <w:t>6.53</w:t>
      </w:r>
      <w:r>
        <w:rPr>
          <w:rFonts w:hint="eastAsia"/>
        </w:rPr>
        <w:t>万元，主要用于接待其他单位到我单位学习调研农业产业发展工作，接受相关部门检查指导工作发生的接待支出。费用支出较年初预算数减少</w:t>
      </w:r>
      <w:r>
        <w:rPr>
          <w:rFonts w:hint="eastAsia"/>
        </w:rPr>
        <w:t>10.47</w:t>
      </w:r>
      <w:r>
        <w:rPr>
          <w:rFonts w:hint="eastAsia"/>
        </w:rPr>
        <w:t>万元，下降</w:t>
      </w:r>
      <w:r>
        <w:rPr>
          <w:rFonts w:hint="eastAsia"/>
        </w:rPr>
        <w:t>61.59%</w:t>
      </w:r>
      <w:r>
        <w:rPr>
          <w:rFonts w:hint="eastAsia"/>
        </w:rPr>
        <w:t>，较上年支出数减少</w:t>
      </w:r>
      <w:r>
        <w:rPr>
          <w:rFonts w:hint="eastAsia"/>
        </w:rPr>
        <w:t>6.04</w:t>
      </w:r>
      <w:r>
        <w:rPr>
          <w:rFonts w:hint="eastAsia"/>
        </w:rPr>
        <w:t>万元，减少</w:t>
      </w:r>
      <w:r>
        <w:rPr>
          <w:rFonts w:hint="eastAsia"/>
        </w:rPr>
        <w:t>48.05%</w:t>
      </w:r>
      <w:r>
        <w:rPr>
          <w:rFonts w:hint="eastAsia"/>
        </w:rPr>
        <w:t>。主要原因是我委认真贯彻落实</w:t>
      </w:r>
      <w:r w:rsidR="002F7357">
        <w:rPr>
          <w:rFonts w:hint="eastAsia"/>
        </w:rPr>
        <w:t>中央八项规定精神</w:t>
      </w:r>
      <w:r>
        <w:rPr>
          <w:rFonts w:hint="eastAsia"/>
        </w:rPr>
        <w:t>和过紧日子要求，从严控制陪餐人数和接待标准。</w:t>
      </w:r>
    </w:p>
    <w:p w:rsidR="00336475" w:rsidRDefault="00BE0E47">
      <w:pPr>
        <w:pStyle w:val="a8"/>
        <w:spacing w:line="552" w:lineRule="exact"/>
        <w:rPr>
          <w:rFonts w:ascii="方正楷体_GBK" w:eastAsia="方正楷体_GBK" w:hAnsi="方正楷体_GBK" w:cs="方正楷体_GBK"/>
        </w:rPr>
      </w:pPr>
      <w:r>
        <w:rPr>
          <w:rFonts w:ascii="方正楷体_GBK" w:eastAsia="方正楷体_GBK" w:hAnsi="方正楷体_GBK" w:cs="方正楷体_GBK" w:hint="eastAsia"/>
        </w:rPr>
        <w:t>（二）“三公”经费实物量情况</w:t>
      </w:r>
    </w:p>
    <w:p w:rsidR="00336475" w:rsidRDefault="00BE0E47">
      <w:pPr>
        <w:pStyle w:val="a8"/>
        <w:spacing w:line="552" w:lineRule="exact"/>
      </w:pPr>
      <w:r>
        <w:rPr>
          <w:rFonts w:hint="eastAsia"/>
        </w:rPr>
        <w:t>2020</w:t>
      </w:r>
      <w:r>
        <w:rPr>
          <w:rFonts w:hint="eastAsia"/>
        </w:rPr>
        <w:t>年度本部门因公出国（境）共计</w:t>
      </w:r>
      <w:r>
        <w:rPr>
          <w:rFonts w:hint="eastAsia"/>
        </w:rPr>
        <w:t>0</w:t>
      </w:r>
      <w:r>
        <w:rPr>
          <w:rFonts w:hint="eastAsia"/>
        </w:rPr>
        <w:t>个团组；公务用车购</w:t>
      </w:r>
      <w:r>
        <w:rPr>
          <w:rFonts w:hint="eastAsia"/>
        </w:rPr>
        <w:lastRenderedPageBreak/>
        <w:t>置</w:t>
      </w:r>
      <w:r>
        <w:rPr>
          <w:rFonts w:hint="eastAsia"/>
        </w:rPr>
        <w:t>0</w:t>
      </w:r>
      <w:r>
        <w:rPr>
          <w:rFonts w:hint="eastAsia"/>
        </w:rPr>
        <w:t>辆，公务车保有量为</w:t>
      </w:r>
      <w:r>
        <w:rPr>
          <w:rFonts w:hint="eastAsia"/>
        </w:rPr>
        <w:t>6</w:t>
      </w:r>
      <w:r>
        <w:rPr>
          <w:rFonts w:hint="eastAsia"/>
        </w:rPr>
        <w:t>辆；国内公务接待</w:t>
      </w:r>
      <w:r>
        <w:rPr>
          <w:rFonts w:hint="eastAsia"/>
        </w:rPr>
        <w:t>100</w:t>
      </w:r>
      <w:r>
        <w:rPr>
          <w:rFonts w:hint="eastAsia"/>
        </w:rPr>
        <w:t>批次</w:t>
      </w:r>
      <w:r>
        <w:rPr>
          <w:rFonts w:hint="eastAsia"/>
        </w:rPr>
        <w:t>900</w:t>
      </w:r>
      <w:r>
        <w:rPr>
          <w:rFonts w:hint="eastAsia"/>
        </w:rPr>
        <w:t>人，其中：国内外事接待</w:t>
      </w:r>
      <w:r>
        <w:rPr>
          <w:rFonts w:hint="eastAsia"/>
        </w:rPr>
        <w:t>0</w:t>
      </w:r>
      <w:r>
        <w:rPr>
          <w:rFonts w:hint="eastAsia"/>
        </w:rPr>
        <w:t>批次，</w:t>
      </w:r>
      <w:r>
        <w:rPr>
          <w:rFonts w:hint="eastAsia"/>
        </w:rPr>
        <w:t>0</w:t>
      </w:r>
      <w:r>
        <w:rPr>
          <w:rFonts w:hint="eastAsia"/>
        </w:rPr>
        <w:t>人；国（境）外公务接待</w:t>
      </w:r>
      <w:r>
        <w:rPr>
          <w:rFonts w:hint="eastAsia"/>
        </w:rPr>
        <w:t>0</w:t>
      </w:r>
      <w:r>
        <w:rPr>
          <w:rFonts w:hint="eastAsia"/>
        </w:rPr>
        <w:t>批次，</w:t>
      </w:r>
      <w:r>
        <w:rPr>
          <w:rFonts w:hint="eastAsia"/>
        </w:rPr>
        <w:t>0</w:t>
      </w:r>
      <w:r>
        <w:rPr>
          <w:rFonts w:hint="eastAsia"/>
        </w:rPr>
        <w:t>人。</w:t>
      </w:r>
      <w:r>
        <w:rPr>
          <w:rFonts w:hint="eastAsia"/>
        </w:rPr>
        <w:t>2019</w:t>
      </w:r>
      <w:r>
        <w:rPr>
          <w:rFonts w:hint="eastAsia"/>
        </w:rPr>
        <w:t>年本部门人均接待费</w:t>
      </w:r>
      <w:r>
        <w:rPr>
          <w:rFonts w:hint="eastAsia"/>
        </w:rPr>
        <w:t>72.56</w:t>
      </w:r>
      <w:r>
        <w:rPr>
          <w:rFonts w:hint="eastAsia"/>
        </w:rPr>
        <w:t>元，车均购置费</w:t>
      </w:r>
      <w:r>
        <w:rPr>
          <w:rFonts w:hint="eastAsia"/>
        </w:rPr>
        <w:t>0.00</w:t>
      </w:r>
      <w:r>
        <w:rPr>
          <w:rFonts w:hint="eastAsia"/>
        </w:rPr>
        <w:t>万元，车均维护费</w:t>
      </w:r>
      <w:r>
        <w:rPr>
          <w:rFonts w:hint="eastAsia"/>
        </w:rPr>
        <w:t>4.42</w:t>
      </w:r>
      <w:r>
        <w:rPr>
          <w:rFonts w:hint="eastAsia"/>
        </w:rPr>
        <w:t>万元。</w:t>
      </w:r>
    </w:p>
    <w:p w:rsidR="00336475" w:rsidRDefault="00BE0E47">
      <w:pPr>
        <w:pStyle w:val="a8"/>
        <w:spacing w:line="552" w:lineRule="exact"/>
        <w:rPr>
          <w:rFonts w:ascii="方正黑体_GBK" w:eastAsia="方正黑体_GBK" w:hAnsi="方正黑体_GBK" w:cs="方正黑体_GBK"/>
        </w:rPr>
      </w:pPr>
      <w:r>
        <w:rPr>
          <w:rFonts w:ascii="方正黑体_GBK" w:eastAsia="方正黑体_GBK" w:hAnsi="方正黑体_GBK" w:cs="方正黑体_GBK" w:hint="eastAsia"/>
        </w:rPr>
        <w:t>四、其他需要说明的事项</w:t>
      </w:r>
    </w:p>
    <w:p w:rsidR="00336475" w:rsidRDefault="00BE0E47">
      <w:pPr>
        <w:pStyle w:val="a8"/>
        <w:spacing w:line="552" w:lineRule="exact"/>
        <w:rPr>
          <w:rFonts w:ascii="方正楷体_GBK" w:eastAsia="方正楷体_GBK" w:hAnsi="方正楷体_GBK" w:cs="方正楷体_GBK"/>
        </w:rPr>
      </w:pPr>
      <w:r>
        <w:rPr>
          <w:rFonts w:ascii="方正楷体_GBK" w:eastAsia="方正楷体_GBK" w:hAnsi="方正楷体_GBK" w:cs="方正楷体_GBK" w:hint="eastAsia"/>
        </w:rPr>
        <w:t>（一）机关运行经费情况说明。</w:t>
      </w:r>
    </w:p>
    <w:p w:rsidR="00336475" w:rsidRDefault="00BE0E47">
      <w:pPr>
        <w:pStyle w:val="a8"/>
        <w:spacing w:line="552" w:lineRule="exact"/>
      </w:pPr>
      <w:r>
        <w:rPr>
          <w:rFonts w:hint="eastAsia"/>
        </w:rPr>
        <w:t>2020</w:t>
      </w:r>
      <w:r>
        <w:rPr>
          <w:rFonts w:hint="eastAsia"/>
        </w:rPr>
        <w:t>年度本部门机关运行经费支出</w:t>
      </w:r>
      <w:r>
        <w:rPr>
          <w:rFonts w:hint="eastAsia"/>
        </w:rPr>
        <w:t>189.72</w:t>
      </w:r>
      <w:r>
        <w:rPr>
          <w:rFonts w:hint="eastAsia"/>
        </w:rPr>
        <w:t>万元，比</w:t>
      </w:r>
      <w:r>
        <w:rPr>
          <w:rFonts w:hint="eastAsia"/>
        </w:rPr>
        <w:t>2019</w:t>
      </w:r>
      <w:r>
        <w:rPr>
          <w:rFonts w:hint="eastAsia"/>
        </w:rPr>
        <w:t>年度减少</w:t>
      </w:r>
      <w:r>
        <w:rPr>
          <w:rFonts w:hint="eastAsia"/>
        </w:rPr>
        <w:t>68.74</w:t>
      </w:r>
      <w:r>
        <w:rPr>
          <w:rFonts w:hint="eastAsia"/>
        </w:rPr>
        <w:t>万元，降低</w:t>
      </w:r>
      <w:r>
        <w:rPr>
          <w:rFonts w:hint="eastAsia"/>
        </w:rPr>
        <w:t>26.6%</w:t>
      </w:r>
      <w:r>
        <w:rPr>
          <w:rFonts w:hint="eastAsia"/>
        </w:rPr>
        <w:t>，主要原因是本年度严格落实过紧日子精神，全面压减各项支出。比年初预算数增加</w:t>
      </w:r>
      <w:r>
        <w:rPr>
          <w:rFonts w:hint="eastAsia"/>
        </w:rPr>
        <w:t>45.89</w:t>
      </w:r>
      <w:r>
        <w:rPr>
          <w:rFonts w:hint="eastAsia"/>
        </w:rPr>
        <w:t>万元，增长</w:t>
      </w:r>
      <w:r>
        <w:rPr>
          <w:rFonts w:hint="eastAsia"/>
        </w:rPr>
        <w:t>24.19%</w:t>
      </w:r>
      <w:r>
        <w:rPr>
          <w:rFonts w:hint="eastAsia"/>
        </w:rPr>
        <w:t>，主要原因是年中调整预算，追加定额公用经费。机关运动经费主要用于开支差旅费、公务用车运行维护费、办公费、其他交通费用、公务接待费、水电费、物业管理费等。</w:t>
      </w:r>
    </w:p>
    <w:p w:rsidR="00336475" w:rsidRDefault="00BE0E47">
      <w:pPr>
        <w:pStyle w:val="a8"/>
        <w:spacing w:line="552" w:lineRule="exact"/>
        <w:rPr>
          <w:rFonts w:ascii="方正楷体_GBK" w:eastAsia="方正楷体_GBK" w:hAnsi="方正楷体_GBK" w:cs="方正楷体_GBK"/>
        </w:rPr>
      </w:pPr>
      <w:r>
        <w:rPr>
          <w:rFonts w:ascii="方正楷体_GBK" w:eastAsia="方正楷体_GBK" w:hAnsi="方正楷体_GBK" w:cs="方正楷体_GBK" w:hint="eastAsia"/>
        </w:rPr>
        <w:t>（二）国有资产占用情况说明</w:t>
      </w:r>
    </w:p>
    <w:p w:rsidR="00336475" w:rsidRDefault="00BE0E47">
      <w:pPr>
        <w:pStyle w:val="a8"/>
        <w:spacing w:line="552" w:lineRule="exact"/>
      </w:pPr>
      <w:r>
        <w:rPr>
          <w:rFonts w:hint="eastAsia"/>
        </w:rPr>
        <w:t>截至</w:t>
      </w:r>
      <w:r>
        <w:rPr>
          <w:rFonts w:hint="eastAsia"/>
        </w:rPr>
        <w:t>2020</w:t>
      </w:r>
      <w:r>
        <w:rPr>
          <w:rFonts w:hint="eastAsia"/>
        </w:rPr>
        <w:t>年</w:t>
      </w:r>
      <w:r>
        <w:rPr>
          <w:rFonts w:hint="eastAsia"/>
        </w:rPr>
        <w:t>12</w:t>
      </w:r>
      <w:r>
        <w:rPr>
          <w:rFonts w:hint="eastAsia"/>
        </w:rPr>
        <w:t>月</w:t>
      </w:r>
      <w:r>
        <w:rPr>
          <w:rFonts w:hint="eastAsia"/>
        </w:rPr>
        <w:t>31</w:t>
      </w:r>
      <w:r>
        <w:rPr>
          <w:rFonts w:hint="eastAsia"/>
        </w:rPr>
        <w:t>日，本部门共有车辆</w:t>
      </w:r>
      <w:r>
        <w:rPr>
          <w:rFonts w:hint="eastAsia"/>
        </w:rPr>
        <w:t>6</w:t>
      </w:r>
      <w:r>
        <w:rPr>
          <w:rFonts w:hint="eastAsia"/>
        </w:rPr>
        <w:t>辆。其中：机要通信用车</w:t>
      </w:r>
      <w:r>
        <w:rPr>
          <w:rFonts w:hint="eastAsia"/>
        </w:rPr>
        <w:t>1</w:t>
      </w:r>
      <w:r>
        <w:rPr>
          <w:rFonts w:hint="eastAsia"/>
        </w:rPr>
        <w:t>辆，执法执勤用车</w:t>
      </w:r>
      <w:r>
        <w:rPr>
          <w:rFonts w:hint="eastAsia"/>
        </w:rPr>
        <w:t>5</w:t>
      </w:r>
      <w:r>
        <w:rPr>
          <w:rFonts w:hint="eastAsia"/>
        </w:rPr>
        <w:t>辆。单价</w:t>
      </w:r>
      <w:r>
        <w:rPr>
          <w:rFonts w:hint="eastAsia"/>
        </w:rPr>
        <w:t>100</w:t>
      </w:r>
      <w:r>
        <w:rPr>
          <w:rFonts w:hint="eastAsia"/>
        </w:rPr>
        <w:t>万元（含）以上通用设备</w:t>
      </w:r>
      <w:r>
        <w:rPr>
          <w:rFonts w:hint="eastAsia"/>
        </w:rPr>
        <w:t>0</w:t>
      </w:r>
      <w:r>
        <w:rPr>
          <w:rFonts w:hint="eastAsia"/>
        </w:rPr>
        <w:t>台（套）。</w:t>
      </w:r>
    </w:p>
    <w:p w:rsidR="00336475" w:rsidRDefault="00BE0E47">
      <w:pPr>
        <w:pStyle w:val="a8"/>
        <w:spacing w:line="552" w:lineRule="exact"/>
        <w:rPr>
          <w:rFonts w:ascii="方正楷体_GBK" w:eastAsia="方正楷体_GBK" w:hAnsi="方正楷体_GBK" w:cs="方正楷体_GBK"/>
        </w:rPr>
      </w:pPr>
      <w:r>
        <w:rPr>
          <w:rFonts w:ascii="方正楷体_GBK" w:eastAsia="方正楷体_GBK" w:hAnsi="方正楷体_GBK" w:cs="方正楷体_GBK" w:hint="eastAsia"/>
        </w:rPr>
        <w:t>（三）政府采购支出情况说明</w:t>
      </w:r>
    </w:p>
    <w:p w:rsidR="00336475" w:rsidRDefault="00BE0E47">
      <w:pPr>
        <w:pStyle w:val="a8"/>
        <w:spacing w:line="552" w:lineRule="exact"/>
      </w:pPr>
      <w:r>
        <w:rPr>
          <w:rFonts w:hint="eastAsia"/>
        </w:rPr>
        <w:t>2020</w:t>
      </w:r>
      <w:r>
        <w:rPr>
          <w:rFonts w:hint="eastAsia"/>
        </w:rPr>
        <w:t>年度本部门政府采购支出总额</w:t>
      </w:r>
      <w:r>
        <w:rPr>
          <w:rFonts w:hint="eastAsia"/>
        </w:rPr>
        <w:t>611.49</w:t>
      </w:r>
      <w:r>
        <w:rPr>
          <w:rFonts w:hint="eastAsia"/>
        </w:rPr>
        <w:t>万元，其中：政府采购货物支出</w:t>
      </w:r>
      <w:r>
        <w:rPr>
          <w:rFonts w:hint="eastAsia"/>
        </w:rPr>
        <w:t>149.29</w:t>
      </w:r>
      <w:r>
        <w:rPr>
          <w:rFonts w:hint="eastAsia"/>
        </w:rPr>
        <w:t>万元、政府采购工程支出</w:t>
      </w:r>
      <w:r>
        <w:rPr>
          <w:rFonts w:hint="eastAsia"/>
        </w:rPr>
        <w:t>462.2</w:t>
      </w:r>
      <w:r>
        <w:rPr>
          <w:rFonts w:hint="eastAsia"/>
        </w:rPr>
        <w:t>万元、政府采购服务支出</w:t>
      </w:r>
      <w:r>
        <w:rPr>
          <w:rFonts w:hint="eastAsia"/>
        </w:rPr>
        <w:t>0</w:t>
      </w:r>
      <w:r>
        <w:rPr>
          <w:rFonts w:hint="eastAsia"/>
        </w:rPr>
        <w:t>万元。授予中小企业合同金额</w:t>
      </w:r>
      <w:r>
        <w:rPr>
          <w:rFonts w:hint="eastAsia"/>
        </w:rPr>
        <w:t>608.49</w:t>
      </w:r>
      <w:r>
        <w:rPr>
          <w:rFonts w:hint="eastAsia"/>
        </w:rPr>
        <w:t>万元，占政府采购支出总额的</w:t>
      </w:r>
      <w:r>
        <w:rPr>
          <w:rFonts w:hint="eastAsia"/>
        </w:rPr>
        <w:t>99.5%</w:t>
      </w:r>
      <w:r>
        <w:rPr>
          <w:rFonts w:hint="eastAsia"/>
        </w:rPr>
        <w:t>，其中：授予小微企业合同金额</w:t>
      </w:r>
      <w:r>
        <w:rPr>
          <w:rFonts w:hint="eastAsia"/>
        </w:rPr>
        <w:t>525.19</w:t>
      </w:r>
      <w:r>
        <w:rPr>
          <w:rFonts w:hint="eastAsia"/>
        </w:rPr>
        <w:t>万元，占政府采购支出总额的</w:t>
      </w:r>
      <w:r>
        <w:rPr>
          <w:rFonts w:hint="eastAsia"/>
        </w:rPr>
        <w:t>85.89%</w:t>
      </w:r>
      <w:r>
        <w:rPr>
          <w:rFonts w:hint="eastAsia"/>
        </w:rPr>
        <w:t>。</w:t>
      </w:r>
      <w:r>
        <w:rPr>
          <w:rFonts w:hint="eastAsia"/>
        </w:rPr>
        <w:t xml:space="preserve">   </w:t>
      </w:r>
    </w:p>
    <w:p w:rsidR="00336475" w:rsidRDefault="00BE0E47">
      <w:pPr>
        <w:pStyle w:val="a8"/>
        <w:spacing w:line="552" w:lineRule="exact"/>
        <w:rPr>
          <w:rFonts w:ascii="方正黑体_GBK" w:eastAsia="方正黑体_GBK" w:hAnsi="方正黑体_GBK" w:cs="方正黑体_GBK"/>
        </w:rPr>
      </w:pPr>
      <w:r>
        <w:rPr>
          <w:rFonts w:ascii="方正黑体_GBK" w:eastAsia="方正黑体_GBK" w:hAnsi="方正黑体_GBK" w:cs="方正黑体_GBK" w:hint="eastAsia"/>
        </w:rPr>
        <w:t>五、预算绩效管理情况说明</w:t>
      </w:r>
    </w:p>
    <w:p w:rsidR="00336475" w:rsidRDefault="00BE0E47">
      <w:pPr>
        <w:pStyle w:val="a8"/>
        <w:spacing w:line="552" w:lineRule="exact"/>
        <w:rPr>
          <w:rFonts w:ascii="方正楷体_GBK" w:eastAsia="方正楷体_GBK" w:hAnsi="方正楷体_GBK" w:cs="方正楷体_GBK"/>
        </w:rPr>
      </w:pPr>
      <w:r>
        <w:rPr>
          <w:rFonts w:ascii="方正楷体_GBK" w:eastAsia="方正楷体_GBK" w:hAnsi="方正楷体_GBK" w:cs="方正楷体_GBK" w:hint="eastAsia"/>
        </w:rPr>
        <w:lastRenderedPageBreak/>
        <w:t>（一）预算绩效管理工作开展情况</w:t>
      </w:r>
    </w:p>
    <w:p w:rsidR="00336475" w:rsidRDefault="00BE0E47">
      <w:pPr>
        <w:pStyle w:val="a8"/>
        <w:spacing w:line="552" w:lineRule="exact"/>
      </w:pPr>
      <w:r>
        <w:rPr>
          <w:rFonts w:hint="eastAsia"/>
        </w:rPr>
        <w:t>根据预算绩效管理要求，我委对</w:t>
      </w:r>
      <w:r>
        <w:rPr>
          <w:rFonts w:hint="eastAsia"/>
        </w:rPr>
        <w:t>8</w:t>
      </w:r>
      <w:r>
        <w:rPr>
          <w:rFonts w:hint="eastAsia"/>
        </w:rPr>
        <w:t>个项目开展了绩效自评，其中，以填报目标自评表形式开展自评</w:t>
      </w:r>
      <w:r>
        <w:rPr>
          <w:rFonts w:hint="eastAsia"/>
        </w:rPr>
        <w:t>8</w:t>
      </w:r>
      <w:r>
        <w:rPr>
          <w:rFonts w:hint="eastAsia"/>
        </w:rPr>
        <w:t>项，涉及资金</w:t>
      </w:r>
      <w:r>
        <w:rPr>
          <w:rFonts w:hint="eastAsia"/>
        </w:rPr>
        <w:t>5060</w:t>
      </w:r>
      <w:r>
        <w:rPr>
          <w:rFonts w:hint="eastAsia"/>
        </w:rPr>
        <w:t>万元；从评价情况来看，项目有序开展，执行和完成情况较好，资金使用规范，对延续性项目后期监管需进一步加强。</w:t>
      </w:r>
    </w:p>
    <w:p w:rsidR="00336475" w:rsidRDefault="00BE0E47">
      <w:pPr>
        <w:pStyle w:val="a8"/>
        <w:spacing w:line="552" w:lineRule="exact"/>
        <w:rPr>
          <w:rFonts w:ascii="方正楷体_GBK" w:eastAsia="方正楷体_GBK" w:hAnsi="方正楷体_GBK" w:cs="方正楷体_GBK"/>
        </w:rPr>
      </w:pPr>
      <w:r>
        <w:rPr>
          <w:rFonts w:ascii="方正楷体_GBK" w:eastAsia="方正楷体_GBK" w:hAnsi="方正楷体_GBK" w:cs="方正楷体_GBK" w:hint="eastAsia"/>
        </w:rPr>
        <w:t>（二）绩效自评结果</w:t>
      </w:r>
    </w:p>
    <w:p w:rsidR="00336475" w:rsidRDefault="00BE0E47" w:rsidP="00B16F32">
      <w:pPr>
        <w:pStyle w:val="a8"/>
        <w:spacing w:line="552" w:lineRule="exact"/>
      </w:pPr>
      <w:r>
        <w:rPr>
          <w:rFonts w:hint="eastAsia"/>
          <w:b/>
          <w:bCs/>
        </w:rPr>
        <w:t>1.</w:t>
      </w:r>
      <w:r>
        <w:rPr>
          <w:rFonts w:hint="eastAsia"/>
          <w:b/>
          <w:bCs/>
        </w:rPr>
        <w:t>绩效目标自评表</w:t>
      </w:r>
    </w:p>
    <w:p w:rsidR="00336475" w:rsidRDefault="00BE0E47">
      <w:pPr>
        <w:pStyle w:val="a8"/>
        <w:spacing w:line="552" w:lineRule="exact"/>
      </w:pPr>
      <w:r>
        <w:rPr>
          <w:rFonts w:hint="eastAsia"/>
        </w:rPr>
        <w:t>城口县集体经济试点项目绩效目标自评综述：根据年初设定的绩效目标，项目总体完成情况较好。项目全年预算数为</w:t>
      </w:r>
      <w:r>
        <w:rPr>
          <w:rFonts w:hint="eastAsia"/>
        </w:rPr>
        <w:t>550</w:t>
      </w:r>
      <w:r>
        <w:rPr>
          <w:rFonts w:hint="eastAsia"/>
        </w:rPr>
        <w:t>万元，执行数为</w:t>
      </w:r>
      <w:r>
        <w:rPr>
          <w:rFonts w:hint="eastAsia"/>
        </w:rPr>
        <w:t>550</w:t>
      </w:r>
      <w:r>
        <w:rPr>
          <w:rFonts w:hint="eastAsia"/>
        </w:rPr>
        <w:t>万元，完成预算的</w:t>
      </w:r>
      <w:r>
        <w:rPr>
          <w:rFonts w:hint="eastAsia"/>
        </w:rPr>
        <w:t>100%</w:t>
      </w:r>
      <w:r>
        <w:rPr>
          <w:rFonts w:hint="eastAsia"/>
        </w:rPr>
        <w:t>。主要产出和效果：一是安排试点村个数</w:t>
      </w:r>
      <w:r>
        <w:rPr>
          <w:rFonts w:hint="eastAsia"/>
        </w:rPr>
        <w:t>11</w:t>
      </w:r>
      <w:r>
        <w:rPr>
          <w:rFonts w:hint="eastAsia"/>
        </w:rPr>
        <w:t>个，二是组建村集体经济组织，消除“空壳村”</w:t>
      </w:r>
      <w:r>
        <w:rPr>
          <w:rFonts w:hint="eastAsia"/>
        </w:rPr>
        <w:t>11</w:t>
      </w:r>
      <w:r>
        <w:rPr>
          <w:rFonts w:hint="eastAsia"/>
        </w:rPr>
        <w:t>个，三是资产股权年收益率达到</w:t>
      </w:r>
      <w:r>
        <w:rPr>
          <w:rFonts w:hint="eastAsia"/>
        </w:rPr>
        <w:t>6%</w:t>
      </w:r>
      <w:r>
        <w:rPr>
          <w:rFonts w:hint="eastAsia"/>
        </w:rPr>
        <w:t>，四是资产入股贫困人口满意度达到</w:t>
      </w:r>
      <w:r>
        <w:rPr>
          <w:rFonts w:hint="eastAsia"/>
        </w:rPr>
        <w:t>95%</w:t>
      </w:r>
      <w:r>
        <w:rPr>
          <w:rFonts w:hint="eastAsia"/>
        </w:rPr>
        <w:t>。</w:t>
      </w:r>
    </w:p>
    <w:p w:rsidR="00336475" w:rsidRDefault="00BE0E47">
      <w:r>
        <w:rPr>
          <w:rFonts w:hint="eastAsia"/>
        </w:rPr>
        <w:br w:type="page"/>
      </w:r>
    </w:p>
    <w:p w:rsidR="00336475" w:rsidRDefault="00BE0E47">
      <w:pPr>
        <w:pStyle w:val="ad"/>
        <w:tabs>
          <w:tab w:val="center" w:pos="4153"/>
          <w:tab w:val="left" w:pos="7275"/>
        </w:tabs>
        <w:spacing w:line="600" w:lineRule="exact"/>
        <w:ind w:firstLineChars="0" w:firstLine="0"/>
        <w:jc w:val="center"/>
        <w:rPr>
          <w:rFonts w:eastAsia="方正仿宋_GBK" w:cs="宋体"/>
          <w:kern w:val="0"/>
          <w:sz w:val="32"/>
          <w:szCs w:val="32"/>
        </w:rPr>
      </w:pPr>
      <w:r>
        <w:rPr>
          <w:rFonts w:eastAsia="方正小标宋_GBK" w:cs="宋体" w:hint="eastAsia"/>
          <w:color w:val="000000"/>
          <w:kern w:val="0"/>
          <w:sz w:val="36"/>
          <w:szCs w:val="36"/>
        </w:rPr>
        <w:lastRenderedPageBreak/>
        <w:t>部门整体绩效自评表</w:t>
      </w:r>
    </w:p>
    <w:tbl>
      <w:tblPr>
        <w:tblW w:w="9993" w:type="dxa"/>
        <w:tblInd w:w="-318" w:type="dxa"/>
        <w:tblLook w:val="04A0"/>
      </w:tblPr>
      <w:tblGrid>
        <w:gridCol w:w="953"/>
        <w:gridCol w:w="732"/>
        <w:gridCol w:w="347"/>
        <w:gridCol w:w="256"/>
        <w:gridCol w:w="102"/>
        <w:gridCol w:w="749"/>
        <w:gridCol w:w="706"/>
        <w:gridCol w:w="346"/>
        <w:gridCol w:w="460"/>
        <w:gridCol w:w="255"/>
        <w:gridCol w:w="462"/>
        <w:gridCol w:w="89"/>
        <w:gridCol w:w="929"/>
        <w:gridCol w:w="1405"/>
        <w:gridCol w:w="91"/>
        <w:gridCol w:w="968"/>
        <w:gridCol w:w="1203"/>
      </w:tblGrid>
      <w:tr w:rsidR="00336475">
        <w:trPr>
          <w:trHeight w:val="575"/>
        </w:trPr>
        <w:tc>
          <w:tcPr>
            <w:tcW w:w="953" w:type="dxa"/>
            <w:vMerge w:val="restart"/>
            <w:tcBorders>
              <w:top w:val="single" w:sz="4" w:space="0" w:color="auto"/>
              <w:left w:val="single" w:sz="4" w:space="0" w:color="auto"/>
              <w:bottom w:val="single" w:sz="4" w:space="0" w:color="000000"/>
              <w:right w:val="single" w:sz="4" w:space="0" w:color="auto"/>
            </w:tcBorders>
            <w:noWrap/>
            <w:vAlign w:val="center"/>
          </w:tcPr>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主管</w:t>
            </w:r>
          </w:p>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部门</w:t>
            </w:r>
          </w:p>
        </w:tc>
        <w:tc>
          <w:tcPr>
            <w:tcW w:w="1335" w:type="dxa"/>
            <w:gridSpan w:val="3"/>
            <w:vMerge w:val="restart"/>
            <w:tcBorders>
              <w:top w:val="single" w:sz="4" w:space="0" w:color="auto"/>
              <w:left w:val="single" w:sz="4" w:space="0" w:color="auto"/>
              <w:bottom w:val="single" w:sz="4" w:space="0" w:color="000000"/>
              <w:right w:val="single" w:sz="4" w:space="0" w:color="000000"/>
            </w:tcBorders>
            <w:noWrap/>
            <w:vAlign w:val="center"/>
          </w:tcPr>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城口县农业农村委员会</w:t>
            </w:r>
          </w:p>
        </w:tc>
        <w:tc>
          <w:tcPr>
            <w:tcW w:w="851" w:type="dxa"/>
            <w:gridSpan w:val="2"/>
            <w:vMerge w:val="restart"/>
            <w:tcBorders>
              <w:top w:val="single" w:sz="4" w:space="0" w:color="auto"/>
              <w:left w:val="single" w:sz="4" w:space="0" w:color="auto"/>
              <w:bottom w:val="single" w:sz="4" w:space="0" w:color="000000"/>
              <w:right w:val="single" w:sz="4" w:space="0" w:color="auto"/>
            </w:tcBorders>
            <w:noWrap/>
            <w:vAlign w:val="center"/>
          </w:tcPr>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财政处室</w:t>
            </w:r>
          </w:p>
        </w:tc>
        <w:tc>
          <w:tcPr>
            <w:tcW w:w="1029" w:type="dxa"/>
            <w:gridSpan w:val="2"/>
            <w:vMerge w:val="restart"/>
            <w:tcBorders>
              <w:top w:val="single" w:sz="4" w:space="0" w:color="auto"/>
              <w:left w:val="single" w:sz="4" w:space="0" w:color="auto"/>
              <w:bottom w:val="single" w:sz="4" w:space="0" w:color="000000"/>
              <w:right w:val="single" w:sz="4" w:space="0" w:color="000000"/>
            </w:tcBorders>
            <w:noWrap/>
            <w:vAlign w:val="center"/>
          </w:tcPr>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农业农村和产业发展科</w:t>
            </w:r>
          </w:p>
        </w:tc>
        <w:tc>
          <w:tcPr>
            <w:tcW w:w="1141" w:type="dxa"/>
            <w:gridSpan w:val="3"/>
            <w:tcBorders>
              <w:top w:val="single" w:sz="4" w:space="0" w:color="auto"/>
              <w:left w:val="nil"/>
              <w:bottom w:val="single" w:sz="4" w:space="0" w:color="auto"/>
              <w:right w:val="single" w:sz="4" w:space="0" w:color="auto"/>
            </w:tcBorders>
            <w:noWrap/>
            <w:vAlign w:val="center"/>
          </w:tcPr>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自评总分（分）</w:t>
            </w:r>
          </w:p>
        </w:tc>
        <w:tc>
          <w:tcPr>
            <w:tcW w:w="4684" w:type="dxa"/>
            <w:gridSpan w:val="6"/>
            <w:tcBorders>
              <w:top w:val="single" w:sz="4" w:space="0" w:color="auto"/>
              <w:left w:val="nil"/>
              <w:bottom w:val="single" w:sz="4" w:space="0" w:color="auto"/>
              <w:right w:val="single" w:sz="4" w:space="0" w:color="000000"/>
            </w:tcBorders>
            <w:noWrap/>
            <w:vAlign w:val="center"/>
          </w:tcPr>
          <w:p w:rsidR="00336475" w:rsidRDefault="00BE0E47">
            <w:pPr>
              <w:widowControl/>
              <w:spacing w:line="300" w:lineRule="exact"/>
              <w:jc w:val="both"/>
              <w:rPr>
                <w:rFonts w:cs="宋体"/>
                <w:color w:val="000000"/>
                <w:kern w:val="0"/>
                <w:sz w:val="24"/>
                <w:szCs w:val="24"/>
              </w:rPr>
            </w:pPr>
            <w:r>
              <w:rPr>
                <w:rFonts w:cs="宋体" w:hint="eastAsia"/>
                <w:color w:val="000000"/>
                <w:kern w:val="0"/>
                <w:sz w:val="24"/>
                <w:szCs w:val="24"/>
              </w:rPr>
              <w:t>98</w:t>
            </w:r>
          </w:p>
        </w:tc>
      </w:tr>
      <w:tr w:rsidR="00336475">
        <w:trPr>
          <w:trHeight w:val="575"/>
        </w:trPr>
        <w:tc>
          <w:tcPr>
            <w:tcW w:w="953" w:type="dxa"/>
            <w:vMerge/>
            <w:tcBorders>
              <w:top w:val="single" w:sz="4" w:space="0" w:color="auto"/>
              <w:left w:val="single" w:sz="4" w:space="0" w:color="auto"/>
              <w:bottom w:val="single" w:sz="4" w:space="0" w:color="000000"/>
              <w:right w:val="single" w:sz="4" w:space="0" w:color="auto"/>
            </w:tcBorders>
            <w:noWrap/>
            <w:vAlign w:val="center"/>
          </w:tcPr>
          <w:p w:rsidR="00336475" w:rsidRDefault="00336475">
            <w:pPr>
              <w:widowControl/>
              <w:spacing w:line="300" w:lineRule="exact"/>
              <w:jc w:val="center"/>
              <w:rPr>
                <w:rFonts w:cs="宋体"/>
                <w:color w:val="000000"/>
                <w:kern w:val="0"/>
                <w:sz w:val="24"/>
                <w:szCs w:val="24"/>
              </w:rPr>
            </w:pPr>
          </w:p>
        </w:tc>
        <w:tc>
          <w:tcPr>
            <w:tcW w:w="1335" w:type="dxa"/>
            <w:gridSpan w:val="3"/>
            <w:vMerge/>
            <w:tcBorders>
              <w:top w:val="single" w:sz="4" w:space="0" w:color="auto"/>
              <w:left w:val="single" w:sz="4" w:space="0" w:color="auto"/>
              <w:bottom w:val="single" w:sz="4" w:space="0" w:color="000000"/>
              <w:right w:val="single" w:sz="4" w:space="0" w:color="000000"/>
            </w:tcBorders>
            <w:noWrap/>
            <w:vAlign w:val="center"/>
          </w:tcPr>
          <w:p w:rsidR="00336475" w:rsidRDefault="00336475">
            <w:pPr>
              <w:widowControl/>
              <w:spacing w:line="300" w:lineRule="exact"/>
              <w:jc w:val="center"/>
              <w:rPr>
                <w:rFonts w:cs="宋体"/>
                <w:color w:val="000000"/>
                <w:kern w:val="0"/>
                <w:sz w:val="24"/>
                <w:szCs w:val="24"/>
              </w:rPr>
            </w:pPr>
          </w:p>
        </w:tc>
        <w:tc>
          <w:tcPr>
            <w:tcW w:w="851" w:type="dxa"/>
            <w:gridSpan w:val="2"/>
            <w:vMerge/>
            <w:tcBorders>
              <w:top w:val="single" w:sz="4" w:space="0" w:color="auto"/>
              <w:left w:val="single" w:sz="4" w:space="0" w:color="auto"/>
              <w:bottom w:val="single" w:sz="4" w:space="0" w:color="000000"/>
              <w:right w:val="single" w:sz="4" w:space="0" w:color="auto"/>
            </w:tcBorders>
            <w:noWrap/>
            <w:vAlign w:val="center"/>
          </w:tcPr>
          <w:p w:rsidR="00336475" w:rsidRDefault="00336475">
            <w:pPr>
              <w:widowControl/>
              <w:spacing w:line="300" w:lineRule="exact"/>
              <w:jc w:val="center"/>
              <w:rPr>
                <w:rFonts w:cs="宋体"/>
                <w:color w:val="000000"/>
                <w:kern w:val="0"/>
                <w:sz w:val="24"/>
                <w:szCs w:val="24"/>
              </w:rPr>
            </w:pPr>
          </w:p>
        </w:tc>
        <w:tc>
          <w:tcPr>
            <w:tcW w:w="1029" w:type="dxa"/>
            <w:gridSpan w:val="2"/>
            <w:vMerge/>
            <w:tcBorders>
              <w:top w:val="single" w:sz="4" w:space="0" w:color="auto"/>
              <w:left w:val="single" w:sz="4" w:space="0" w:color="auto"/>
              <w:bottom w:val="single" w:sz="4" w:space="0" w:color="000000"/>
              <w:right w:val="single" w:sz="4" w:space="0" w:color="000000"/>
            </w:tcBorders>
            <w:noWrap/>
            <w:vAlign w:val="center"/>
          </w:tcPr>
          <w:p w:rsidR="00336475" w:rsidRDefault="00336475">
            <w:pPr>
              <w:widowControl/>
              <w:spacing w:line="300" w:lineRule="exact"/>
              <w:jc w:val="center"/>
              <w:rPr>
                <w:rFonts w:cs="宋体"/>
                <w:color w:val="000000"/>
                <w:kern w:val="0"/>
                <w:sz w:val="24"/>
                <w:szCs w:val="24"/>
              </w:rPr>
            </w:pPr>
          </w:p>
        </w:tc>
        <w:tc>
          <w:tcPr>
            <w:tcW w:w="1141" w:type="dxa"/>
            <w:gridSpan w:val="3"/>
            <w:tcBorders>
              <w:top w:val="nil"/>
              <w:left w:val="nil"/>
              <w:bottom w:val="single" w:sz="4" w:space="0" w:color="auto"/>
              <w:right w:val="single" w:sz="4" w:space="0" w:color="auto"/>
            </w:tcBorders>
            <w:noWrap/>
            <w:vAlign w:val="center"/>
          </w:tcPr>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部门</w:t>
            </w:r>
          </w:p>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联系人</w:t>
            </w:r>
          </w:p>
        </w:tc>
        <w:tc>
          <w:tcPr>
            <w:tcW w:w="1017" w:type="dxa"/>
            <w:gridSpan w:val="2"/>
            <w:tcBorders>
              <w:top w:val="nil"/>
              <w:left w:val="nil"/>
              <w:bottom w:val="single" w:sz="4" w:space="0" w:color="auto"/>
              <w:right w:val="single" w:sz="4" w:space="0" w:color="auto"/>
            </w:tcBorders>
            <w:noWrap/>
            <w:vAlign w:val="center"/>
          </w:tcPr>
          <w:p w:rsidR="00336475" w:rsidRDefault="00336475">
            <w:pPr>
              <w:widowControl/>
              <w:spacing w:line="300" w:lineRule="exact"/>
              <w:jc w:val="both"/>
              <w:rPr>
                <w:rFonts w:cs="宋体"/>
                <w:color w:val="000000"/>
                <w:kern w:val="0"/>
                <w:sz w:val="24"/>
                <w:szCs w:val="24"/>
              </w:rPr>
            </w:pPr>
          </w:p>
        </w:tc>
        <w:tc>
          <w:tcPr>
            <w:tcW w:w="1405" w:type="dxa"/>
            <w:tcBorders>
              <w:top w:val="nil"/>
              <w:left w:val="nil"/>
              <w:bottom w:val="single" w:sz="4" w:space="0" w:color="auto"/>
              <w:right w:val="single" w:sz="4" w:space="0" w:color="auto"/>
            </w:tcBorders>
            <w:noWrap/>
            <w:vAlign w:val="center"/>
          </w:tcPr>
          <w:p w:rsidR="00336475" w:rsidRDefault="00BE0E47">
            <w:pPr>
              <w:widowControl/>
              <w:spacing w:line="300" w:lineRule="exact"/>
              <w:jc w:val="both"/>
              <w:rPr>
                <w:rFonts w:cs="宋体"/>
                <w:color w:val="000000"/>
                <w:kern w:val="0"/>
                <w:sz w:val="24"/>
                <w:szCs w:val="24"/>
              </w:rPr>
            </w:pPr>
            <w:r>
              <w:rPr>
                <w:rFonts w:cs="宋体" w:hint="eastAsia"/>
                <w:color w:val="000000"/>
                <w:kern w:val="0"/>
                <w:sz w:val="24"/>
                <w:szCs w:val="24"/>
              </w:rPr>
              <w:t>联系电话</w:t>
            </w:r>
          </w:p>
        </w:tc>
        <w:tc>
          <w:tcPr>
            <w:tcW w:w="2262" w:type="dxa"/>
            <w:gridSpan w:val="3"/>
            <w:tcBorders>
              <w:top w:val="single" w:sz="4" w:space="0" w:color="auto"/>
              <w:left w:val="nil"/>
              <w:bottom w:val="single" w:sz="4" w:space="0" w:color="auto"/>
              <w:right w:val="single" w:sz="4" w:space="0" w:color="000000"/>
            </w:tcBorders>
            <w:noWrap/>
            <w:vAlign w:val="center"/>
          </w:tcPr>
          <w:p w:rsidR="00336475" w:rsidRDefault="00336475">
            <w:pPr>
              <w:widowControl/>
              <w:spacing w:line="300" w:lineRule="exact"/>
              <w:jc w:val="both"/>
              <w:rPr>
                <w:rFonts w:cs="宋体"/>
                <w:color w:val="000000"/>
                <w:kern w:val="0"/>
                <w:sz w:val="24"/>
                <w:szCs w:val="24"/>
              </w:rPr>
            </w:pPr>
          </w:p>
        </w:tc>
      </w:tr>
      <w:tr w:rsidR="00336475">
        <w:trPr>
          <w:trHeight w:val="575"/>
        </w:trPr>
        <w:tc>
          <w:tcPr>
            <w:tcW w:w="953" w:type="dxa"/>
            <w:vMerge w:val="restart"/>
            <w:tcBorders>
              <w:top w:val="nil"/>
              <w:left w:val="single" w:sz="4" w:space="0" w:color="auto"/>
              <w:bottom w:val="single" w:sz="4" w:space="0" w:color="auto"/>
              <w:right w:val="single" w:sz="4" w:space="0" w:color="auto"/>
            </w:tcBorders>
            <w:noWrap/>
            <w:vAlign w:val="center"/>
          </w:tcPr>
          <w:p w:rsidR="00336475" w:rsidRDefault="00BE0E47">
            <w:pPr>
              <w:widowControl/>
              <w:spacing w:line="300" w:lineRule="exact"/>
              <w:jc w:val="both"/>
              <w:rPr>
                <w:rFonts w:cs="宋体"/>
                <w:color w:val="000000"/>
                <w:kern w:val="0"/>
                <w:sz w:val="24"/>
                <w:szCs w:val="24"/>
              </w:rPr>
            </w:pPr>
            <w:r>
              <w:rPr>
                <w:rFonts w:cs="宋体" w:hint="eastAsia"/>
                <w:color w:val="000000"/>
                <w:kern w:val="0"/>
                <w:sz w:val="24"/>
                <w:szCs w:val="24"/>
              </w:rPr>
              <w:t>部门预算执行情况</w:t>
            </w:r>
          </w:p>
        </w:tc>
        <w:tc>
          <w:tcPr>
            <w:tcW w:w="1079" w:type="dxa"/>
            <w:gridSpan w:val="2"/>
            <w:vMerge w:val="restart"/>
            <w:tcBorders>
              <w:top w:val="nil"/>
              <w:left w:val="nil"/>
              <w:right w:val="nil"/>
            </w:tcBorders>
            <w:noWrap/>
            <w:vAlign w:val="center"/>
          </w:tcPr>
          <w:p w:rsidR="00336475" w:rsidRDefault="00BE0E47">
            <w:pPr>
              <w:spacing w:line="300" w:lineRule="exact"/>
              <w:jc w:val="center"/>
              <w:rPr>
                <w:rFonts w:cs="宋体"/>
                <w:color w:val="000000"/>
                <w:kern w:val="0"/>
                <w:sz w:val="24"/>
                <w:szCs w:val="24"/>
              </w:rPr>
            </w:pPr>
            <w:r>
              <w:rPr>
                <w:rFonts w:cs="宋体" w:hint="eastAsia"/>
                <w:color w:val="000000"/>
                <w:kern w:val="0"/>
                <w:sz w:val="24"/>
                <w:szCs w:val="24"/>
              </w:rPr>
              <w:t>预算</w:t>
            </w:r>
          </w:p>
          <w:p w:rsidR="00336475" w:rsidRDefault="00BE0E47">
            <w:pPr>
              <w:spacing w:line="300" w:lineRule="exact"/>
              <w:jc w:val="center"/>
              <w:rPr>
                <w:rFonts w:cs="宋体"/>
                <w:color w:val="000000"/>
                <w:kern w:val="0"/>
                <w:sz w:val="24"/>
                <w:szCs w:val="24"/>
              </w:rPr>
            </w:pPr>
            <w:r>
              <w:rPr>
                <w:rFonts w:cs="宋体" w:hint="eastAsia"/>
                <w:color w:val="000000"/>
                <w:kern w:val="0"/>
                <w:sz w:val="24"/>
                <w:szCs w:val="24"/>
              </w:rPr>
              <w:t>资金</w:t>
            </w:r>
          </w:p>
          <w:p w:rsidR="00336475" w:rsidRDefault="00BE0E47">
            <w:pPr>
              <w:spacing w:line="300" w:lineRule="exact"/>
              <w:jc w:val="center"/>
              <w:rPr>
                <w:rFonts w:cs="宋体"/>
                <w:color w:val="000000"/>
                <w:kern w:val="0"/>
                <w:sz w:val="24"/>
                <w:szCs w:val="24"/>
              </w:rPr>
            </w:pPr>
            <w:r>
              <w:rPr>
                <w:rFonts w:cs="宋体" w:hint="eastAsia"/>
                <w:color w:val="000000"/>
                <w:kern w:val="0"/>
                <w:sz w:val="24"/>
                <w:szCs w:val="24"/>
              </w:rPr>
              <w:t>（万元）</w:t>
            </w:r>
          </w:p>
        </w:tc>
        <w:tc>
          <w:tcPr>
            <w:tcW w:w="1107" w:type="dxa"/>
            <w:gridSpan w:val="3"/>
            <w:tcBorders>
              <w:top w:val="single" w:sz="4" w:space="0" w:color="auto"/>
              <w:left w:val="single" w:sz="4" w:space="0" w:color="auto"/>
              <w:bottom w:val="single" w:sz="4" w:space="0" w:color="auto"/>
              <w:right w:val="single" w:sz="4" w:space="0" w:color="000000"/>
            </w:tcBorders>
            <w:noWrap/>
            <w:vAlign w:val="center"/>
          </w:tcPr>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年初</w:t>
            </w:r>
          </w:p>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预算数</w:t>
            </w:r>
          </w:p>
        </w:tc>
        <w:tc>
          <w:tcPr>
            <w:tcW w:w="1712" w:type="dxa"/>
            <w:gridSpan w:val="4"/>
            <w:tcBorders>
              <w:top w:val="single" w:sz="4" w:space="0" w:color="auto"/>
              <w:left w:val="nil"/>
              <w:bottom w:val="single" w:sz="4" w:space="0" w:color="auto"/>
              <w:right w:val="single" w:sz="4" w:space="0" w:color="auto"/>
            </w:tcBorders>
            <w:noWrap/>
            <w:vAlign w:val="center"/>
          </w:tcPr>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全年（调整）</w:t>
            </w:r>
          </w:p>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预算数</w:t>
            </w:r>
          </w:p>
        </w:tc>
        <w:tc>
          <w:tcPr>
            <w:tcW w:w="1475" w:type="dxa"/>
            <w:gridSpan w:val="3"/>
            <w:tcBorders>
              <w:top w:val="single" w:sz="4" w:space="0" w:color="auto"/>
              <w:left w:val="nil"/>
              <w:bottom w:val="single" w:sz="4" w:space="0" w:color="auto"/>
              <w:right w:val="single" w:sz="4" w:space="0" w:color="auto"/>
            </w:tcBorders>
            <w:noWrap/>
            <w:vAlign w:val="center"/>
          </w:tcPr>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全年执行数</w:t>
            </w:r>
          </w:p>
        </w:tc>
        <w:tc>
          <w:tcPr>
            <w:tcW w:w="1405" w:type="dxa"/>
            <w:tcBorders>
              <w:top w:val="nil"/>
              <w:left w:val="nil"/>
              <w:bottom w:val="single" w:sz="4" w:space="0" w:color="auto"/>
              <w:right w:val="single" w:sz="4" w:space="0" w:color="auto"/>
            </w:tcBorders>
            <w:noWrap/>
            <w:vAlign w:val="center"/>
          </w:tcPr>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执行率</w:t>
            </w:r>
          </w:p>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w:t>
            </w:r>
            <w:r>
              <w:rPr>
                <w:rFonts w:cs="宋体" w:hint="eastAsia"/>
                <w:color w:val="000000"/>
                <w:kern w:val="0"/>
                <w:sz w:val="24"/>
                <w:szCs w:val="24"/>
              </w:rPr>
              <w:t>%</w:t>
            </w:r>
            <w:r>
              <w:rPr>
                <w:rFonts w:cs="宋体" w:hint="eastAsia"/>
                <w:color w:val="000000"/>
                <w:kern w:val="0"/>
                <w:sz w:val="24"/>
                <w:szCs w:val="24"/>
              </w:rPr>
              <w:t>）</w:t>
            </w:r>
          </w:p>
        </w:tc>
        <w:tc>
          <w:tcPr>
            <w:tcW w:w="1059" w:type="dxa"/>
            <w:gridSpan w:val="2"/>
            <w:tcBorders>
              <w:top w:val="nil"/>
              <w:left w:val="nil"/>
              <w:bottom w:val="single" w:sz="4" w:space="0" w:color="auto"/>
              <w:right w:val="single" w:sz="4" w:space="0" w:color="auto"/>
            </w:tcBorders>
            <w:noWrap/>
            <w:vAlign w:val="center"/>
          </w:tcPr>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执行率</w:t>
            </w:r>
          </w:p>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权重</w:t>
            </w:r>
          </w:p>
        </w:tc>
        <w:tc>
          <w:tcPr>
            <w:tcW w:w="1203" w:type="dxa"/>
            <w:tcBorders>
              <w:top w:val="nil"/>
              <w:left w:val="nil"/>
              <w:bottom w:val="single" w:sz="4" w:space="0" w:color="auto"/>
              <w:right w:val="single" w:sz="4" w:space="0" w:color="auto"/>
            </w:tcBorders>
            <w:noWrap/>
            <w:vAlign w:val="center"/>
          </w:tcPr>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执行率</w:t>
            </w:r>
          </w:p>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得分</w:t>
            </w:r>
          </w:p>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（分）</w:t>
            </w:r>
          </w:p>
        </w:tc>
      </w:tr>
      <w:tr w:rsidR="00336475">
        <w:trPr>
          <w:trHeight w:val="575"/>
        </w:trPr>
        <w:tc>
          <w:tcPr>
            <w:tcW w:w="953" w:type="dxa"/>
            <w:vMerge/>
            <w:tcBorders>
              <w:top w:val="nil"/>
              <w:left w:val="single" w:sz="4" w:space="0" w:color="auto"/>
              <w:bottom w:val="single" w:sz="4" w:space="0" w:color="auto"/>
              <w:right w:val="single" w:sz="4" w:space="0" w:color="auto"/>
            </w:tcBorders>
            <w:noWrap/>
            <w:vAlign w:val="center"/>
          </w:tcPr>
          <w:p w:rsidR="00336475" w:rsidRDefault="00336475">
            <w:pPr>
              <w:widowControl/>
              <w:spacing w:line="300" w:lineRule="exact"/>
              <w:jc w:val="both"/>
              <w:rPr>
                <w:rFonts w:cs="宋体"/>
                <w:color w:val="000000"/>
                <w:kern w:val="0"/>
                <w:sz w:val="24"/>
                <w:szCs w:val="24"/>
              </w:rPr>
            </w:pPr>
          </w:p>
        </w:tc>
        <w:tc>
          <w:tcPr>
            <w:tcW w:w="1079" w:type="dxa"/>
            <w:gridSpan w:val="2"/>
            <w:vMerge/>
            <w:tcBorders>
              <w:left w:val="nil"/>
              <w:bottom w:val="single" w:sz="4" w:space="0" w:color="auto"/>
              <w:right w:val="nil"/>
            </w:tcBorders>
            <w:noWrap/>
            <w:vAlign w:val="center"/>
          </w:tcPr>
          <w:p w:rsidR="00336475" w:rsidRDefault="00336475">
            <w:pPr>
              <w:widowControl/>
              <w:spacing w:line="300" w:lineRule="exact"/>
              <w:jc w:val="center"/>
              <w:rPr>
                <w:rFonts w:cs="宋体"/>
                <w:color w:val="000000"/>
                <w:kern w:val="0"/>
                <w:sz w:val="24"/>
                <w:szCs w:val="24"/>
              </w:rPr>
            </w:pPr>
          </w:p>
        </w:tc>
        <w:tc>
          <w:tcPr>
            <w:tcW w:w="1107" w:type="dxa"/>
            <w:gridSpan w:val="3"/>
            <w:tcBorders>
              <w:top w:val="single" w:sz="4" w:space="0" w:color="auto"/>
              <w:left w:val="single" w:sz="4" w:space="0" w:color="auto"/>
              <w:bottom w:val="single" w:sz="4" w:space="0" w:color="auto"/>
              <w:right w:val="single" w:sz="4" w:space="0" w:color="000000"/>
            </w:tcBorders>
            <w:noWrap/>
            <w:vAlign w:val="center"/>
          </w:tcPr>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1702.64</w:t>
            </w:r>
          </w:p>
        </w:tc>
        <w:tc>
          <w:tcPr>
            <w:tcW w:w="1712" w:type="dxa"/>
            <w:gridSpan w:val="4"/>
            <w:tcBorders>
              <w:top w:val="single" w:sz="4" w:space="0" w:color="auto"/>
              <w:left w:val="nil"/>
              <w:bottom w:val="single" w:sz="4" w:space="0" w:color="auto"/>
              <w:right w:val="single" w:sz="4" w:space="0" w:color="auto"/>
            </w:tcBorders>
            <w:noWrap/>
            <w:vAlign w:val="center"/>
          </w:tcPr>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19103.96</w:t>
            </w:r>
          </w:p>
        </w:tc>
        <w:tc>
          <w:tcPr>
            <w:tcW w:w="1475" w:type="dxa"/>
            <w:gridSpan w:val="3"/>
            <w:tcBorders>
              <w:top w:val="single" w:sz="4" w:space="0" w:color="auto"/>
              <w:left w:val="nil"/>
              <w:bottom w:val="single" w:sz="4" w:space="0" w:color="auto"/>
              <w:right w:val="single" w:sz="4" w:space="0" w:color="auto"/>
            </w:tcBorders>
            <w:noWrap/>
            <w:vAlign w:val="center"/>
          </w:tcPr>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19103.96</w:t>
            </w:r>
          </w:p>
        </w:tc>
        <w:tc>
          <w:tcPr>
            <w:tcW w:w="1405" w:type="dxa"/>
            <w:tcBorders>
              <w:top w:val="nil"/>
              <w:left w:val="nil"/>
              <w:bottom w:val="single" w:sz="4" w:space="0" w:color="auto"/>
              <w:right w:val="single" w:sz="4" w:space="0" w:color="auto"/>
            </w:tcBorders>
            <w:noWrap/>
            <w:vAlign w:val="center"/>
          </w:tcPr>
          <w:p w:rsidR="00336475" w:rsidRDefault="00BE0E47">
            <w:pPr>
              <w:widowControl/>
              <w:spacing w:line="300" w:lineRule="exact"/>
              <w:jc w:val="both"/>
              <w:rPr>
                <w:rFonts w:cs="宋体"/>
                <w:color w:val="000000"/>
                <w:kern w:val="0"/>
                <w:sz w:val="24"/>
                <w:szCs w:val="24"/>
              </w:rPr>
            </w:pPr>
            <w:r>
              <w:rPr>
                <w:rFonts w:cs="宋体" w:hint="eastAsia"/>
                <w:color w:val="000000"/>
                <w:kern w:val="0"/>
                <w:sz w:val="24"/>
                <w:szCs w:val="24"/>
              </w:rPr>
              <w:t>100</w:t>
            </w:r>
          </w:p>
        </w:tc>
        <w:tc>
          <w:tcPr>
            <w:tcW w:w="1059" w:type="dxa"/>
            <w:gridSpan w:val="2"/>
            <w:tcBorders>
              <w:top w:val="nil"/>
              <w:left w:val="nil"/>
              <w:bottom w:val="single" w:sz="4" w:space="0" w:color="auto"/>
              <w:right w:val="single" w:sz="4" w:space="0" w:color="auto"/>
            </w:tcBorders>
            <w:noWrap/>
            <w:vAlign w:val="center"/>
          </w:tcPr>
          <w:p w:rsidR="00336475" w:rsidRDefault="00BE0E47">
            <w:pPr>
              <w:widowControl/>
              <w:spacing w:line="300" w:lineRule="exact"/>
              <w:jc w:val="both"/>
              <w:rPr>
                <w:rFonts w:cs="宋体"/>
                <w:color w:val="000000"/>
                <w:kern w:val="0"/>
                <w:sz w:val="24"/>
                <w:szCs w:val="24"/>
              </w:rPr>
            </w:pPr>
            <w:r>
              <w:rPr>
                <w:rFonts w:cs="宋体" w:hint="eastAsia"/>
                <w:color w:val="000000"/>
                <w:kern w:val="0"/>
                <w:sz w:val="24"/>
                <w:szCs w:val="24"/>
              </w:rPr>
              <w:t>10</w:t>
            </w:r>
          </w:p>
        </w:tc>
        <w:tc>
          <w:tcPr>
            <w:tcW w:w="1203" w:type="dxa"/>
            <w:tcBorders>
              <w:top w:val="nil"/>
              <w:left w:val="nil"/>
              <w:bottom w:val="single" w:sz="4" w:space="0" w:color="auto"/>
              <w:right w:val="single" w:sz="4" w:space="0" w:color="auto"/>
            </w:tcBorders>
            <w:noWrap/>
            <w:vAlign w:val="center"/>
          </w:tcPr>
          <w:p w:rsidR="00336475" w:rsidRDefault="00BE0E47">
            <w:pPr>
              <w:widowControl/>
              <w:spacing w:line="300" w:lineRule="exact"/>
              <w:jc w:val="both"/>
              <w:rPr>
                <w:rFonts w:cs="宋体"/>
                <w:color w:val="000000"/>
                <w:kern w:val="0"/>
                <w:sz w:val="24"/>
                <w:szCs w:val="24"/>
              </w:rPr>
            </w:pPr>
            <w:r>
              <w:rPr>
                <w:rFonts w:cs="宋体" w:hint="eastAsia"/>
                <w:color w:val="000000"/>
                <w:kern w:val="0"/>
                <w:sz w:val="24"/>
                <w:szCs w:val="24"/>
              </w:rPr>
              <w:t>10</w:t>
            </w:r>
          </w:p>
        </w:tc>
      </w:tr>
      <w:tr w:rsidR="00336475">
        <w:trPr>
          <w:trHeight w:val="575"/>
        </w:trPr>
        <w:tc>
          <w:tcPr>
            <w:tcW w:w="953" w:type="dxa"/>
            <w:vMerge w:val="restart"/>
            <w:tcBorders>
              <w:top w:val="nil"/>
              <w:left w:val="single" w:sz="4" w:space="0" w:color="auto"/>
              <w:bottom w:val="single" w:sz="4" w:space="0" w:color="auto"/>
              <w:right w:val="single" w:sz="4" w:space="0" w:color="auto"/>
            </w:tcBorders>
            <w:noWrap/>
            <w:vAlign w:val="center"/>
          </w:tcPr>
          <w:p w:rsidR="00336475" w:rsidRDefault="00BE0E47">
            <w:pPr>
              <w:widowControl/>
              <w:spacing w:line="300" w:lineRule="exact"/>
              <w:jc w:val="both"/>
              <w:rPr>
                <w:rFonts w:cs="宋体"/>
                <w:color w:val="000000"/>
                <w:kern w:val="0"/>
                <w:sz w:val="24"/>
                <w:szCs w:val="24"/>
              </w:rPr>
            </w:pPr>
            <w:r>
              <w:rPr>
                <w:rFonts w:cs="宋体" w:hint="eastAsia"/>
                <w:color w:val="000000"/>
                <w:kern w:val="0"/>
                <w:sz w:val="24"/>
                <w:szCs w:val="24"/>
              </w:rPr>
              <w:t>当年绩效目标</w:t>
            </w:r>
          </w:p>
        </w:tc>
        <w:tc>
          <w:tcPr>
            <w:tcW w:w="2186" w:type="dxa"/>
            <w:gridSpan w:val="5"/>
            <w:tcBorders>
              <w:top w:val="single" w:sz="4" w:space="0" w:color="auto"/>
              <w:left w:val="nil"/>
              <w:bottom w:val="single" w:sz="4" w:space="0" w:color="auto"/>
              <w:right w:val="single" w:sz="4" w:space="0" w:color="000000"/>
            </w:tcBorders>
            <w:noWrap/>
            <w:vAlign w:val="center"/>
          </w:tcPr>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年初绩效目标</w:t>
            </w:r>
          </w:p>
        </w:tc>
        <w:tc>
          <w:tcPr>
            <w:tcW w:w="3187" w:type="dxa"/>
            <w:gridSpan w:val="7"/>
            <w:tcBorders>
              <w:top w:val="single" w:sz="4" w:space="0" w:color="auto"/>
              <w:left w:val="nil"/>
              <w:bottom w:val="single" w:sz="4" w:space="0" w:color="auto"/>
              <w:right w:val="single" w:sz="4" w:space="0" w:color="000000"/>
            </w:tcBorders>
            <w:noWrap/>
            <w:vAlign w:val="center"/>
          </w:tcPr>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全年（调整）绩效目标</w:t>
            </w:r>
          </w:p>
        </w:tc>
        <w:tc>
          <w:tcPr>
            <w:tcW w:w="3667" w:type="dxa"/>
            <w:gridSpan w:val="4"/>
            <w:tcBorders>
              <w:top w:val="single" w:sz="4" w:space="0" w:color="auto"/>
              <w:left w:val="nil"/>
              <w:bottom w:val="single" w:sz="4" w:space="0" w:color="auto"/>
              <w:right w:val="single" w:sz="4" w:space="0" w:color="000000"/>
            </w:tcBorders>
            <w:noWrap/>
            <w:vAlign w:val="center"/>
          </w:tcPr>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全年目标实际完成情况</w:t>
            </w:r>
          </w:p>
        </w:tc>
      </w:tr>
      <w:tr w:rsidR="00336475">
        <w:trPr>
          <w:trHeight w:val="712"/>
        </w:trPr>
        <w:tc>
          <w:tcPr>
            <w:tcW w:w="953" w:type="dxa"/>
            <w:vMerge/>
            <w:tcBorders>
              <w:top w:val="nil"/>
              <w:left w:val="single" w:sz="4" w:space="0" w:color="auto"/>
              <w:bottom w:val="single" w:sz="4" w:space="0" w:color="auto"/>
              <w:right w:val="single" w:sz="4" w:space="0" w:color="auto"/>
            </w:tcBorders>
            <w:noWrap/>
            <w:vAlign w:val="center"/>
          </w:tcPr>
          <w:p w:rsidR="00336475" w:rsidRDefault="00336475">
            <w:pPr>
              <w:widowControl/>
              <w:spacing w:line="300" w:lineRule="exact"/>
              <w:jc w:val="both"/>
              <w:rPr>
                <w:rFonts w:cs="宋体"/>
                <w:color w:val="000000"/>
                <w:kern w:val="0"/>
                <w:sz w:val="24"/>
                <w:szCs w:val="24"/>
              </w:rPr>
            </w:pPr>
          </w:p>
        </w:tc>
        <w:tc>
          <w:tcPr>
            <w:tcW w:w="2186" w:type="dxa"/>
            <w:gridSpan w:val="5"/>
            <w:tcBorders>
              <w:top w:val="single" w:sz="4" w:space="0" w:color="auto"/>
              <w:left w:val="nil"/>
              <w:bottom w:val="single" w:sz="4" w:space="0" w:color="auto"/>
              <w:right w:val="single" w:sz="4" w:space="0" w:color="000000"/>
            </w:tcBorders>
            <w:noWrap/>
            <w:vAlign w:val="center"/>
          </w:tcPr>
          <w:p w:rsidR="00336475" w:rsidRDefault="00BE0E47">
            <w:pPr>
              <w:widowControl/>
              <w:spacing w:line="300" w:lineRule="exact"/>
              <w:jc w:val="both"/>
              <w:rPr>
                <w:rFonts w:cs="宋体"/>
                <w:color w:val="000000"/>
                <w:kern w:val="0"/>
                <w:sz w:val="24"/>
                <w:szCs w:val="24"/>
              </w:rPr>
            </w:pPr>
            <w:r>
              <w:rPr>
                <w:rFonts w:cs="宋体" w:hint="eastAsia"/>
                <w:color w:val="000000"/>
                <w:kern w:val="0"/>
                <w:sz w:val="24"/>
                <w:szCs w:val="24"/>
              </w:rPr>
              <w:t>以实施乡村振兴战略行动计划为总抓手，坚持质量兴农、绿色兴农、效益优先，加快转变农业发展方式，培育农业农村发展新动能，促进全县农业农村经济快速、健康和可持续发展，为坚决打赢打好脱贫攻坚战、决胜全面建成小康社会贡献力量。</w:t>
            </w:r>
          </w:p>
        </w:tc>
        <w:tc>
          <w:tcPr>
            <w:tcW w:w="3187" w:type="dxa"/>
            <w:gridSpan w:val="7"/>
            <w:tcBorders>
              <w:top w:val="single" w:sz="4" w:space="0" w:color="auto"/>
              <w:left w:val="nil"/>
              <w:bottom w:val="single" w:sz="4" w:space="0" w:color="auto"/>
              <w:right w:val="single" w:sz="4" w:space="0" w:color="000000"/>
            </w:tcBorders>
            <w:noWrap/>
            <w:vAlign w:val="center"/>
          </w:tcPr>
          <w:p w:rsidR="00336475" w:rsidRDefault="00BE0E47">
            <w:pPr>
              <w:widowControl/>
              <w:spacing w:line="300" w:lineRule="exact"/>
              <w:jc w:val="both"/>
              <w:rPr>
                <w:rFonts w:cs="宋体"/>
                <w:color w:val="000000"/>
                <w:kern w:val="0"/>
                <w:sz w:val="24"/>
                <w:szCs w:val="24"/>
              </w:rPr>
            </w:pPr>
            <w:r>
              <w:rPr>
                <w:rFonts w:cs="宋体" w:hint="eastAsia"/>
                <w:color w:val="000000"/>
                <w:kern w:val="0"/>
                <w:sz w:val="24"/>
                <w:szCs w:val="24"/>
              </w:rPr>
              <w:t>贯彻执行党的路线方针政策和国家法律法规，实施乡村振兴战略，提升乡村特色产业。加强动植物疫病防控，确保种殖业、畜牧业健康快速发展；保障农产品质量安全，建设打造农业本土品牌；高质高效完成高标准农田建设任务、基层农技推广、新职农培训任务；改善人居环境、水生态环境；发展区域性特色产业，加快集体经济组织建设，稳步推进我县农业产业发展。</w:t>
            </w:r>
          </w:p>
        </w:tc>
        <w:tc>
          <w:tcPr>
            <w:tcW w:w="3667" w:type="dxa"/>
            <w:gridSpan w:val="4"/>
            <w:tcBorders>
              <w:top w:val="single" w:sz="4" w:space="0" w:color="auto"/>
              <w:left w:val="nil"/>
              <w:bottom w:val="single" w:sz="4" w:space="0" w:color="auto"/>
              <w:right w:val="single" w:sz="4" w:space="0" w:color="000000"/>
            </w:tcBorders>
            <w:noWrap/>
            <w:vAlign w:val="center"/>
          </w:tcPr>
          <w:p w:rsidR="00336475" w:rsidRDefault="00BE0E47">
            <w:pPr>
              <w:widowControl/>
              <w:spacing w:line="300" w:lineRule="exact"/>
              <w:jc w:val="both"/>
              <w:rPr>
                <w:rFonts w:cs="宋体"/>
                <w:color w:val="000000"/>
                <w:kern w:val="0"/>
                <w:sz w:val="24"/>
                <w:szCs w:val="24"/>
              </w:rPr>
            </w:pPr>
            <w:r>
              <w:rPr>
                <w:rFonts w:cs="宋体"/>
                <w:color w:val="000000"/>
                <w:kern w:val="0"/>
                <w:sz w:val="24"/>
                <w:szCs w:val="24"/>
              </w:rPr>
              <w:t>深学笃用</w:t>
            </w:r>
            <w:r w:rsidR="00B16F32">
              <w:rPr>
                <w:rFonts w:cs="宋体"/>
                <w:color w:val="000000"/>
                <w:kern w:val="0"/>
                <w:sz w:val="24"/>
                <w:szCs w:val="24"/>
              </w:rPr>
              <w:t>习近平新时代中国特色社会主义思想</w:t>
            </w:r>
            <w:r>
              <w:rPr>
                <w:rFonts w:cs="宋体"/>
                <w:color w:val="000000"/>
                <w:kern w:val="0"/>
                <w:sz w:val="24"/>
                <w:szCs w:val="24"/>
              </w:rPr>
              <w:t>，全面贯彻落实</w:t>
            </w:r>
            <w:r>
              <w:rPr>
                <w:rFonts w:cs="宋体" w:hint="eastAsia"/>
                <w:color w:val="000000"/>
                <w:kern w:val="0"/>
                <w:sz w:val="24"/>
                <w:szCs w:val="24"/>
              </w:rPr>
              <w:t>县</w:t>
            </w:r>
            <w:r>
              <w:rPr>
                <w:rFonts w:cs="宋体"/>
                <w:color w:val="000000"/>
                <w:kern w:val="0"/>
                <w:sz w:val="24"/>
                <w:szCs w:val="24"/>
              </w:rPr>
              <w:t>委、</w:t>
            </w:r>
            <w:r>
              <w:rPr>
                <w:rFonts w:cs="宋体" w:hint="eastAsia"/>
                <w:color w:val="000000"/>
                <w:kern w:val="0"/>
                <w:sz w:val="24"/>
                <w:szCs w:val="24"/>
              </w:rPr>
              <w:t>县</w:t>
            </w:r>
            <w:r>
              <w:rPr>
                <w:rFonts w:cs="宋体"/>
                <w:color w:val="000000"/>
                <w:kern w:val="0"/>
                <w:sz w:val="24"/>
                <w:szCs w:val="24"/>
              </w:rPr>
              <w:t>政府的决策部署，在疫情防控常态化的基础上，始终坚持以脱贫攻坚统揽经济社会发展全局，贯彻落实</w:t>
            </w:r>
            <w:r>
              <w:rPr>
                <w:rFonts w:cs="宋体"/>
                <w:color w:val="000000"/>
                <w:kern w:val="0"/>
                <w:sz w:val="24"/>
                <w:szCs w:val="24"/>
              </w:rPr>
              <w:t>“</w:t>
            </w:r>
            <w:r>
              <w:rPr>
                <w:rFonts w:cs="宋体"/>
                <w:color w:val="000000"/>
                <w:kern w:val="0"/>
                <w:sz w:val="24"/>
                <w:szCs w:val="24"/>
              </w:rPr>
              <w:t>绿水青山就是金山银山</w:t>
            </w:r>
            <w:r>
              <w:rPr>
                <w:rFonts w:cs="宋体"/>
                <w:color w:val="000000"/>
                <w:kern w:val="0"/>
                <w:sz w:val="24"/>
                <w:szCs w:val="24"/>
              </w:rPr>
              <w:t>”</w:t>
            </w:r>
            <w:r>
              <w:rPr>
                <w:rFonts w:cs="宋体"/>
                <w:color w:val="000000"/>
                <w:kern w:val="0"/>
                <w:sz w:val="24"/>
                <w:szCs w:val="24"/>
              </w:rPr>
              <w:t>理念，积极推进</w:t>
            </w:r>
            <w:r>
              <w:rPr>
                <w:rFonts w:cs="宋体"/>
                <w:color w:val="000000"/>
                <w:kern w:val="0"/>
                <w:sz w:val="24"/>
                <w:szCs w:val="24"/>
              </w:rPr>
              <w:t>“</w:t>
            </w:r>
            <w:r>
              <w:rPr>
                <w:rFonts w:cs="宋体"/>
                <w:color w:val="000000"/>
                <w:kern w:val="0"/>
                <w:sz w:val="24"/>
                <w:szCs w:val="24"/>
              </w:rPr>
              <w:t>产业生态化</w:t>
            </w:r>
            <w:r>
              <w:rPr>
                <w:rFonts w:cs="宋体"/>
                <w:color w:val="000000"/>
                <w:kern w:val="0"/>
                <w:sz w:val="24"/>
                <w:szCs w:val="24"/>
              </w:rPr>
              <w:t>”“</w:t>
            </w:r>
            <w:r>
              <w:rPr>
                <w:rFonts w:cs="宋体"/>
                <w:color w:val="000000"/>
                <w:kern w:val="0"/>
                <w:sz w:val="24"/>
                <w:szCs w:val="24"/>
              </w:rPr>
              <w:t>生态产业化</w:t>
            </w:r>
            <w:r>
              <w:rPr>
                <w:rFonts w:cs="宋体"/>
                <w:color w:val="000000"/>
                <w:kern w:val="0"/>
                <w:sz w:val="24"/>
                <w:szCs w:val="24"/>
              </w:rPr>
              <w:t>”</w:t>
            </w:r>
            <w:r>
              <w:rPr>
                <w:rFonts w:cs="宋体"/>
                <w:color w:val="000000"/>
                <w:kern w:val="0"/>
                <w:sz w:val="24"/>
                <w:szCs w:val="24"/>
              </w:rPr>
              <w:t>实践，大力实施</w:t>
            </w:r>
            <w:r>
              <w:rPr>
                <w:rFonts w:cs="宋体"/>
                <w:color w:val="000000"/>
                <w:kern w:val="0"/>
                <w:sz w:val="24"/>
                <w:szCs w:val="24"/>
              </w:rPr>
              <w:t>“</w:t>
            </w:r>
            <w:r>
              <w:rPr>
                <w:rFonts w:cs="宋体"/>
                <w:color w:val="000000"/>
                <w:kern w:val="0"/>
                <w:sz w:val="24"/>
                <w:szCs w:val="24"/>
              </w:rPr>
              <w:t>七大农业产业扶贫行动计划</w:t>
            </w:r>
            <w:r>
              <w:rPr>
                <w:rFonts w:cs="宋体"/>
                <w:color w:val="000000"/>
                <w:kern w:val="0"/>
                <w:sz w:val="24"/>
                <w:szCs w:val="24"/>
              </w:rPr>
              <w:t>”</w:t>
            </w:r>
            <w:r>
              <w:rPr>
                <w:rFonts w:cs="宋体"/>
                <w:color w:val="000000"/>
                <w:kern w:val="0"/>
                <w:sz w:val="24"/>
                <w:szCs w:val="24"/>
              </w:rPr>
              <w:t>，推进农村</w:t>
            </w:r>
            <w:r>
              <w:rPr>
                <w:rFonts w:cs="宋体"/>
                <w:color w:val="000000"/>
                <w:kern w:val="0"/>
                <w:sz w:val="24"/>
                <w:szCs w:val="24"/>
              </w:rPr>
              <w:t>“</w:t>
            </w:r>
            <w:r>
              <w:rPr>
                <w:rFonts w:cs="宋体"/>
                <w:color w:val="000000"/>
                <w:kern w:val="0"/>
                <w:sz w:val="24"/>
                <w:szCs w:val="24"/>
              </w:rPr>
              <w:t>三变</w:t>
            </w:r>
            <w:r>
              <w:rPr>
                <w:rFonts w:cs="宋体"/>
                <w:color w:val="000000"/>
                <w:kern w:val="0"/>
                <w:sz w:val="24"/>
                <w:szCs w:val="24"/>
              </w:rPr>
              <w:t>”</w:t>
            </w:r>
            <w:r>
              <w:rPr>
                <w:rFonts w:cs="宋体"/>
                <w:color w:val="000000"/>
                <w:kern w:val="0"/>
                <w:sz w:val="24"/>
                <w:szCs w:val="24"/>
              </w:rPr>
              <w:t>改革，激发</w:t>
            </w:r>
            <w:r>
              <w:rPr>
                <w:rFonts w:cs="宋体"/>
                <w:color w:val="000000"/>
                <w:kern w:val="0"/>
                <w:sz w:val="24"/>
                <w:szCs w:val="24"/>
              </w:rPr>
              <w:t>“</w:t>
            </w:r>
            <w:r>
              <w:rPr>
                <w:rFonts w:cs="宋体"/>
                <w:color w:val="000000"/>
                <w:kern w:val="0"/>
                <w:sz w:val="24"/>
                <w:szCs w:val="24"/>
              </w:rPr>
              <w:t>人</w:t>
            </w:r>
            <w:r>
              <w:rPr>
                <w:rFonts w:cs="宋体"/>
                <w:color w:val="000000"/>
                <w:kern w:val="0"/>
                <w:sz w:val="24"/>
                <w:szCs w:val="24"/>
              </w:rPr>
              <w:t>”“</w:t>
            </w:r>
            <w:r>
              <w:rPr>
                <w:rFonts w:cs="宋体"/>
                <w:color w:val="000000"/>
                <w:kern w:val="0"/>
                <w:sz w:val="24"/>
                <w:szCs w:val="24"/>
              </w:rPr>
              <w:t>地</w:t>
            </w:r>
            <w:r>
              <w:rPr>
                <w:rFonts w:cs="宋体"/>
                <w:color w:val="000000"/>
                <w:kern w:val="0"/>
                <w:sz w:val="24"/>
                <w:szCs w:val="24"/>
              </w:rPr>
              <w:t>”“</w:t>
            </w:r>
            <w:r>
              <w:rPr>
                <w:rFonts w:cs="宋体"/>
                <w:color w:val="000000"/>
                <w:kern w:val="0"/>
                <w:sz w:val="24"/>
                <w:szCs w:val="24"/>
              </w:rPr>
              <w:t>钱</w:t>
            </w:r>
            <w:r>
              <w:rPr>
                <w:rFonts w:cs="宋体"/>
                <w:color w:val="000000"/>
                <w:kern w:val="0"/>
                <w:sz w:val="24"/>
                <w:szCs w:val="24"/>
              </w:rPr>
              <w:t>”</w:t>
            </w:r>
            <w:r>
              <w:rPr>
                <w:rFonts w:cs="宋体"/>
                <w:color w:val="000000"/>
                <w:kern w:val="0"/>
                <w:sz w:val="24"/>
                <w:szCs w:val="24"/>
              </w:rPr>
              <w:t>要素，探索发展</w:t>
            </w:r>
            <w:r>
              <w:rPr>
                <w:rFonts w:cs="宋体"/>
                <w:color w:val="000000"/>
                <w:kern w:val="0"/>
                <w:sz w:val="24"/>
                <w:szCs w:val="24"/>
              </w:rPr>
              <w:t>“</w:t>
            </w:r>
            <w:r>
              <w:rPr>
                <w:rFonts w:cs="宋体"/>
                <w:color w:val="000000"/>
                <w:kern w:val="0"/>
                <w:sz w:val="24"/>
                <w:szCs w:val="24"/>
              </w:rPr>
              <w:t>农户</w:t>
            </w:r>
            <w:r>
              <w:rPr>
                <w:rFonts w:cs="宋体"/>
                <w:color w:val="000000"/>
                <w:kern w:val="0"/>
                <w:sz w:val="24"/>
                <w:szCs w:val="24"/>
              </w:rPr>
              <w:t>+</w:t>
            </w:r>
            <w:r>
              <w:rPr>
                <w:rFonts w:cs="宋体"/>
                <w:color w:val="000000"/>
                <w:kern w:val="0"/>
                <w:sz w:val="24"/>
                <w:szCs w:val="24"/>
              </w:rPr>
              <w:t>村集体</w:t>
            </w:r>
            <w:r>
              <w:rPr>
                <w:rFonts w:cs="宋体"/>
                <w:color w:val="000000"/>
                <w:kern w:val="0"/>
                <w:sz w:val="24"/>
                <w:szCs w:val="24"/>
              </w:rPr>
              <w:t>+</w:t>
            </w:r>
            <w:r>
              <w:rPr>
                <w:rFonts w:cs="宋体"/>
                <w:color w:val="000000"/>
                <w:kern w:val="0"/>
                <w:sz w:val="24"/>
                <w:szCs w:val="24"/>
              </w:rPr>
              <w:t>市场主体</w:t>
            </w:r>
            <w:r>
              <w:rPr>
                <w:rFonts w:cs="宋体"/>
                <w:color w:val="000000"/>
                <w:kern w:val="0"/>
                <w:sz w:val="24"/>
                <w:szCs w:val="24"/>
              </w:rPr>
              <w:t>”</w:t>
            </w:r>
            <w:r>
              <w:rPr>
                <w:rFonts w:cs="宋体"/>
                <w:color w:val="000000"/>
                <w:kern w:val="0"/>
                <w:sz w:val="24"/>
                <w:szCs w:val="24"/>
              </w:rPr>
              <w:t>产业化联合体推动现代山地特色生态农业体系建设，推进农文旅融合发展，提高农业综合生产能力，促进农民持续增收。</w:t>
            </w:r>
          </w:p>
        </w:tc>
      </w:tr>
      <w:tr w:rsidR="00336475">
        <w:trPr>
          <w:trHeight w:val="575"/>
        </w:trPr>
        <w:tc>
          <w:tcPr>
            <w:tcW w:w="953" w:type="dxa"/>
            <w:vMerge w:val="restart"/>
            <w:tcBorders>
              <w:top w:val="nil"/>
              <w:left w:val="single" w:sz="4" w:space="0" w:color="auto"/>
              <w:bottom w:val="single" w:sz="4" w:space="0" w:color="auto"/>
              <w:right w:val="single" w:sz="4" w:space="0" w:color="auto"/>
            </w:tcBorders>
            <w:noWrap/>
            <w:textDirection w:val="tbRlV"/>
            <w:vAlign w:val="center"/>
          </w:tcPr>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绩效指标</w:t>
            </w:r>
          </w:p>
        </w:tc>
        <w:tc>
          <w:tcPr>
            <w:tcW w:w="732" w:type="dxa"/>
            <w:tcBorders>
              <w:top w:val="nil"/>
              <w:left w:val="nil"/>
              <w:bottom w:val="single" w:sz="4" w:space="0" w:color="auto"/>
              <w:right w:val="nil"/>
            </w:tcBorders>
            <w:noWrap/>
            <w:vAlign w:val="center"/>
          </w:tcPr>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指标</w:t>
            </w:r>
          </w:p>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名称</w:t>
            </w:r>
          </w:p>
        </w:tc>
        <w:tc>
          <w:tcPr>
            <w:tcW w:w="705" w:type="dxa"/>
            <w:gridSpan w:val="3"/>
            <w:tcBorders>
              <w:top w:val="nil"/>
              <w:left w:val="single" w:sz="4" w:space="0" w:color="auto"/>
              <w:bottom w:val="single" w:sz="4" w:space="0" w:color="auto"/>
              <w:right w:val="single" w:sz="4" w:space="0" w:color="auto"/>
            </w:tcBorders>
            <w:noWrap/>
            <w:vAlign w:val="center"/>
          </w:tcPr>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计量</w:t>
            </w:r>
          </w:p>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单位</w:t>
            </w:r>
          </w:p>
        </w:tc>
        <w:tc>
          <w:tcPr>
            <w:tcW w:w="749" w:type="dxa"/>
            <w:tcBorders>
              <w:top w:val="nil"/>
              <w:left w:val="nil"/>
              <w:bottom w:val="single" w:sz="4" w:space="0" w:color="auto"/>
              <w:right w:val="single" w:sz="4" w:space="0" w:color="auto"/>
            </w:tcBorders>
            <w:noWrap/>
            <w:vAlign w:val="center"/>
          </w:tcPr>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指标</w:t>
            </w:r>
          </w:p>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性质</w:t>
            </w:r>
          </w:p>
        </w:tc>
        <w:tc>
          <w:tcPr>
            <w:tcW w:w="706" w:type="dxa"/>
            <w:tcBorders>
              <w:top w:val="nil"/>
              <w:left w:val="nil"/>
              <w:bottom w:val="single" w:sz="4" w:space="0" w:color="auto"/>
              <w:right w:val="single" w:sz="4" w:space="0" w:color="auto"/>
            </w:tcBorders>
            <w:noWrap/>
            <w:vAlign w:val="center"/>
          </w:tcPr>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年初</w:t>
            </w:r>
          </w:p>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指标</w:t>
            </w:r>
          </w:p>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值</w:t>
            </w:r>
          </w:p>
        </w:tc>
        <w:tc>
          <w:tcPr>
            <w:tcW w:w="753" w:type="dxa"/>
            <w:gridSpan w:val="2"/>
            <w:tcBorders>
              <w:top w:val="nil"/>
              <w:left w:val="nil"/>
              <w:bottom w:val="single" w:sz="4" w:space="0" w:color="auto"/>
              <w:right w:val="single" w:sz="4" w:space="0" w:color="auto"/>
            </w:tcBorders>
            <w:noWrap/>
            <w:vAlign w:val="center"/>
          </w:tcPr>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调整</w:t>
            </w:r>
          </w:p>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指标</w:t>
            </w:r>
          </w:p>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值</w:t>
            </w:r>
          </w:p>
        </w:tc>
        <w:tc>
          <w:tcPr>
            <w:tcW w:w="799" w:type="dxa"/>
            <w:gridSpan w:val="3"/>
            <w:tcBorders>
              <w:top w:val="nil"/>
              <w:left w:val="nil"/>
              <w:bottom w:val="single" w:sz="4" w:space="0" w:color="auto"/>
              <w:right w:val="single" w:sz="4" w:space="0" w:color="auto"/>
            </w:tcBorders>
            <w:noWrap/>
            <w:vAlign w:val="center"/>
          </w:tcPr>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全年</w:t>
            </w:r>
          </w:p>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完成</w:t>
            </w:r>
          </w:p>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值</w:t>
            </w:r>
          </w:p>
        </w:tc>
        <w:tc>
          <w:tcPr>
            <w:tcW w:w="929" w:type="dxa"/>
            <w:tcBorders>
              <w:top w:val="nil"/>
              <w:left w:val="nil"/>
              <w:bottom w:val="single" w:sz="4" w:space="0" w:color="auto"/>
              <w:right w:val="single" w:sz="4" w:space="0" w:color="auto"/>
            </w:tcBorders>
            <w:noWrap/>
            <w:vAlign w:val="center"/>
          </w:tcPr>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得分</w:t>
            </w:r>
          </w:p>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系数</w:t>
            </w:r>
          </w:p>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w:t>
            </w:r>
            <w:r>
              <w:rPr>
                <w:rFonts w:cs="宋体" w:hint="eastAsia"/>
                <w:color w:val="000000"/>
                <w:kern w:val="0"/>
                <w:sz w:val="24"/>
                <w:szCs w:val="24"/>
              </w:rPr>
              <w:t>%</w:t>
            </w:r>
            <w:r>
              <w:rPr>
                <w:rFonts w:cs="宋体" w:hint="eastAsia"/>
                <w:color w:val="000000"/>
                <w:kern w:val="0"/>
                <w:sz w:val="24"/>
                <w:szCs w:val="24"/>
              </w:rPr>
              <w:t>）</w:t>
            </w:r>
          </w:p>
        </w:tc>
        <w:tc>
          <w:tcPr>
            <w:tcW w:w="1496" w:type="dxa"/>
            <w:gridSpan w:val="2"/>
            <w:tcBorders>
              <w:top w:val="nil"/>
              <w:left w:val="nil"/>
              <w:bottom w:val="single" w:sz="4" w:space="0" w:color="auto"/>
              <w:right w:val="single" w:sz="4" w:space="0" w:color="auto"/>
            </w:tcBorders>
            <w:noWrap/>
            <w:vAlign w:val="center"/>
          </w:tcPr>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指标权重</w:t>
            </w:r>
          </w:p>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（分）</w:t>
            </w:r>
          </w:p>
        </w:tc>
        <w:tc>
          <w:tcPr>
            <w:tcW w:w="968" w:type="dxa"/>
            <w:tcBorders>
              <w:top w:val="nil"/>
              <w:left w:val="nil"/>
              <w:bottom w:val="single" w:sz="4" w:space="0" w:color="auto"/>
              <w:right w:val="single" w:sz="4" w:space="0" w:color="auto"/>
            </w:tcBorders>
            <w:noWrap/>
            <w:vAlign w:val="center"/>
          </w:tcPr>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指标</w:t>
            </w:r>
          </w:p>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得分</w:t>
            </w:r>
          </w:p>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（分）</w:t>
            </w:r>
          </w:p>
        </w:tc>
        <w:tc>
          <w:tcPr>
            <w:tcW w:w="1203" w:type="dxa"/>
            <w:tcBorders>
              <w:top w:val="nil"/>
              <w:left w:val="nil"/>
              <w:bottom w:val="single" w:sz="4" w:space="0" w:color="auto"/>
              <w:right w:val="single" w:sz="4" w:space="0" w:color="auto"/>
            </w:tcBorders>
            <w:noWrap/>
            <w:vAlign w:val="center"/>
          </w:tcPr>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是否核心</w:t>
            </w:r>
          </w:p>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指标</w:t>
            </w:r>
          </w:p>
        </w:tc>
      </w:tr>
      <w:tr w:rsidR="00336475">
        <w:trPr>
          <w:trHeight w:val="500"/>
        </w:trPr>
        <w:tc>
          <w:tcPr>
            <w:tcW w:w="953" w:type="dxa"/>
            <w:vMerge/>
            <w:tcBorders>
              <w:top w:val="nil"/>
              <w:left w:val="single" w:sz="4" w:space="0" w:color="auto"/>
              <w:bottom w:val="single" w:sz="4" w:space="0" w:color="auto"/>
              <w:right w:val="single" w:sz="4" w:space="0" w:color="auto"/>
            </w:tcBorders>
            <w:noWrap/>
            <w:vAlign w:val="center"/>
          </w:tcPr>
          <w:p w:rsidR="00336475" w:rsidRDefault="00336475">
            <w:pPr>
              <w:widowControl/>
              <w:spacing w:line="300" w:lineRule="exact"/>
              <w:jc w:val="both"/>
              <w:rPr>
                <w:rFonts w:cs="宋体"/>
                <w:color w:val="000000"/>
                <w:kern w:val="0"/>
                <w:sz w:val="24"/>
                <w:szCs w:val="24"/>
              </w:rPr>
            </w:pPr>
          </w:p>
        </w:tc>
        <w:tc>
          <w:tcPr>
            <w:tcW w:w="732" w:type="dxa"/>
            <w:tcBorders>
              <w:top w:val="nil"/>
              <w:left w:val="nil"/>
              <w:bottom w:val="single" w:sz="4" w:space="0" w:color="auto"/>
              <w:right w:val="nil"/>
            </w:tcBorders>
            <w:noWrap/>
            <w:vAlign w:val="center"/>
          </w:tcPr>
          <w:p w:rsidR="00336475" w:rsidRDefault="00BE0E47">
            <w:pPr>
              <w:widowControl/>
              <w:spacing w:line="300" w:lineRule="exact"/>
              <w:jc w:val="both"/>
              <w:rPr>
                <w:rFonts w:cs="宋体"/>
                <w:color w:val="000000"/>
                <w:kern w:val="0"/>
                <w:sz w:val="24"/>
                <w:szCs w:val="24"/>
              </w:rPr>
            </w:pPr>
            <w:r>
              <w:rPr>
                <w:rFonts w:cs="宋体" w:hint="eastAsia"/>
                <w:color w:val="000000"/>
                <w:kern w:val="0"/>
                <w:sz w:val="24"/>
                <w:szCs w:val="24"/>
              </w:rPr>
              <w:t>产业资金投入</w:t>
            </w:r>
          </w:p>
        </w:tc>
        <w:tc>
          <w:tcPr>
            <w:tcW w:w="705" w:type="dxa"/>
            <w:gridSpan w:val="3"/>
            <w:tcBorders>
              <w:top w:val="nil"/>
              <w:left w:val="single" w:sz="4" w:space="0" w:color="auto"/>
              <w:bottom w:val="single" w:sz="4" w:space="0" w:color="auto"/>
              <w:right w:val="nil"/>
            </w:tcBorders>
            <w:noWrap/>
            <w:vAlign w:val="center"/>
          </w:tcPr>
          <w:p w:rsidR="00336475" w:rsidRDefault="00BE0E47">
            <w:pPr>
              <w:widowControl/>
              <w:spacing w:line="300" w:lineRule="exact"/>
              <w:jc w:val="both"/>
              <w:rPr>
                <w:rFonts w:cs="宋体"/>
                <w:color w:val="000000"/>
                <w:kern w:val="0"/>
                <w:sz w:val="24"/>
                <w:szCs w:val="24"/>
              </w:rPr>
            </w:pPr>
            <w:r>
              <w:rPr>
                <w:rFonts w:cs="宋体" w:hint="eastAsia"/>
                <w:color w:val="000000"/>
                <w:kern w:val="0"/>
                <w:sz w:val="24"/>
                <w:szCs w:val="24"/>
              </w:rPr>
              <w:t>万元</w:t>
            </w:r>
          </w:p>
        </w:tc>
        <w:tc>
          <w:tcPr>
            <w:tcW w:w="749" w:type="dxa"/>
            <w:tcBorders>
              <w:top w:val="nil"/>
              <w:left w:val="single" w:sz="4" w:space="0" w:color="auto"/>
              <w:bottom w:val="single" w:sz="4" w:space="0" w:color="auto"/>
              <w:right w:val="nil"/>
            </w:tcBorders>
            <w:noWrap/>
            <w:vAlign w:val="center"/>
          </w:tcPr>
          <w:p w:rsidR="00336475" w:rsidRDefault="00BE0E47">
            <w:pPr>
              <w:widowControl/>
              <w:spacing w:line="300" w:lineRule="exact"/>
              <w:jc w:val="both"/>
              <w:rPr>
                <w:rFonts w:cs="宋体"/>
                <w:color w:val="000000"/>
                <w:kern w:val="0"/>
                <w:sz w:val="24"/>
                <w:szCs w:val="24"/>
              </w:rPr>
            </w:pPr>
            <w:r>
              <w:rPr>
                <w:rFonts w:cs="宋体" w:hint="eastAsia"/>
                <w:color w:val="000000"/>
                <w:kern w:val="0"/>
                <w:sz w:val="24"/>
                <w:szCs w:val="24"/>
              </w:rPr>
              <w:t>数量指标</w:t>
            </w:r>
          </w:p>
        </w:tc>
        <w:tc>
          <w:tcPr>
            <w:tcW w:w="706" w:type="dxa"/>
            <w:tcBorders>
              <w:top w:val="nil"/>
              <w:left w:val="single" w:sz="4" w:space="0" w:color="auto"/>
              <w:bottom w:val="single" w:sz="4" w:space="0" w:color="auto"/>
              <w:right w:val="nil"/>
            </w:tcBorders>
            <w:noWrap/>
            <w:vAlign w:val="center"/>
          </w:tcPr>
          <w:p w:rsidR="00336475" w:rsidRDefault="00336475">
            <w:pPr>
              <w:widowControl/>
              <w:spacing w:line="300" w:lineRule="exact"/>
              <w:jc w:val="both"/>
              <w:rPr>
                <w:rFonts w:cs="宋体"/>
                <w:color w:val="000000"/>
                <w:kern w:val="0"/>
                <w:sz w:val="24"/>
                <w:szCs w:val="24"/>
              </w:rPr>
            </w:pPr>
          </w:p>
        </w:tc>
        <w:tc>
          <w:tcPr>
            <w:tcW w:w="753" w:type="dxa"/>
            <w:gridSpan w:val="2"/>
            <w:tcBorders>
              <w:top w:val="nil"/>
              <w:left w:val="single" w:sz="4" w:space="0" w:color="auto"/>
              <w:bottom w:val="single" w:sz="4" w:space="0" w:color="auto"/>
              <w:right w:val="nil"/>
            </w:tcBorders>
            <w:noWrap/>
            <w:vAlign w:val="center"/>
          </w:tcPr>
          <w:p w:rsidR="00336475" w:rsidRDefault="00BE0E47">
            <w:pPr>
              <w:widowControl/>
              <w:spacing w:line="300" w:lineRule="exact"/>
              <w:jc w:val="both"/>
              <w:rPr>
                <w:rFonts w:cs="宋体"/>
                <w:color w:val="000000"/>
                <w:kern w:val="0"/>
                <w:sz w:val="24"/>
                <w:szCs w:val="24"/>
              </w:rPr>
            </w:pPr>
            <w:r>
              <w:rPr>
                <w:rFonts w:cs="宋体" w:hint="eastAsia"/>
                <w:color w:val="000000"/>
                <w:kern w:val="0"/>
                <w:sz w:val="24"/>
                <w:szCs w:val="24"/>
              </w:rPr>
              <w:t>17000</w:t>
            </w:r>
          </w:p>
        </w:tc>
        <w:tc>
          <w:tcPr>
            <w:tcW w:w="799" w:type="dxa"/>
            <w:gridSpan w:val="3"/>
            <w:tcBorders>
              <w:top w:val="nil"/>
              <w:left w:val="single" w:sz="4" w:space="0" w:color="auto"/>
              <w:bottom w:val="single" w:sz="4" w:space="0" w:color="auto"/>
              <w:right w:val="nil"/>
            </w:tcBorders>
            <w:noWrap/>
            <w:vAlign w:val="center"/>
          </w:tcPr>
          <w:p w:rsidR="00336475" w:rsidRDefault="00BE0E47">
            <w:pPr>
              <w:widowControl/>
              <w:spacing w:line="300" w:lineRule="exact"/>
              <w:jc w:val="both"/>
              <w:rPr>
                <w:rFonts w:cs="宋体"/>
                <w:color w:val="000000"/>
                <w:kern w:val="0"/>
                <w:sz w:val="24"/>
                <w:szCs w:val="24"/>
              </w:rPr>
            </w:pPr>
            <w:r>
              <w:rPr>
                <w:rFonts w:cs="宋体" w:hint="eastAsia"/>
                <w:color w:val="000000"/>
                <w:kern w:val="0"/>
                <w:sz w:val="24"/>
                <w:szCs w:val="24"/>
              </w:rPr>
              <w:t>17000</w:t>
            </w:r>
          </w:p>
        </w:tc>
        <w:tc>
          <w:tcPr>
            <w:tcW w:w="929" w:type="dxa"/>
            <w:tcBorders>
              <w:top w:val="nil"/>
              <w:left w:val="single" w:sz="4" w:space="0" w:color="auto"/>
              <w:bottom w:val="single" w:sz="4" w:space="0" w:color="auto"/>
              <w:right w:val="nil"/>
            </w:tcBorders>
            <w:noWrap/>
            <w:vAlign w:val="center"/>
          </w:tcPr>
          <w:p w:rsidR="00336475" w:rsidRDefault="00BE0E47">
            <w:pPr>
              <w:widowControl/>
              <w:spacing w:line="300" w:lineRule="exact"/>
              <w:jc w:val="both"/>
              <w:rPr>
                <w:rFonts w:cs="宋体"/>
                <w:color w:val="000000"/>
                <w:kern w:val="0"/>
                <w:sz w:val="24"/>
                <w:szCs w:val="24"/>
              </w:rPr>
            </w:pPr>
            <w:r>
              <w:rPr>
                <w:rFonts w:cs="宋体" w:hint="eastAsia"/>
                <w:color w:val="000000"/>
                <w:kern w:val="0"/>
                <w:sz w:val="24"/>
                <w:szCs w:val="24"/>
              </w:rPr>
              <w:t>100</w:t>
            </w:r>
          </w:p>
        </w:tc>
        <w:tc>
          <w:tcPr>
            <w:tcW w:w="1496" w:type="dxa"/>
            <w:gridSpan w:val="2"/>
            <w:tcBorders>
              <w:top w:val="nil"/>
              <w:left w:val="single" w:sz="4" w:space="0" w:color="auto"/>
              <w:bottom w:val="single" w:sz="4" w:space="0" w:color="auto"/>
              <w:right w:val="nil"/>
            </w:tcBorders>
            <w:noWrap/>
            <w:vAlign w:val="center"/>
          </w:tcPr>
          <w:p w:rsidR="00336475" w:rsidRDefault="00BE0E47">
            <w:pPr>
              <w:widowControl/>
              <w:spacing w:line="300" w:lineRule="exact"/>
              <w:jc w:val="both"/>
              <w:rPr>
                <w:rFonts w:cs="宋体"/>
                <w:color w:val="000000"/>
                <w:kern w:val="0"/>
                <w:sz w:val="24"/>
                <w:szCs w:val="24"/>
              </w:rPr>
            </w:pPr>
            <w:r>
              <w:rPr>
                <w:rFonts w:cs="宋体" w:hint="eastAsia"/>
                <w:color w:val="000000"/>
                <w:kern w:val="0"/>
                <w:sz w:val="24"/>
                <w:szCs w:val="24"/>
              </w:rPr>
              <w:t>10</w:t>
            </w:r>
          </w:p>
        </w:tc>
        <w:tc>
          <w:tcPr>
            <w:tcW w:w="968" w:type="dxa"/>
            <w:tcBorders>
              <w:top w:val="nil"/>
              <w:left w:val="single" w:sz="4" w:space="0" w:color="auto"/>
              <w:bottom w:val="single" w:sz="4" w:space="0" w:color="auto"/>
              <w:right w:val="nil"/>
            </w:tcBorders>
            <w:noWrap/>
            <w:vAlign w:val="center"/>
          </w:tcPr>
          <w:p w:rsidR="00336475" w:rsidRDefault="00BE0E47">
            <w:pPr>
              <w:widowControl/>
              <w:spacing w:line="300" w:lineRule="exact"/>
              <w:jc w:val="both"/>
              <w:rPr>
                <w:rFonts w:cs="宋体"/>
                <w:color w:val="000000"/>
                <w:kern w:val="0"/>
                <w:sz w:val="24"/>
                <w:szCs w:val="24"/>
              </w:rPr>
            </w:pPr>
            <w:r>
              <w:rPr>
                <w:rFonts w:cs="宋体" w:hint="eastAsia"/>
                <w:color w:val="000000"/>
                <w:kern w:val="0"/>
                <w:sz w:val="24"/>
                <w:szCs w:val="24"/>
              </w:rPr>
              <w:t>10</w:t>
            </w:r>
          </w:p>
        </w:tc>
        <w:tc>
          <w:tcPr>
            <w:tcW w:w="1203" w:type="dxa"/>
            <w:tcBorders>
              <w:top w:val="nil"/>
              <w:left w:val="single" w:sz="4" w:space="0" w:color="auto"/>
              <w:bottom w:val="single" w:sz="4" w:space="0" w:color="auto"/>
              <w:right w:val="single" w:sz="4" w:space="0" w:color="auto"/>
            </w:tcBorders>
            <w:noWrap/>
            <w:vAlign w:val="center"/>
          </w:tcPr>
          <w:p w:rsidR="00336475" w:rsidRDefault="00BE0E47">
            <w:pPr>
              <w:widowControl/>
              <w:spacing w:line="300" w:lineRule="exact"/>
              <w:jc w:val="both"/>
              <w:rPr>
                <w:rFonts w:cs="宋体"/>
                <w:color w:val="000000"/>
                <w:kern w:val="0"/>
                <w:sz w:val="24"/>
                <w:szCs w:val="24"/>
              </w:rPr>
            </w:pPr>
            <w:r>
              <w:rPr>
                <w:rFonts w:cs="宋体" w:hint="eastAsia"/>
                <w:color w:val="000000"/>
                <w:kern w:val="0"/>
                <w:sz w:val="24"/>
                <w:szCs w:val="24"/>
              </w:rPr>
              <w:t>是</w:t>
            </w:r>
          </w:p>
        </w:tc>
      </w:tr>
      <w:tr w:rsidR="00336475">
        <w:trPr>
          <w:trHeight w:val="415"/>
        </w:trPr>
        <w:tc>
          <w:tcPr>
            <w:tcW w:w="953" w:type="dxa"/>
            <w:tcBorders>
              <w:top w:val="nil"/>
              <w:left w:val="single" w:sz="4" w:space="0" w:color="auto"/>
              <w:bottom w:val="single" w:sz="4" w:space="0" w:color="auto"/>
              <w:right w:val="single" w:sz="4" w:space="0" w:color="auto"/>
            </w:tcBorders>
            <w:noWrap/>
            <w:vAlign w:val="center"/>
          </w:tcPr>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说明</w:t>
            </w:r>
          </w:p>
        </w:tc>
        <w:tc>
          <w:tcPr>
            <w:tcW w:w="9040" w:type="dxa"/>
            <w:gridSpan w:val="16"/>
            <w:tcBorders>
              <w:top w:val="single" w:sz="4" w:space="0" w:color="auto"/>
              <w:left w:val="nil"/>
              <w:bottom w:val="single" w:sz="4" w:space="0" w:color="auto"/>
              <w:right w:val="single" w:sz="4" w:space="0" w:color="000000"/>
            </w:tcBorders>
            <w:noWrap/>
            <w:vAlign w:val="center"/>
          </w:tcPr>
          <w:p w:rsidR="00336475" w:rsidRDefault="00336475">
            <w:pPr>
              <w:widowControl/>
              <w:spacing w:line="300" w:lineRule="exact"/>
              <w:jc w:val="both"/>
              <w:rPr>
                <w:rFonts w:cs="宋体"/>
                <w:color w:val="000000"/>
                <w:kern w:val="0"/>
                <w:sz w:val="24"/>
                <w:szCs w:val="24"/>
              </w:rPr>
            </w:pPr>
          </w:p>
        </w:tc>
      </w:tr>
    </w:tbl>
    <w:p w:rsidR="00336475" w:rsidRDefault="00BE0E47">
      <w:pPr>
        <w:rPr>
          <w:rFonts w:eastAsia="方正小标宋_GBK" w:cs="宋体"/>
          <w:color w:val="000000"/>
          <w:kern w:val="0"/>
          <w:sz w:val="36"/>
          <w:szCs w:val="36"/>
        </w:rPr>
      </w:pPr>
      <w:r>
        <w:rPr>
          <w:rFonts w:eastAsia="方正小标宋_GBK" w:cs="宋体" w:hint="eastAsia"/>
          <w:color w:val="000000"/>
          <w:kern w:val="0"/>
          <w:sz w:val="36"/>
          <w:szCs w:val="36"/>
        </w:rPr>
        <w:br w:type="page"/>
      </w:r>
    </w:p>
    <w:p w:rsidR="00336475" w:rsidRDefault="00BE0E47">
      <w:pPr>
        <w:pStyle w:val="ad"/>
        <w:tabs>
          <w:tab w:val="center" w:pos="4153"/>
          <w:tab w:val="left" w:pos="7275"/>
        </w:tabs>
        <w:spacing w:line="600" w:lineRule="exact"/>
        <w:ind w:firstLineChars="0" w:firstLine="0"/>
        <w:jc w:val="center"/>
        <w:rPr>
          <w:rFonts w:eastAsia="方正小标宋_GBK" w:cs="宋体"/>
          <w:color w:val="000000"/>
          <w:kern w:val="0"/>
          <w:sz w:val="36"/>
          <w:szCs w:val="36"/>
        </w:rPr>
      </w:pPr>
      <w:r>
        <w:rPr>
          <w:rFonts w:eastAsia="方正小标宋_GBK" w:cs="宋体" w:hint="eastAsia"/>
          <w:color w:val="000000"/>
          <w:kern w:val="0"/>
          <w:sz w:val="36"/>
          <w:szCs w:val="36"/>
        </w:rPr>
        <w:lastRenderedPageBreak/>
        <w:t>一级／二级项目绩效自评表</w:t>
      </w:r>
    </w:p>
    <w:tbl>
      <w:tblPr>
        <w:tblW w:w="10061" w:type="dxa"/>
        <w:jc w:val="center"/>
        <w:tblLook w:val="04A0"/>
      </w:tblPr>
      <w:tblGrid>
        <w:gridCol w:w="841"/>
        <w:gridCol w:w="751"/>
        <w:gridCol w:w="537"/>
        <w:gridCol w:w="166"/>
        <w:gridCol w:w="249"/>
        <w:gridCol w:w="455"/>
        <w:gridCol w:w="141"/>
        <w:gridCol w:w="222"/>
        <w:gridCol w:w="340"/>
        <w:gridCol w:w="699"/>
        <w:gridCol w:w="1004"/>
        <w:gridCol w:w="1091"/>
        <w:gridCol w:w="936"/>
        <w:gridCol w:w="414"/>
        <w:gridCol w:w="986"/>
        <w:gridCol w:w="1229"/>
      </w:tblGrid>
      <w:tr w:rsidR="00336475">
        <w:trPr>
          <w:trHeight w:val="479"/>
          <w:jc w:val="center"/>
        </w:trPr>
        <w:tc>
          <w:tcPr>
            <w:tcW w:w="841" w:type="dxa"/>
            <w:tcBorders>
              <w:top w:val="single" w:sz="4" w:space="0" w:color="auto"/>
              <w:left w:val="single" w:sz="4" w:space="0" w:color="auto"/>
              <w:bottom w:val="single" w:sz="4" w:space="0" w:color="auto"/>
              <w:right w:val="single" w:sz="4" w:space="0" w:color="auto"/>
            </w:tcBorders>
            <w:noWrap/>
            <w:vAlign w:val="center"/>
          </w:tcPr>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项目</w:t>
            </w:r>
          </w:p>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名称</w:t>
            </w:r>
          </w:p>
        </w:tc>
        <w:tc>
          <w:tcPr>
            <w:tcW w:w="1703" w:type="dxa"/>
            <w:gridSpan w:val="4"/>
            <w:tcBorders>
              <w:top w:val="single" w:sz="4" w:space="0" w:color="auto"/>
              <w:left w:val="nil"/>
              <w:bottom w:val="single" w:sz="4" w:space="0" w:color="auto"/>
              <w:right w:val="single" w:sz="4" w:space="0" w:color="000000"/>
            </w:tcBorders>
            <w:noWrap/>
            <w:vAlign w:val="center"/>
          </w:tcPr>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村级集体经济发展</w:t>
            </w:r>
          </w:p>
        </w:tc>
        <w:tc>
          <w:tcPr>
            <w:tcW w:w="818" w:type="dxa"/>
            <w:gridSpan w:val="3"/>
            <w:tcBorders>
              <w:top w:val="single" w:sz="4" w:space="0" w:color="auto"/>
              <w:left w:val="nil"/>
              <w:bottom w:val="single" w:sz="4" w:space="0" w:color="auto"/>
              <w:right w:val="single" w:sz="4" w:space="0" w:color="auto"/>
            </w:tcBorders>
            <w:noWrap/>
            <w:vAlign w:val="center"/>
          </w:tcPr>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项目</w:t>
            </w:r>
          </w:p>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编码</w:t>
            </w:r>
          </w:p>
        </w:tc>
        <w:tc>
          <w:tcPr>
            <w:tcW w:w="1039" w:type="dxa"/>
            <w:gridSpan w:val="2"/>
            <w:tcBorders>
              <w:top w:val="single" w:sz="4" w:space="0" w:color="auto"/>
              <w:left w:val="nil"/>
              <w:bottom w:val="single" w:sz="4" w:space="0" w:color="auto"/>
              <w:right w:val="single" w:sz="4" w:space="0" w:color="000000"/>
            </w:tcBorders>
            <w:noWrap/>
            <w:vAlign w:val="center"/>
          </w:tcPr>
          <w:p w:rsidR="00336475" w:rsidRDefault="00336475">
            <w:pPr>
              <w:widowControl/>
              <w:spacing w:line="300" w:lineRule="exact"/>
              <w:jc w:val="center"/>
              <w:rPr>
                <w:rFonts w:cs="宋体"/>
                <w:color w:val="000000"/>
                <w:kern w:val="0"/>
                <w:sz w:val="24"/>
                <w:szCs w:val="24"/>
              </w:rPr>
            </w:pPr>
          </w:p>
        </w:tc>
        <w:tc>
          <w:tcPr>
            <w:tcW w:w="1004" w:type="dxa"/>
            <w:tcBorders>
              <w:top w:val="single" w:sz="4" w:space="0" w:color="auto"/>
              <w:left w:val="nil"/>
              <w:bottom w:val="single" w:sz="4" w:space="0" w:color="auto"/>
              <w:right w:val="single" w:sz="4" w:space="0" w:color="auto"/>
            </w:tcBorders>
            <w:noWrap/>
            <w:vAlign w:val="center"/>
          </w:tcPr>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自评</w:t>
            </w:r>
          </w:p>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总分</w:t>
            </w:r>
          </w:p>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（分）</w:t>
            </w:r>
          </w:p>
        </w:tc>
        <w:tc>
          <w:tcPr>
            <w:tcW w:w="4656" w:type="dxa"/>
            <w:gridSpan w:val="5"/>
            <w:tcBorders>
              <w:top w:val="single" w:sz="4" w:space="0" w:color="auto"/>
              <w:left w:val="nil"/>
              <w:bottom w:val="single" w:sz="4" w:space="0" w:color="auto"/>
              <w:right w:val="single" w:sz="4" w:space="0" w:color="000000"/>
            </w:tcBorders>
            <w:noWrap/>
            <w:vAlign w:val="center"/>
          </w:tcPr>
          <w:p w:rsidR="00336475" w:rsidRDefault="00BE0E47">
            <w:pPr>
              <w:widowControl/>
              <w:spacing w:line="300" w:lineRule="exact"/>
              <w:jc w:val="both"/>
              <w:rPr>
                <w:rFonts w:cs="宋体"/>
                <w:color w:val="000000"/>
                <w:kern w:val="0"/>
                <w:sz w:val="24"/>
                <w:szCs w:val="24"/>
              </w:rPr>
            </w:pPr>
            <w:r>
              <w:rPr>
                <w:rFonts w:cs="宋体" w:hint="eastAsia"/>
                <w:color w:val="000000"/>
                <w:kern w:val="0"/>
                <w:sz w:val="24"/>
                <w:szCs w:val="24"/>
              </w:rPr>
              <w:t>98</w:t>
            </w:r>
          </w:p>
        </w:tc>
      </w:tr>
      <w:tr w:rsidR="00336475">
        <w:trPr>
          <w:trHeight w:val="479"/>
          <w:jc w:val="center"/>
        </w:trPr>
        <w:tc>
          <w:tcPr>
            <w:tcW w:w="841" w:type="dxa"/>
            <w:tcBorders>
              <w:top w:val="nil"/>
              <w:left w:val="single" w:sz="4" w:space="0" w:color="auto"/>
              <w:bottom w:val="single" w:sz="4" w:space="0" w:color="auto"/>
              <w:right w:val="single" w:sz="4" w:space="0" w:color="auto"/>
            </w:tcBorders>
            <w:noWrap/>
            <w:vAlign w:val="center"/>
          </w:tcPr>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主管</w:t>
            </w:r>
          </w:p>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部门</w:t>
            </w:r>
          </w:p>
        </w:tc>
        <w:tc>
          <w:tcPr>
            <w:tcW w:w="1703" w:type="dxa"/>
            <w:gridSpan w:val="4"/>
            <w:tcBorders>
              <w:top w:val="single" w:sz="4" w:space="0" w:color="auto"/>
              <w:left w:val="nil"/>
              <w:bottom w:val="single" w:sz="4" w:space="0" w:color="auto"/>
              <w:right w:val="single" w:sz="4" w:space="0" w:color="000000"/>
            </w:tcBorders>
            <w:noWrap/>
            <w:vAlign w:val="center"/>
          </w:tcPr>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县农业农村委</w:t>
            </w:r>
          </w:p>
        </w:tc>
        <w:tc>
          <w:tcPr>
            <w:tcW w:w="818" w:type="dxa"/>
            <w:gridSpan w:val="3"/>
            <w:tcBorders>
              <w:top w:val="nil"/>
              <w:left w:val="nil"/>
              <w:bottom w:val="single" w:sz="4" w:space="0" w:color="auto"/>
              <w:right w:val="single" w:sz="4" w:space="0" w:color="auto"/>
            </w:tcBorders>
            <w:noWrap/>
            <w:vAlign w:val="center"/>
          </w:tcPr>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财政</w:t>
            </w:r>
          </w:p>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处室</w:t>
            </w:r>
          </w:p>
        </w:tc>
        <w:tc>
          <w:tcPr>
            <w:tcW w:w="1039" w:type="dxa"/>
            <w:gridSpan w:val="2"/>
            <w:tcBorders>
              <w:top w:val="single" w:sz="4" w:space="0" w:color="auto"/>
              <w:left w:val="nil"/>
              <w:bottom w:val="single" w:sz="4" w:space="0" w:color="auto"/>
              <w:right w:val="single" w:sz="4" w:space="0" w:color="000000"/>
            </w:tcBorders>
            <w:noWrap/>
            <w:vAlign w:val="center"/>
          </w:tcPr>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农业农村和产业发展科</w:t>
            </w:r>
          </w:p>
        </w:tc>
        <w:tc>
          <w:tcPr>
            <w:tcW w:w="1004" w:type="dxa"/>
            <w:tcBorders>
              <w:top w:val="nil"/>
              <w:left w:val="nil"/>
              <w:bottom w:val="single" w:sz="4" w:space="0" w:color="auto"/>
              <w:right w:val="single" w:sz="4" w:space="0" w:color="auto"/>
            </w:tcBorders>
            <w:noWrap/>
            <w:vAlign w:val="center"/>
          </w:tcPr>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项目</w:t>
            </w:r>
          </w:p>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联系人</w:t>
            </w:r>
          </w:p>
        </w:tc>
        <w:tc>
          <w:tcPr>
            <w:tcW w:w="1091" w:type="dxa"/>
            <w:tcBorders>
              <w:top w:val="nil"/>
              <w:left w:val="nil"/>
              <w:bottom w:val="single" w:sz="4" w:space="0" w:color="auto"/>
              <w:right w:val="single" w:sz="4" w:space="0" w:color="auto"/>
            </w:tcBorders>
            <w:noWrap/>
            <w:vAlign w:val="center"/>
          </w:tcPr>
          <w:p w:rsidR="00336475" w:rsidRDefault="00336475">
            <w:pPr>
              <w:widowControl/>
              <w:spacing w:line="300" w:lineRule="exact"/>
              <w:jc w:val="center"/>
              <w:rPr>
                <w:rFonts w:cs="宋体"/>
                <w:color w:val="000000"/>
                <w:kern w:val="0"/>
                <w:sz w:val="24"/>
                <w:szCs w:val="24"/>
              </w:rPr>
            </w:pPr>
          </w:p>
        </w:tc>
        <w:tc>
          <w:tcPr>
            <w:tcW w:w="1350" w:type="dxa"/>
            <w:gridSpan w:val="2"/>
            <w:tcBorders>
              <w:top w:val="nil"/>
              <w:left w:val="nil"/>
              <w:bottom w:val="single" w:sz="4" w:space="0" w:color="auto"/>
              <w:right w:val="single" w:sz="4" w:space="0" w:color="auto"/>
            </w:tcBorders>
            <w:noWrap/>
            <w:vAlign w:val="center"/>
          </w:tcPr>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联系电话</w:t>
            </w:r>
          </w:p>
        </w:tc>
        <w:tc>
          <w:tcPr>
            <w:tcW w:w="2215" w:type="dxa"/>
            <w:gridSpan w:val="2"/>
            <w:tcBorders>
              <w:top w:val="single" w:sz="4" w:space="0" w:color="auto"/>
              <w:left w:val="nil"/>
              <w:bottom w:val="single" w:sz="4" w:space="0" w:color="auto"/>
              <w:right w:val="single" w:sz="4" w:space="0" w:color="000000"/>
            </w:tcBorders>
            <w:noWrap/>
            <w:vAlign w:val="center"/>
          </w:tcPr>
          <w:p w:rsidR="00336475" w:rsidRDefault="00336475">
            <w:pPr>
              <w:widowControl/>
              <w:spacing w:line="300" w:lineRule="exact"/>
              <w:jc w:val="both"/>
              <w:rPr>
                <w:rFonts w:cs="宋体"/>
                <w:color w:val="000000"/>
                <w:kern w:val="0"/>
                <w:sz w:val="24"/>
                <w:szCs w:val="24"/>
              </w:rPr>
            </w:pPr>
          </w:p>
        </w:tc>
      </w:tr>
      <w:tr w:rsidR="00336475">
        <w:trPr>
          <w:trHeight w:val="479"/>
          <w:jc w:val="center"/>
        </w:trPr>
        <w:tc>
          <w:tcPr>
            <w:tcW w:w="841" w:type="dxa"/>
            <w:vMerge w:val="restart"/>
            <w:tcBorders>
              <w:top w:val="nil"/>
              <w:left w:val="single" w:sz="4" w:space="0" w:color="auto"/>
              <w:bottom w:val="single" w:sz="4" w:space="0" w:color="auto"/>
              <w:right w:val="single" w:sz="4" w:space="0" w:color="auto"/>
            </w:tcBorders>
            <w:noWrap/>
            <w:textDirection w:val="tbRlV"/>
            <w:vAlign w:val="center"/>
          </w:tcPr>
          <w:p w:rsidR="00336475" w:rsidRDefault="00BE0E47">
            <w:pPr>
              <w:widowControl/>
              <w:spacing w:line="300" w:lineRule="exact"/>
              <w:ind w:left="113" w:right="113"/>
              <w:jc w:val="center"/>
              <w:rPr>
                <w:rFonts w:cs="宋体"/>
                <w:color w:val="000000"/>
                <w:kern w:val="0"/>
                <w:sz w:val="24"/>
                <w:szCs w:val="24"/>
              </w:rPr>
            </w:pPr>
            <w:r>
              <w:rPr>
                <w:rFonts w:cs="宋体" w:hint="eastAsia"/>
                <w:color w:val="000000"/>
                <w:kern w:val="0"/>
                <w:sz w:val="24"/>
                <w:szCs w:val="24"/>
              </w:rPr>
              <w:t>项目资金（万元）</w:t>
            </w:r>
          </w:p>
        </w:tc>
        <w:tc>
          <w:tcPr>
            <w:tcW w:w="1288" w:type="dxa"/>
            <w:gridSpan w:val="2"/>
            <w:vMerge w:val="restart"/>
            <w:tcBorders>
              <w:top w:val="nil"/>
              <w:left w:val="nil"/>
              <w:right w:val="nil"/>
            </w:tcBorders>
            <w:noWrap/>
            <w:vAlign w:val="center"/>
          </w:tcPr>
          <w:p w:rsidR="00336475" w:rsidRDefault="00BE0E47">
            <w:pPr>
              <w:spacing w:line="300" w:lineRule="exact"/>
              <w:jc w:val="center"/>
              <w:rPr>
                <w:rFonts w:cs="宋体"/>
                <w:color w:val="000000"/>
                <w:kern w:val="0"/>
                <w:sz w:val="24"/>
                <w:szCs w:val="24"/>
              </w:rPr>
            </w:pPr>
            <w:r>
              <w:rPr>
                <w:rFonts w:cs="宋体" w:hint="eastAsia"/>
                <w:color w:val="000000"/>
                <w:kern w:val="0"/>
                <w:sz w:val="24"/>
                <w:szCs w:val="24"/>
              </w:rPr>
              <w:t>年度</w:t>
            </w:r>
          </w:p>
          <w:p w:rsidR="00336475" w:rsidRDefault="00BE0E47">
            <w:pPr>
              <w:spacing w:line="300" w:lineRule="exact"/>
              <w:jc w:val="center"/>
              <w:rPr>
                <w:rFonts w:cs="宋体"/>
                <w:color w:val="000000"/>
                <w:kern w:val="0"/>
                <w:sz w:val="24"/>
                <w:szCs w:val="24"/>
              </w:rPr>
            </w:pPr>
            <w:r>
              <w:rPr>
                <w:rFonts w:cs="宋体" w:hint="eastAsia"/>
                <w:color w:val="000000"/>
                <w:kern w:val="0"/>
                <w:sz w:val="24"/>
                <w:szCs w:val="24"/>
              </w:rPr>
              <w:t>总金额</w:t>
            </w:r>
          </w:p>
        </w:tc>
        <w:tc>
          <w:tcPr>
            <w:tcW w:w="1011" w:type="dxa"/>
            <w:gridSpan w:val="4"/>
            <w:tcBorders>
              <w:top w:val="single" w:sz="4" w:space="0" w:color="auto"/>
              <w:left w:val="single" w:sz="4" w:space="0" w:color="auto"/>
              <w:bottom w:val="single" w:sz="4" w:space="0" w:color="auto"/>
              <w:right w:val="single" w:sz="4" w:space="0" w:color="000000"/>
            </w:tcBorders>
            <w:noWrap/>
            <w:vAlign w:val="center"/>
          </w:tcPr>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年初</w:t>
            </w:r>
          </w:p>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预算数</w:t>
            </w:r>
          </w:p>
        </w:tc>
        <w:tc>
          <w:tcPr>
            <w:tcW w:w="1261" w:type="dxa"/>
            <w:gridSpan w:val="3"/>
            <w:tcBorders>
              <w:top w:val="single" w:sz="4" w:space="0" w:color="auto"/>
              <w:left w:val="nil"/>
              <w:bottom w:val="single" w:sz="4" w:space="0" w:color="auto"/>
              <w:right w:val="single" w:sz="4" w:space="0" w:color="auto"/>
            </w:tcBorders>
            <w:noWrap/>
            <w:vAlign w:val="center"/>
          </w:tcPr>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全年</w:t>
            </w:r>
          </w:p>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（调整）预算数</w:t>
            </w:r>
          </w:p>
        </w:tc>
        <w:tc>
          <w:tcPr>
            <w:tcW w:w="2095" w:type="dxa"/>
            <w:gridSpan w:val="2"/>
            <w:tcBorders>
              <w:top w:val="single" w:sz="4" w:space="0" w:color="auto"/>
              <w:left w:val="nil"/>
              <w:bottom w:val="single" w:sz="4" w:space="0" w:color="auto"/>
              <w:right w:val="single" w:sz="4" w:space="0" w:color="auto"/>
            </w:tcBorders>
            <w:noWrap/>
            <w:vAlign w:val="center"/>
          </w:tcPr>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全年执行数</w:t>
            </w:r>
          </w:p>
        </w:tc>
        <w:tc>
          <w:tcPr>
            <w:tcW w:w="1350" w:type="dxa"/>
            <w:gridSpan w:val="2"/>
            <w:tcBorders>
              <w:top w:val="nil"/>
              <w:left w:val="nil"/>
              <w:bottom w:val="single" w:sz="4" w:space="0" w:color="auto"/>
              <w:right w:val="single" w:sz="4" w:space="0" w:color="auto"/>
            </w:tcBorders>
            <w:noWrap/>
            <w:vAlign w:val="center"/>
          </w:tcPr>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执行率</w:t>
            </w:r>
          </w:p>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w:t>
            </w:r>
            <w:r>
              <w:rPr>
                <w:rFonts w:cs="宋体" w:hint="eastAsia"/>
                <w:color w:val="000000"/>
                <w:kern w:val="0"/>
                <w:sz w:val="24"/>
                <w:szCs w:val="24"/>
              </w:rPr>
              <w:t>%</w:t>
            </w:r>
            <w:r>
              <w:rPr>
                <w:rFonts w:cs="宋体" w:hint="eastAsia"/>
                <w:color w:val="000000"/>
                <w:kern w:val="0"/>
                <w:sz w:val="24"/>
                <w:szCs w:val="24"/>
              </w:rPr>
              <w:t>）</w:t>
            </w:r>
          </w:p>
        </w:tc>
        <w:tc>
          <w:tcPr>
            <w:tcW w:w="986" w:type="dxa"/>
            <w:tcBorders>
              <w:top w:val="nil"/>
              <w:left w:val="nil"/>
              <w:bottom w:val="single" w:sz="4" w:space="0" w:color="auto"/>
              <w:right w:val="single" w:sz="4" w:space="0" w:color="auto"/>
            </w:tcBorders>
            <w:noWrap/>
            <w:vAlign w:val="center"/>
          </w:tcPr>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执行率</w:t>
            </w:r>
          </w:p>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权重</w:t>
            </w:r>
          </w:p>
        </w:tc>
        <w:tc>
          <w:tcPr>
            <w:tcW w:w="1229" w:type="dxa"/>
            <w:tcBorders>
              <w:top w:val="nil"/>
              <w:left w:val="nil"/>
              <w:bottom w:val="single" w:sz="4" w:space="0" w:color="auto"/>
              <w:right w:val="single" w:sz="4" w:space="0" w:color="auto"/>
            </w:tcBorders>
            <w:noWrap/>
            <w:vAlign w:val="center"/>
          </w:tcPr>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执行率</w:t>
            </w:r>
          </w:p>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得分</w:t>
            </w:r>
          </w:p>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（分）</w:t>
            </w:r>
          </w:p>
        </w:tc>
      </w:tr>
      <w:tr w:rsidR="00336475">
        <w:trPr>
          <w:trHeight w:val="479"/>
          <w:jc w:val="center"/>
        </w:trPr>
        <w:tc>
          <w:tcPr>
            <w:tcW w:w="841" w:type="dxa"/>
            <w:vMerge/>
            <w:tcBorders>
              <w:top w:val="nil"/>
              <w:left w:val="single" w:sz="4" w:space="0" w:color="auto"/>
              <w:bottom w:val="single" w:sz="4" w:space="0" w:color="auto"/>
              <w:right w:val="single" w:sz="4" w:space="0" w:color="auto"/>
            </w:tcBorders>
            <w:noWrap/>
            <w:vAlign w:val="center"/>
          </w:tcPr>
          <w:p w:rsidR="00336475" w:rsidRDefault="00336475">
            <w:pPr>
              <w:widowControl/>
              <w:spacing w:line="300" w:lineRule="exact"/>
              <w:jc w:val="both"/>
              <w:rPr>
                <w:rFonts w:cs="宋体"/>
                <w:color w:val="000000"/>
                <w:kern w:val="0"/>
                <w:sz w:val="24"/>
                <w:szCs w:val="24"/>
              </w:rPr>
            </w:pPr>
          </w:p>
        </w:tc>
        <w:tc>
          <w:tcPr>
            <w:tcW w:w="1288" w:type="dxa"/>
            <w:gridSpan w:val="2"/>
            <w:vMerge/>
            <w:tcBorders>
              <w:left w:val="nil"/>
              <w:bottom w:val="single" w:sz="4" w:space="0" w:color="auto"/>
              <w:right w:val="nil"/>
            </w:tcBorders>
            <w:noWrap/>
            <w:vAlign w:val="center"/>
          </w:tcPr>
          <w:p w:rsidR="00336475" w:rsidRDefault="00336475">
            <w:pPr>
              <w:widowControl/>
              <w:spacing w:line="300" w:lineRule="exact"/>
              <w:jc w:val="center"/>
              <w:rPr>
                <w:rFonts w:cs="宋体"/>
                <w:color w:val="000000"/>
                <w:kern w:val="0"/>
                <w:sz w:val="24"/>
                <w:szCs w:val="24"/>
              </w:rPr>
            </w:pPr>
          </w:p>
        </w:tc>
        <w:tc>
          <w:tcPr>
            <w:tcW w:w="1011" w:type="dxa"/>
            <w:gridSpan w:val="4"/>
            <w:tcBorders>
              <w:top w:val="single" w:sz="4" w:space="0" w:color="auto"/>
              <w:left w:val="single" w:sz="4" w:space="0" w:color="auto"/>
              <w:bottom w:val="single" w:sz="4" w:space="0" w:color="auto"/>
              <w:right w:val="single" w:sz="4" w:space="0" w:color="000000"/>
            </w:tcBorders>
            <w:noWrap/>
            <w:vAlign w:val="center"/>
          </w:tcPr>
          <w:p w:rsidR="00336475" w:rsidRDefault="00336475">
            <w:pPr>
              <w:widowControl/>
              <w:spacing w:line="300" w:lineRule="exact"/>
              <w:jc w:val="center"/>
              <w:rPr>
                <w:rFonts w:cs="宋体"/>
                <w:color w:val="000000"/>
                <w:kern w:val="0"/>
                <w:sz w:val="24"/>
                <w:szCs w:val="24"/>
              </w:rPr>
            </w:pPr>
          </w:p>
        </w:tc>
        <w:tc>
          <w:tcPr>
            <w:tcW w:w="1261" w:type="dxa"/>
            <w:gridSpan w:val="3"/>
            <w:tcBorders>
              <w:top w:val="single" w:sz="4" w:space="0" w:color="auto"/>
              <w:left w:val="nil"/>
              <w:bottom w:val="single" w:sz="4" w:space="0" w:color="auto"/>
              <w:right w:val="single" w:sz="4" w:space="0" w:color="auto"/>
            </w:tcBorders>
            <w:noWrap/>
            <w:vAlign w:val="center"/>
          </w:tcPr>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550</w:t>
            </w:r>
          </w:p>
        </w:tc>
        <w:tc>
          <w:tcPr>
            <w:tcW w:w="2095" w:type="dxa"/>
            <w:gridSpan w:val="2"/>
            <w:tcBorders>
              <w:top w:val="single" w:sz="4" w:space="0" w:color="auto"/>
              <w:left w:val="nil"/>
              <w:bottom w:val="single" w:sz="4" w:space="0" w:color="auto"/>
              <w:right w:val="single" w:sz="4" w:space="0" w:color="auto"/>
            </w:tcBorders>
            <w:noWrap/>
            <w:vAlign w:val="center"/>
          </w:tcPr>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550</w:t>
            </w:r>
          </w:p>
        </w:tc>
        <w:tc>
          <w:tcPr>
            <w:tcW w:w="1350" w:type="dxa"/>
            <w:gridSpan w:val="2"/>
            <w:tcBorders>
              <w:top w:val="nil"/>
              <w:left w:val="nil"/>
              <w:bottom w:val="single" w:sz="4" w:space="0" w:color="auto"/>
              <w:right w:val="single" w:sz="4" w:space="0" w:color="auto"/>
            </w:tcBorders>
            <w:noWrap/>
            <w:vAlign w:val="center"/>
          </w:tcPr>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100</w:t>
            </w:r>
          </w:p>
        </w:tc>
        <w:tc>
          <w:tcPr>
            <w:tcW w:w="986" w:type="dxa"/>
            <w:tcBorders>
              <w:top w:val="nil"/>
              <w:left w:val="nil"/>
              <w:bottom w:val="single" w:sz="4" w:space="0" w:color="auto"/>
              <w:right w:val="single" w:sz="4" w:space="0" w:color="auto"/>
            </w:tcBorders>
            <w:noWrap/>
            <w:vAlign w:val="center"/>
          </w:tcPr>
          <w:p w:rsidR="00336475" w:rsidRDefault="00BE0E47">
            <w:pPr>
              <w:widowControl/>
              <w:spacing w:line="300" w:lineRule="exact"/>
              <w:jc w:val="center"/>
              <w:rPr>
                <w:rFonts w:cs="宋体"/>
                <w:kern w:val="0"/>
                <w:sz w:val="24"/>
                <w:szCs w:val="24"/>
              </w:rPr>
            </w:pPr>
            <w:r>
              <w:rPr>
                <w:rFonts w:cs="宋体" w:hint="eastAsia"/>
                <w:kern w:val="0"/>
                <w:sz w:val="24"/>
                <w:szCs w:val="24"/>
              </w:rPr>
              <w:t>10</w:t>
            </w:r>
          </w:p>
        </w:tc>
        <w:tc>
          <w:tcPr>
            <w:tcW w:w="1229" w:type="dxa"/>
            <w:tcBorders>
              <w:top w:val="nil"/>
              <w:left w:val="nil"/>
              <w:bottom w:val="single" w:sz="4" w:space="0" w:color="auto"/>
              <w:right w:val="single" w:sz="4" w:space="0" w:color="auto"/>
            </w:tcBorders>
            <w:noWrap/>
            <w:vAlign w:val="center"/>
          </w:tcPr>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10</w:t>
            </w:r>
          </w:p>
        </w:tc>
      </w:tr>
      <w:tr w:rsidR="00336475">
        <w:trPr>
          <w:trHeight w:val="479"/>
          <w:jc w:val="center"/>
        </w:trPr>
        <w:tc>
          <w:tcPr>
            <w:tcW w:w="841" w:type="dxa"/>
            <w:vMerge/>
            <w:tcBorders>
              <w:top w:val="nil"/>
              <w:left w:val="single" w:sz="4" w:space="0" w:color="auto"/>
              <w:bottom w:val="single" w:sz="4" w:space="0" w:color="auto"/>
              <w:right w:val="single" w:sz="4" w:space="0" w:color="auto"/>
            </w:tcBorders>
            <w:noWrap/>
            <w:vAlign w:val="center"/>
          </w:tcPr>
          <w:p w:rsidR="00336475" w:rsidRDefault="00336475">
            <w:pPr>
              <w:widowControl/>
              <w:spacing w:line="300" w:lineRule="exact"/>
              <w:jc w:val="both"/>
              <w:rPr>
                <w:rFonts w:cs="宋体"/>
                <w:color w:val="000000"/>
                <w:kern w:val="0"/>
                <w:sz w:val="24"/>
                <w:szCs w:val="24"/>
              </w:rPr>
            </w:pPr>
          </w:p>
        </w:tc>
        <w:tc>
          <w:tcPr>
            <w:tcW w:w="1288" w:type="dxa"/>
            <w:gridSpan w:val="2"/>
            <w:tcBorders>
              <w:top w:val="nil"/>
              <w:left w:val="nil"/>
              <w:bottom w:val="single" w:sz="4" w:space="0" w:color="auto"/>
              <w:right w:val="nil"/>
            </w:tcBorders>
            <w:noWrap/>
            <w:vAlign w:val="center"/>
          </w:tcPr>
          <w:p w:rsidR="00336475" w:rsidRDefault="00BE0E47">
            <w:pPr>
              <w:widowControl/>
              <w:spacing w:line="300" w:lineRule="exact"/>
              <w:jc w:val="both"/>
              <w:rPr>
                <w:rFonts w:cs="宋体"/>
                <w:color w:val="000000"/>
                <w:kern w:val="0"/>
                <w:sz w:val="24"/>
                <w:szCs w:val="24"/>
              </w:rPr>
            </w:pPr>
            <w:r>
              <w:rPr>
                <w:rFonts w:cs="宋体" w:hint="eastAsia"/>
                <w:color w:val="000000"/>
                <w:kern w:val="0"/>
                <w:sz w:val="24"/>
                <w:szCs w:val="24"/>
              </w:rPr>
              <w:t>其中：</w:t>
            </w:r>
          </w:p>
          <w:p w:rsidR="00336475" w:rsidRDefault="00BE0E47">
            <w:pPr>
              <w:widowControl/>
              <w:spacing w:line="300" w:lineRule="exact"/>
              <w:jc w:val="both"/>
              <w:rPr>
                <w:rFonts w:cs="宋体"/>
                <w:color w:val="000000"/>
                <w:kern w:val="0"/>
                <w:sz w:val="24"/>
                <w:szCs w:val="24"/>
              </w:rPr>
            </w:pPr>
            <w:r>
              <w:rPr>
                <w:rFonts w:cs="宋体" w:hint="eastAsia"/>
                <w:color w:val="000000"/>
                <w:kern w:val="0"/>
                <w:sz w:val="24"/>
                <w:szCs w:val="24"/>
              </w:rPr>
              <w:t>县级支出</w:t>
            </w:r>
          </w:p>
        </w:tc>
        <w:tc>
          <w:tcPr>
            <w:tcW w:w="1011" w:type="dxa"/>
            <w:gridSpan w:val="4"/>
            <w:tcBorders>
              <w:top w:val="single" w:sz="4" w:space="0" w:color="auto"/>
              <w:left w:val="single" w:sz="4" w:space="0" w:color="auto"/>
              <w:bottom w:val="single" w:sz="4" w:space="0" w:color="auto"/>
              <w:right w:val="single" w:sz="4" w:space="0" w:color="000000"/>
            </w:tcBorders>
            <w:noWrap/>
            <w:vAlign w:val="center"/>
          </w:tcPr>
          <w:p w:rsidR="00336475" w:rsidRDefault="00336475">
            <w:pPr>
              <w:widowControl/>
              <w:spacing w:line="300" w:lineRule="exact"/>
              <w:jc w:val="center"/>
              <w:rPr>
                <w:rFonts w:cs="宋体"/>
                <w:color w:val="000000"/>
                <w:kern w:val="0"/>
                <w:sz w:val="24"/>
                <w:szCs w:val="24"/>
              </w:rPr>
            </w:pPr>
          </w:p>
        </w:tc>
        <w:tc>
          <w:tcPr>
            <w:tcW w:w="1261" w:type="dxa"/>
            <w:gridSpan w:val="3"/>
            <w:tcBorders>
              <w:top w:val="single" w:sz="4" w:space="0" w:color="auto"/>
              <w:left w:val="nil"/>
              <w:bottom w:val="single" w:sz="4" w:space="0" w:color="auto"/>
              <w:right w:val="single" w:sz="4" w:space="0" w:color="auto"/>
            </w:tcBorders>
            <w:noWrap/>
            <w:vAlign w:val="center"/>
          </w:tcPr>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550</w:t>
            </w:r>
          </w:p>
        </w:tc>
        <w:tc>
          <w:tcPr>
            <w:tcW w:w="2095" w:type="dxa"/>
            <w:gridSpan w:val="2"/>
            <w:tcBorders>
              <w:top w:val="single" w:sz="4" w:space="0" w:color="auto"/>
              <w:left w:val="nil"/>
              <w:bottom w:val="single" w:sz="4" w:space="0" w:color="auto"/>
              <w:right w:val="single" w:sz="4" w:space="0" w:color="auto"/>
            </w:tcBorders>
            <w:noWrap/>
            <w:vAlign w:val="center"/>
          </w:tcPr>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550</w:t>
            </w:r>
          </w:p>
        </w:tc>
        <w:tc>
          <w:tcPr>
            <w:tcW w:w="1350" w:type="dxa"/>
            <w:gridSpan w:val="2"/>
            <w:tcBorders>
              <w:top w:val="nil"/>
              <w:left w:val="nil"/>
              <w:bottom w:val="single" w:sz="4" w:space="0" w:color="auto"/>
              <w:right w:val="single" w:sz="4" w:space="0" w:color="auto"/>
            </w:tcBorders>
            <w:noWrap/>
            <w:vAlign w:val="center"/>
          </w:tcPr>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100</w:t>
            </w:r>
          </w:p>
        </w:tc>
        <w:tc>
          <w:tcPr>
            <w:tcW w:w="986" w:type="dxa"/>
            <w:tcBorders>
              <w:top w:val="nil"/>
              <w:left w:val="nil"/>
              <w:bottom w:val="single" w:sz="4" w:space="0" w:color="auto"/>
              <w:right w:val="single" w:sz="4" w:space="0" w:color="auto"/>
            </w:tcBorders>
            <w:noWrap/>
            <w:vAlign w:val="center"/>
          </w:tcPr>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10</w:t>
            </w:r>
          </w:p>
        </w:tc>
        <w:tc>
          <w:tcPr>
            <w:tcW w:w="1229" w:type="dxa"/>
            <w:tcBorders>
              <w:top w:val="nil"/>
              <w:left w:val="nil"/>
              <w:bottom w:val="single" w:sz="4" w:space="0" w:color="auto"/>
              <w:right w:val="single" w:sz="4" w:space="0" w:color="auto"/>
            </w:tcBorders>
            <w:noWrap/>
            <w:vAlign w:val="center"/>
          </w:tcPr>
          <w:p w:rsidR="00336475" w:rsidRDefault="00BE0E47">
            <w:pPr>
              <w:jc w:val="center"/>
              <w:rPr>
                <w:rFonts w:eastAsia="宋体" w:cs="Times New Roman"/>
                <w:sz w:val="21"/>
                <w:szCs w:val="22"/>
              </w:rPr>
            </w:pPr>
            <w:r>
              <w:rPr>
                <w:rFonts w:cs="宋体" w:hint="eastAsia"/>
                <w:color w:val="000000"/>
                <w:kern w:val="0"/>
                <w:sz w:val="24"/>
                <w:szCs w:val="24"/>
              </w:rPr>
              <w:t>10</w:t>
            </w:r>
          </w:p>
        </w:tc>
      </w:tr>
      <w:tr w:rsidR="00336475">
        <w:trPr>
          <w:trHeight w:val="479"/>
          <w:jc w:val="center"/>
        </w:trPr>
        <w:tc>
          <w:tcPr>
            <w:tcW w:w="841" w:type="dxa"/>
            <w:vMerge/>
            <w:tcBorders>
              <w:top w:val="nil"/>
              <w:left w:val="single" w:sz="4" w:space="0" w:color="auto"/>
              <w:bottom w:val="single" w:sz="4" w:space="0" w:color="auto"/>
              <w:right w:val="single" w:sz="4" w:space="0" w:color="auto"/>
            </w:tcBorders>
            <w:noWrap/>
            <w:vAlign w:val="center"/>
          </w:tcPr>
          <w:p w:rsidR="00336475" w:rsidRDefault="00336475">
            <w:pPr>
              <w:widowControl/>
              <w:spacing w:line="300" w:lineRule="exact"/>
              <w:jc w:val="both"/>
              <w:rPr>
                <w:rFonts w:cs="宋体"/>
                <w:color w:val="000000"/>
                <w:kern w:val="0"/>
                <w:sz w:val="24"/>
                <w:szCs w:val="24"/>
              </w:rPr>
            </w:pPr>
          </w:p>
        </w:tc>
        <w:tc>
          <w:tcPr>
            <w:tcW w:w="1288" w:type="dxa"/>
            <w:gridSpan w:val="2"/>
            <w:tcBorders>
              <w:top w:val="nil"/>
              <w:left w:val="nil"/>
              <w:bottom w:val="single" w:sz="4" w:space="0" w:color="auto"/>
              <w:right w:val="nil"/>
            </w:tcBorders>
            <w:noWrap/>
            <w:vAlign w:val="center"/>
          </w:tcPr>
          <w:p w:rsidR="00336475" w:rsidRDefault="00BE0E47">
            <w:pPr>
              <w:widowControl/>
              <w:spacing w:line="300" w:lineRule="exact"/>
              <w:jc w:val="both"/>
              <w:rPr>
                <w:rFonts w:cs="宋体"/>
                <w:color w:val="000000"/>
                <w:kern w:val="0"/>
                <w:sz w:val="24"/>
                <w:szCs w:val="24"/>
              </w:rPr>
            </w:pPr>
            <w:r>
              <w:rPr>
                <w:rFonts w:cs="宋体" w:hint="eastAsia"/>
                <w:color w:val="000000"/>
                <w:kern w:val="0"/>
                <w:sz w:val="24"/>
                <w:szCs w:val="24"/>
              </w:rPr>
              <w:t>补助区县</w:t>
            </w:r>
          </w:p>
        </w:tc>
        <w:tc>
          <w:tcPr>
            <w:tcW w:w="1011" w:type="dxa"/>
            <w:gridSpan w:val="4"/>
            <w:tcBorders>
              <w:top w:val="single" w:sz="4" w:space="0" w:color="auto"/>
              <w:left w:val="single" w:sz="4" w:space="0" w:color="auto"/>
              <w:bottom w:val="single" w:sz="4" w:space="0" w:color="auto"/>
              <w:right w:val="single" w:sz="4" w:space="0" w:color="000000"/>
            </w:tcBorders>
            <w:noWrap/>
            <w:vAlign w:val="center"/>
          </w:tcPr>
          <w:p w:rsidR="00336475" w:rsidRDefault="00336475">
            <w:pPr>
              <w:widowControl/>
              <w:spacing w:line="300" w:lineRule="exact"/>
              <w:jc w:val="center"/>
              <w:rPr>
                <w:rFonts w:cs="宋体"/>
                <w:color w:val="000000"/>
                <w:kern w:val="0"/>
                <w:sz w:val="24"/>
                <w:szCs w:val="24"/>
              </w:rPr>
            </w:pPr>
          </w:p>
        </w:tc>
        <w:tc>
          <w:tcPr>
            <w:tcW w:w="1261" w:type="dxa"/>
            <w:gridSpan w:val="3"/>
            <w:tcBorders>
              <w:top w:val="single" w:sz="4" w:space="0" w:color="auto"/>
              <w:left w:val="nil"/>
              <w:bottom w:val="single" w:sz="4" w:space="0" w:color="auto"/>
              <w:right w:val="single" w:sz="4" w:space="0" w:color="auto"/>
            </w:tcBorders>
            <w:noWrap/>
            <w:vAlign w:val="center"/>
          </w:tcPr>
          <w:p w:rsidR="00336475" w:rsidRDefault="00336475">
            <w:pPr>
              <w:widowControl/>
              <w:spacing w:line="300" w:lineRule="exact"/>
              <w:jc w:val="center"/>
              <w:rPr>
                <w:rFonts w:cs="宋体"/>
                <w:color w:val="000000"/>
                <w:kern w:val="0"/>
                <w:sz w:val="24"/>
                <w:szCs w:val="24"/>
              </w:rPr>
            </w:pPr>
          </w:p>
        </w:tc>
        <w:tc>
          <w:tcPr>
            <w:tcW w:w="2095" w:type="dxa"/>
            <w:gridSpan w:val="2"/>
            <w:tcBorders>
              <w:top w:val="single" w:sz="4" w:space="0" w:color="auto"/>
              <w:left w:val="nil"/>
              <w:bottom w:val="single" w:sz="4" w:space="0" w:color="auto"/>
              <w:right w:val="single" w:sz="4" w:space="0" w:color="auto"/>
            </w:tcBorders>
            <w:noWrap/>
            <w:vAlign w:val="center"/>
          </w:tcPr>
          <w:p w:rsidR="00336475" w:rsidRDefault="00336475">
            <w:pPr>
              <w:widowControl/>
              <w:spacing w:line="300" w:lineRule="exact"/>
              <w:jc w:val="center"/>
              <w:rPr>
                <w:rFonts w:cs="宋体"/>
                <w:color w:val="000000"/>
                <w:kern w:val="0"/>
                <w:sz w:val="24"/>
                <w:szCs w:val="24"/>
              </w:rPr>
            </w:pPr>
          </w:p>
        </w:tc>
        <w:tc>
          <w:tcPr>
            <w:tcW w:w="1350" w:type="dxa"/>
            <w:gridSpan w:val="2"/>
            <w:tcBorders>
              <w:top w:val="nil"/>
              <w:left w:val="nil"/>
              <w:bottom w:val="single" w:sz="4" w:space="0" w:color="auto"/>
              <w:right w:val="single" w:sz="4" w:space="0" w:color="auto"/>
            </w:tcBorders>
            <w:noWrap/>
            <w:vAlign w:val="center"/>
          </w:tcPr>
          <w:p w:rsidR="00336475" w:rsidRDefault="00336475">
            <w:pPr>
              <w:widowControl/>
              <w:spacing w:line="300" w:lineRule="exact"/>
              <w:jc w:val="center"/>
              <w:rPr>
                <w:rFonts w:cs="宋体"/>
                <w:color w:val="000000"/>
                <w:kern w:val="0"/>
                <w:sz w:val="24"/>
                <w:szCs w:val="24"/>
              </w:rPr>
            </w:pPr>
          </w:p>
        </w:tc>
        <w:tc>
          <w:tcPr>
            <w:tcW w:w="986" w:type="dxa"/>
            <w:tcBorders>
              <w:top w:val="nil"/>
              <w:left w:val="nil"/>
              <w:bottom w:val="single" w:sz="4" w:space="0" w:color="auto"/>
              <w:right w:val="single" w:sz="4" w:space="0" w:color="auto"/>
            </w:tcBorders>
            <w:noWrap/>
            <w:vAlign w:val="center"/>
          </w:tcPr>
          <w:p w:rsidR="00336475" w:rsidRDefault="00336475">
            <w:pPr>
              <w:widowControl/>
              <w:spacing w:line="300" w:lineRule="exact"/>
              <w:jc w:val="center"/>
              <w:rPr>
                <w:rFonts w:cs="宋体"/>
                <w:color w:val="000000"/>
                <w:kern w:val="0"/>
                <w:sz w:val="24"/>
                <w:szCs w:val="24"/>
              </w:rPr>
            </w:pPr>
          </w:p>
        </w:tc>
        <w:tc>
          <w:tcPr>
            <w:tcW w:w="1229" w:type="dxa"/>
            <w:tcBorders>
              <w:top w:val="nil"/>
              <w:left w:val="nil"/>
              <w:bottom w:val="single" w:sz="4" w:space="0" w:color="auto"/>
              <w:right w:val="single" w:sz="4" w:space="0" w:color="auto"/>
            </w:tcBorders>
            <w:noWrap/>
            <w:vAlign w:val="center"/>
          </w:tcPr>
          <w:p w:rsidR="00336475" w:rsidRDefault="00336475">
            <w:pPr>
              <w:widowControl/>
              <w:spacing w:line="300" w:lineRule="exact"/>
              <w:jc w:val="center"/>
              <w:rPr>
                <w:rFonts w:cs="宋体"/>
                <w:color w:val="000000"/>
                <w:kern w:val="0"/>
                <w:sz w:val="24"/>
                <w:szCs w:val="24"/>
              </w:rPr>
            </w:pPr>
          </w:p>
        </w:tc>
      </w:tr>
      <w:tr w:rsidR="00336475">
        <w:trPr>
          <w:trHeight w:val="479"/>
          <w:jc w:val="center"/>
        </w:trPr>
        <w:tc>
          <w:tcPr>
            <w:tcW w:w="841" w:type="dxa"/>
            <w:vMerge w:val="restart"/>
            <w:tcBorders>
              <w:top w:val="nil"/>
              <w:left w:val="single" w:sz="4" w:space="0" w:color="auto"/>
              <w:bottom w:val="single" w:sz="4" w:space="0" w:color="auto"/>
              <w:right w:val="single" w:sz="4" w:space="0" w:color="auto"/>
            </w:tcBorders>
            <w:noWrap/>
            <w:vAlign w:val="center"/>
          </w:tcPr>
          <w:p w:rsidR="00336475" w:rsidRDefault="00BE0E47">
            <w:pPr>
              <w:widowControl/>
              <w:spacing w:line="300" w:lineRule="exact"/>
              <w:jc w:val="both"/>
              <w:rPr>
                <w:rFonts w:cs="宋体"/>
                <w:color w:val="000000"/>
                <w:kern w:val="0"/>
                <w:sz w:val="24"/>
                <w:szCs w:val="24"/>
              </w:rPr>
            </w:pPr>
            <w:r>
              <w:rPr>
                <w:rFonts w:cs="宋体" w:hint="eastAsia"/>
                <w:color w:val="000000"/>
                <w:kern w:val="0"/>
                <w:sz w:val="24"/>
                <w:szCs w:val="24"/>
              </w:rPr>
              <w:t>当年绩效目标</w:t>
            </w:r>
          </w:p>
        </w:tc>
        <w:tc>
          <w:tcPr>
            <w:tcW w:w="2521" w:type="dxa"/>
            <w:gridSpan w:val="7"/>
            <w:tcBorders>
              <w:top w:val="single" w:sz="4" w:space="0" w:color="auto"/>
              <w:left w:val="nil"/>
              <w:bottom w:val="single" w:sz="4" w:space="0" w:color="auto"/>
              <w:right w:val="single" w:sz="4" w:space="0" w:color="000000"/>
            </w:tcBorders>
            <w:noWrap/>
            <w:vAlign w:val="center"/>
          </w:tcPr>
          <w:p w:rsidR="00336475" w:rsidRDefault="00BE0E47">
            <w:pPr>
              <w:widowControl/>
              <w:spacing w:line="300" w:lineRule="exact"/>
              <w:jc w:val="both"/>
              <w:rPr>
                <w:rFonts w:cs="宋体"/>
                <w:color w:val="000000"/>
                <w:kern w:val="0"/>
                <w:sz w:val="24"/>
                <w:szCs w:val="24"/>
              </w:rPr>
            </w:pPr>
            <w:r>
              <w:rPr>
                <w:rFonts w:cs="宋体" w:hint="eastAsia"/>
                <w:color w:val="000000"/>
                <w:kern w:val="0"/>
                <w:sz w:val="24"/>
                <w:szCs w:val="24"/>
              </w:rPr>
              <w:t>年初绩效目标</w:t>
            </w:r>
          </w:p>
        </w:tc>
        <w:tc>
          <w:tcPr>
            <w:tcW w:w="3134" w:type="dxa"/>
            <w:gridSpan w:val="4"/>
            <w:tcBorders>
              <w:top w:val="single" w:sz="4" w:space="0" w:color="auto"/>
              <w:left w:val="nil"/>
              <w:bottom w:val="single" w:sz="4" w:space="0" w:color="auto"/>
              <w:right w:val="single" w:sz="4" w:space="0" w:color="000000"/>
            </w:tcBorders>
            <w:noWrap/>
            <w:vAlign w:val="center"/>
          </w:tcPr>
          <w:p w:rsidR="00336475" w:rsidRDefault="00BE0E47">
            <w:pPr>
              <w:widowControl/>
              <w:spacing w:line="300" w:lineRule="exact"/>
              <w:jc w:val="both"/>
              <w:rPr>
                <w:rFonts w:cs="宋体"/>
                <w:color w:val="000000"/>
                <w:kern w:val="0"/>
                <w:sz w:val="24"/>
                <w:szCs w:val="24"/>
              </w:rPr>
            </w:pPr>
            <w:r>
              <w:rPr>
                <w:rFonts w:cs="宋体" w:hint="eastAsia"/>
                <w:color w:val="000000"/>
                <w:kern w:val="0"/>
                <w:sz w:val="24"/>
                <w:szCs w:val="24"/>
              </w:rPr>
              <w:t>全年（调整）绩效目标</w:t>
            </w:r>
          </w:p>
        </w:tc>
        <w:tc>
          <w:tcPr>
            <w:tcW w:w="3565" w:type="dxa"/>
            <w:gridSpan w:val="4"/>
            <w:tcBorders>
              <w:top w:val="single" w:sz="4" w:space="0" w:color="auto"/>
              <w:left w:val="nil"/>
              <w:bottom w:val="single" w:sz="4" w:space="0" w:color="auto"/>
              <w:right w:val="single" w:sz="4" w:space="0" w:color="000000"/>
            </w:tcBorders>
            <w:noWrap/>
            <w:vAlign w:val="center"/>
          </w:tcPr>
          <w:p w:rsidR="00336475" w:rsidRDefault="00BE0E47">
            <w:pPr>
              <w:widowControl/>
              <w:spacing w:line="300" w:lineRule="exact"/>
              <w:jc w:val="both"/>
              <w:rPr>
                <w:rFonts w:cs="宋体"/>
                <w:color w:val="000000"/>
                <w:kern w:val="0"/>
                <w:sz w:val="24"/>
                <w:szCs w:val="24"/>
              </w:rPr>
            </w:pPr>
            <w:r>
              <w:rPr>
                <w:rFonts w:cs="宋体" w:hint="eastAsia"/>
                <w:color w:val="000000"/>
                <w:kern w:val="0"/>
                <w:sz w:val="24"/>
                <w:szCs w:val="24"/>
              </w:rPr>
              <w:t>全年目标实际完成情况</w:t>
            </w:r>
          </w:p>
        </w:tc>
      </w:tr>
      <w:tr w:rsidR="00336475">
        <w:trPr>
          <w:trHeight w:val="1078"/>
          <w:jc w:val="center"/>
        </w:trPr>
        <w:tc>
          <w:tcPr>
            <w:tcW w:w="841" w:type="dxa"/>
            <w:vMerge/>
            <w:tcBorders>
              <w:top w:val="nil"/>
              <w:left w:val="single" w:sz="4" w:space="0" w:color="auto"/>
              <w:bottom w:val="single" w:sz="4" w:space="0" w:color="auto"/>
              <w:right w:val="single" w:sz="4" w:space="0" w:color="auto"/>
            </w:tcBorders>
            <w:noWrap/>
            <w:vAlign w:val="center"/>
          </w:tcPr>
          <w:p w:rsidR="00336475" w:rsidRDefault="00336475">
            <w:pPr>
              <w:widowControl/>
              <w:spacing w:line="300" w:lineRule="exact"/>
              <w:jc w:val="both"/>
              <w:rPr>
                <w:rFonts w:cs="宋体"/>
                <w:color w:val="000000"/>
                <w:kern w:val="0"/>
                <w:sz w:val="24"/>
                <w:szCs w:val="24"/>
              </w:rPr>
            </w:pPr>
          </w:p>
        </w:tc>
        <w:tc>
          <w:tcPr>
            <w:tcW w:w="2521" w:type="dxa"/>
            <w:gridSpan w:val="7"/>
            <w:tcBorders>
              <w:top w:val="single" w:sz="4" w:space="0" w:color="auto"/>
              <w:left w:val="nil"/>
              <w:bottom w:val="single" w:sz="4" w:space="0" w:color="auto"/>
              <w:right w:val="single" w:sz="4" w:space="0" w:color="000000"/>
            </w:tcBorders>
            <w:noWrap/>
            <w:vAlign w:val="center"/>
          </w:tcPr>
          <w:p w:rsidR="00336475" w:rsidRDefault="00336475">
            <w:pPr>
              <w:widowControl/>
              <w:spacing w:line="300" w:lineRule="exact"/>
              <w:jc w:val="both"/>
              <w:rPr>
                <w:rFonts w:cs="宋体"/>
                <w:color w:val="000000"/>
                <w:kern w:val="0"/>
                <w:sz w:val="24"/>
                <w:szCs w:val="24"/>
              </w:rPr>
            </w:pPr>
          </w:p>
        </w:tc>
        <w:tc>
          <w:tcPr>
            <w:tcW w:w="3134" w:type="dxa"/>
            <w:gridSpan w:val="4"/>
            <w:tcBorders>
              <w:top w:val="single" w:sz="4" w:space="0" w:color="auto"/>
              <w:left w:val="nil"/>
              <w:bottom w:val="single" w:sz="4" w:space="0" w:color="auto"/>
              <w:right w:val="single" w:sz="4" w:space="0" w:color="000000"/>
            </w:tcBorders>
            <w:noWrap/>
            <w:vAlign w:val="center"/>
          </w:tcPr>
          <w:p w:rsidR="00336475" w:rsidRDefault="00BE0E47">
            <w:pPr>
              <w:widowControl/>
              <w:spacing w:line="300" w:lineRule="exact"/>
              <w:jc w:val="both"/>
              <w:rPr>
                <w:rFonts w:cs="宋体"/>
                <w:color w:val="000000"/>
                <w:kern w:val="0"/>
                <w:sz w:val="24"/>
                <w:szCs w:val="24"/>
              </w:rPr>
            </w:pPr>
            <w:r>
              <w:rPr>
                <w:rFonts w:cs="宋体" w:hint="eastAsia"/>
                <w:color w:val="000000"/>
                <w:kern w:val="0"/>
                <w:sz w:val="24"/>
                <w:szCs w:val="24"/>
              </w:rPr>
              <w:t>发展村集体经济试点</w:t>
            </w:r>
            <w:r>
              <w:rPr>
                <w:rFonts w:cs="宋体" w:hint="eastAsia"/>
                <w:color w:val="000000"/>
                <w:kern w:val="0"/>
                <w:sz w:val="24"/>
                <w:szCs w:val="24"/>
              </w:rPr>
              <w:t>11</w:t>
            </w:r>
            <w:r>
              <w:rPr>
                <w:rFonts w:cs="宋体" w:hint="eastAsia"/>
                <w:color w:val="000000"/>
                <w:kern w:val="0"/>
                <w:sz w:val="24"/>
                <w:szCs w:val="24"/>
              </w:rPr>
              <w:t>个，全面消除空壳村</w:t>
            </w:r>
            <w:r>
              <w:rPr>
                <w:rFonts w:cs="宋体" w:hint="eastAsia"/>
                <w:color w:val="000000"/>
                <w:kern w:val="0"/>
                <w:sz w:val="24"/>
                <w:szCs w:val="24"/>
              </w:rPr>
              <w:t>11</w:t>
            </w:r>
            <w:r>
              <w:rPr>
                <w:rFonts w:cs="宋体" w:hint="eastAsia"/>
                <w:color w:val="000000"/>
                <w:kern w:val="0"/>
                <w:sz w:val="24"/>
                <w:szCs w:val="24"/>
              </w:rPr>
              <w:t>个，其中收入</w:t>
            </w:r>
            <w:r>
              <w:rPr>
                <w:rFonts w:cs="宋体" w:hint="eastAsia"/>
                <w:color w:val="000000"/>
                <w:kern w:val="0"/>
                <w:sz w:val="24"/>
                <w:szCs w:val="24"/>
              </w:rPr>
              <w:t>10</w:t>
            </w:r>
            <w:r>
              <w:rPr>
                <w:rFonts w:cs="宋体" w:hint="eastAsia"/>
                <w:color w:val="000000"/>
                <w:kern w:val="0"/>
                <w:sz w:val="24"/>
                <w:szCs w:val="24"/>
              </w:rPr>
              <w:t>万元以上</w:t>
            </w:r>
            <w:r>
              <w:rPr>
                <w:rFonts w:cs="宋体" w:hint="eastAsia"/>
                <w:color w:val="000000"/>
                <w:kern w:val="0"/>
                <w:sz w:val="24"/>
                <w:szCs w:val="24"/>
              </w:rPr>
              <w:t>3</w:t>
            </w:r>
            <w:r>
              <w:rPr>
                <w:rFonts w:cs="宋体" w:hint="eastAsia"/>
                <w:color w:val="000000"/>
                <w:kern w:val="0"/>
                <w:sz w:val="24"/>
                <w:szCs w:val="24"/>
              </w:rPr>
              <w:t>个，村集体经济组织逐渐发展壮大</w:t>
            </w:r>
          </w:p>
        </w:tc>
        <w:tc>
          <w:tcPr>
            <w:tcW w:w="3565" w:type="dxa"/>
            <w:gridSpan w:val="4"/>
            <w:tcBorders>
              <w:top w:val="single" w:sz="4" w:space="0" w:color="auto"/>
              <w:left w:val="nil"/>
              <w:bottom w:val="single" w:sz="4" w:space="0" w:color="auto"/>
              <w:right w:val="single" w:sz="4" w:space="0" w:color="000000"/>
            </w:tcBorders>
            <w:noWrap/>
            <w:vAlign w:val="center"/>
          </w:tcPr>
          <w:p w:rsidR="00336475" w:rsidRDefault="00BE0E47">
            <w:pPr>
              <w:widowControl/>
              <w:spacing w:line="300" w:lineRule="exact"/>
              <w:jc w:val="both"/>
              <w:rPr>
                <w:rFonts w:cs="宋体"/>
                <w:color w:val="000000"/>
                <w:kern w:val="0"/>
                <w:sz w:val="24"/>
                <w:szCs w:val="24"/>
              </w:rPr>
            </w:pPr>
            <w:r>
              <w:rPr>
                <w:rFonts w:cs="宋体" w:hint="eastAsia"/>
                <w:color w:val="000000"/>
                <w:kern w:val="0"/>
                <w:sz w:val="24"/>
                <w:szCs w:val="24"/>
              </w:rPr>
              <w:t>发展村集体经济试点</w:t>
            </w:r>
            <w:r>
              <w:rPr>
                <w:rFonts w:cs="宋体" w:hint="eastAsia"/>
                <w:color w:val="000000"/>
                <w:kern w:val="0"/>
                <w:sz w:val="24"/>
                <w:szCs w:val="24"/>
              </w:rPr>
              <w:t>11</w:t>
            </w:r>
            <w:r>
              <w:rPr>
                <w:rFonts w:cs="宋体" w:hint="eastAsia"/>
                <w:color w:val="000000"/>
                <w:kern w:val="0"/>
                <w:sz w:val="24"/>
                <w:szCs w:val="24"/>
              </w:rPr>
              <w:t>个，全面消除空壳村</w:t>
            </w:r>
            <w:r>
              <w:rPr>
                <w:rFonts w:cs="宋体" w:hint="eastAsia"/>
                <w:color w:val="000000"/>
                <w:kern w:val="0"/>
                <w:sz w:val="24"/>
                <w:szCs w:val="24"/>
              </w:rPr>
              <w:t>11</w:t>
            </w:r>
            <w:r>
              <w:rPr>
                <w:rFonts w:cs="宋体" w:hint="eastAsia"/>
                <w:color w:val="000000"/>
                <w:kern w:val="0"/>
                <w:sz w:val="24"/>
                <w:szCs w:val="24"/>
              </w:rPr>
              <w:t>个，其中收入</w:t>
            </w:r>
            <w:r>
              <w:rPr>
                <w:rFonts w:cs="宋体" w:hint="eastAsia"/>
                <w:color w:val="000000"/>
                <w:kern w:val="0"/>
                <w:sz w:val="24"/>
                <w:szCs w:val="24"/>
              </w:rPr>
              <w:t>10</w:t>
            </w:r>
            <w:r>
              <w:rPr>
                <w:rFonts w:cs="宋体" w:hint="eastAsia"/>
                <w:color w:val="000000"/>
                <w:kern w:val="0"/>
                <w:sz w:val="24"/>
                <w:szCs w:val="24"/>
              </w:rPr>
              <w:t>万元以上</w:t>
            </w:r>
            <w:r>
              <w:rPr>
                <w:rFonts w:cs="宋体" w:hint="eastAsia"/>
                <w:color w:val="000000"/>
                <w:kern w:val="0"/>
                <w:sz w:val="24"/>
                <w:szCs w:val="24"/>
              </w:rPr>
              <w:t>3</w:t>
            </w:r>
            <w:r>
              <w:rPr>
                <w:rFonts w:cs="宋体" w:hint="eastAsia"/>
                <w:color w:val="000000"/>
                <w:kern w:val="0"/>
                <w:sz w:val="24"/>
                <w:szCs w:val="24"/>
              </w:rPr>
              <w:t>个，村集体经济组织逐渐发展壮大</w:t>
            </w:r>
          </w:p>
        </w:tc>
      </w:tr>
      <w:tr w:rsidR="00336475">
        <w:trPr>
          <w:trHeight w:val="479"/>
          <w:jc w:val="center"/>
        </w:trPr>
        <w:tc>
          <w:tcPr>
            <w:tcW w:w="841" w:type="dxa"/>
            <w:vMerge w:val="restart"/>
            <w:tcBorders>
              <w:top w:val="nil"/>
              <w:left w:val="single" w:sz="4" w:space="0" w:color="auto"/>
              <w:bottom w:val="single" w:sz="4" w:space="0" w:color="auto"/>
              <w:right w:val="single" w:sz="4" w:space="0" w:color="auto"/>
            </w:tcBorders>
            <w:noWrap/>
            <w:textDirection w:val="tbRlV"/>
            <w:vAlign w:val="center"/>
          </w:tcPr>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绩效指标</w:t>
            </w:r>
          </w:p>
        </w:tc>
        <w:tc>
          <w:tcPr>
            <w:tcW w:w="751" w:type="dxa"/>
            <w:tcBorders>
              <w:top w:val="nil"/>
              <w:left w:val="nil"/>
              <w:bottom w:val="single" w:sz="4" w:space="0" w:color="auto"/>
              <w:right w:val="nil"/>
            </w:tcBorders>
            <w:noWrap/>
            <w:vAlign w:val="center"/>
          </w:tcPr>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指标</w:t>
            </w:r>
          </w:p>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名称</w:t>
            </w:r>
          </w:p>
        </w:tc>
        <w:tc>
          <w:tcPr>
            <w:tcW w:w="703" w:type="dxa"/>
            <w:gridSpan w:val="2"/>
            <w:tcBorders>
              <w:top w:val="nil"/>
              <w:left w:val="single" w:sz="4" w:space="0" w:color="auto"/>
              <w:bottom w:val="single" w:sz="4" w:space="0" w:color="auto"/>
              <w:right w:val="single" w:sz="4" w:space="0" w:color="auto"/>
            </w:tcBorders>
            <w:noWrap/>
            <w:vAlign w:val="center"/>
          </w:tcPr>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计量</w:t>
            </w:r>
          </w:p>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单位</w:t>
            </w:r>
          </w:p>
        </w:tc>
        <w:tc>
          <w:tcPr>
            <w:tcW w:w="704" w:type="dxa"/>
            <w:gridSpan w:val="2"/>
            <w:tcBorders>
              <w:top w:val="nil"/>
              <w:left w:val="nil"/>
              <w:bottom w:val="single" w:sz="4" w:space="0" w:color="auto"/>
              <w:right w:val="single" w:sz="4" w:space="0" w:color="auto"/>
            </w:tcBorders>
            <w:noWrap/>
            <w:vAlign w:val="center"/>
          </w:tcPr>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指标</w:t>
            </w:r>
          </w:p>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性质</w:t>
            </w:r>
          </w:p>
        </w:tc>
        <w:tc>
          <w:tcPr>
            <w:tcW w:w="703" w:type="dxa"/>
            <w:gridSpan w:val="3"/>
            <w:tcBorders>
              <w:top w:val="nil"/>
              <w:left w:val="nil"/>
              <w:bottom w:val="single" w:sz="4" w:space="0" w:color="auto"/>
              <w:right w:val="single" w:sz="4" w:space="0" w:color="auto"/>
            </w:tcBorders>
            <w:noWrap/>
            <w:vAlign w:val="center"/>
          </w:tcPr>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年初</w:t>
            </w:r>
          </w:p>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指标</w:t>
            </w:r>
          </w:p>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值</w:t>
            </w:r>
          </w:p>
        </w:tc>
        <w:tc>
          <w:tcPr>
            <w:tcW w:w="699" w:type="dxa"/>
            <w:tcBorders>
              <w:top w:val="nil"/>
              <w:left w:val="nil"/>
              <w:bottom w:val="single" w:sz="4" w:space="0" w:color="auto"/>
              <w:right w:val="single" w:sz="4" w:space="0" w:color="auto"/>
            </w:tcBorders>
            <w:noWrap/>
            <w:vAlign w:val="center"/>
          </w:tcPr>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调整</w:t>
            </w:r>
          </w:p>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指标</w:t>
            </w:r>
          </w:p>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值</w:t>
            </w:r>
          </w:p>
        </w:tc>
        <w:tc>
          <w:tcPr>
            <w:tcW w:w="1004" w:type="dxa"/>
            <w:tcBorders>
              <w:top w:val="nil"/>
              <w:left w:val="nil"/>
              <w:bottom w:val="single" w:sz="4" w:space="0" w:color="auto"/>
              <w:right w:val="single" w:sz="4" w:space="0" w:color="auto"/>
            </w:tcBorders>
            <w:noWrap/>
            <w:vAlign w:val="center"/>
          </w:tcPr>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全年</w:t>
            </w:r>
          </w:p>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完成值</w:t>
            </w:r>
          </w:p>
        </w:tc>
        <w:tc>
          <w:tcPr>
            <w:tcW w:w="1091" w:type="dxa"/>
            <w:tcBorders>
              <w:top w:val="nil"/>
              <w:left w:val="nil"/>
              <w:bottom w:val="single" w:sz="4" w:space="0" w:color="auto"/>
              <w:right w:val="single" w:sz="4" w:space="0" w:color="auto"/>
            </w:tcBorders>
            <w:noWrap/>
            <w:vAlign w:val="center"/>
          </w:tcPr>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得分</w:t>
            </w:r>
          </w:p>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系数</w:t>
            </w:r>
          </w:p>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w:t>
            </w:r>
            <w:r>
              <w:rPr>
                <w:rFonts w:cs="宋体" w:hint="eastAsia"/>
                <w:color w:val="000000"/>
                <w:kern w:val="0"/>
                <w:sz w:val="24"/>
                <w:szCs w:val="24"/>
              </w:rPr>
              <w:t>%</w:t>
            </w:r>
            <w:r>
              <w:rPr>
                <w:rFonts w:cs="宋体" w:hint="eastAsia"/>
                <w:color w:val="000000"/>
                <w:kern w:val="0"/>
                <w:sz w:val="24"/>
                <w:szCs w:val="24"/>
              </w:rPr>
              <w:t>）</w:t>
            </w:r>
          </w:p>
        </w:tc>
        <w:tc>
          <w:tcPr>
            <w:tcW w:w="936" w:type="dxa"/>
            <w:tcBorders>
              <w:top w:val="nil"/>
              <w:left w:val="nil"/>
              <w:bottom w:val="single" w:sz="4" w:space="0" w:color="auto"/>
              <w:right w:val="single" w:sz="4" w:space="0" w:color="auto"/>
            </w:tcBorders>
            <w:noWrap/>
            <w:vAlign w:val="center"/>
          </w:tcPr>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指标</w:t>
            </w:r>
          </w:p>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权重</w:t>
            </w:r>
          </w:p>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（分）</w:t>
            </w:r>
          </w:p>
        </w:tc>
        <w:tc>
          <w:tcPr>
            <w:tcW w:w="1400" w:type="dxa"/>
            <w:gridSpan w:val="2"/>
            <w:tcBorders>
              <w:top w:val="nil"/>
              <w:left w:val="nil"/>
              <w:bottom w:val="single" w:sz="4" w:space="0" w:color="auto"/>
              <w:right w:val="single" w:sz="4" w:space="0" w:color="auto"/>
            </w:tcBorders>
            <w:noWrap/>
            <w:vAlign w:val="center"/>
          </w:tcPr>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指标得分</w:t>
            </w:r>
          </w:p>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（分）</w:t>
            </w:r>
          </w:p>
        </w:tc>
        <w:tc>
          <w:tcPr>
            <w:tcW w:w="1229" w:type="dxa"/>
            <w:tcBorders>
              <w:top w:val="nil"/>
              <w:left w:val="nil"/>
              <w:bottom w:val="single" w:sz="4" w:space="0" w:color="auto"/>
              <w:right w:val="single" w:sz="4" w:space="0" w:color="auto"/>
            </w:tcBorders>
            <w:noWrap/>
            <w:vAlign w:val="center"/>
          </w:tcPr>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是否核心</w:t>
            </w:r>
          </w:p>
          <w:p w:rsidR="00336475" w:rsidRDefault="00BE0E47">
            <w:pPr>
              <w:widowControl/>
              <w:spacing w:line="300" w:lineRule="exact"/>
              <w:jc w:val="center"/>
              <w:rPr>
                <w:rFonts w:cs="宋体"/>
                <w:color w:val="000000"/>
                <w:kern w:val="0"/>
                <w:sz w:val="24"/>
                <w:szCs w:val="24"/>
              </w:rPr>
            </w:pPr>
            <w:r>
              <w:rPr>
                <w:rFonts w:cs="宋体" w:hint="eastAsia"/>
                <w:color w:val="000000"/>
                <w:kern w:val="0"/>
                <w:sz w:val="24"/>
                <w:szCs w:val="24"/>
              </w:rPr>
              <w:t>指标</w:t>
            </w:r>
          </w:p>
        </w:tc>
      </w:tr>
      <w:tr w:rsidR="00336475">
        <w:trPr>
          <w:trHeight w:val="417"/>
          <w:jc w:val="center"/>
        </w:trPr>
        <w:tc>
          <w:tcPr>
            <w:tcW w:w="841" w:type="dxa"/>
            <w:vMerge/>
            <w:tcBorders>
              <w:top w:val="nil"/>
              <w:left w:val="single" w:sz="4" w:space="0" w:color="auto"/>
              <w:bottom w:val="single" w:sz="4" w:space="0" w:color="auto"/>
              <w:right w:val="single" w:sz="4" w:space="0" w:color="auto"/>
            </w:tcBorders>
            <w:noWrap/>
            <w:vAlign w:val="center"/>
          </w:tcPr>
          <w:p w:rsidR="00336475" w:rsidRDefault="00336475">
            <w:pPr>
              <w:widowControl/>
              <w:spacing w:line="300" w:lineRule="exact"/>
              <w:jc w:val="both"/>
              <w:rPr>
                <w:rFonts w:cs="宋体"/>
                <w:color w:val="000000"/>
                <w:kern w:val="0"/>
                <w:sz w:val="24"/>
                <w:szCs w:val="24"/>
              </w:rPr>
            </w:pPr>
          </w:p>
        </w:tc>
        <w:tc>
          <w:tcPr>
            <w:tcW w:w="751" w:type="dxa"/>
            <w:tcBorders>
              <w:top w:val="nil"/>
              <w:left w:val="nil"/>
              <w:bottom w:val="single" w:sz="4" w:space="0" w:color="auto"/>
              <w:right w:val="nil"/>
            </w:tcBorders>
            <w:noWrap/>
            <w:vAlign w:val="center"/>
          </w:tcPr>
          <w:p w:rsidR="00336475" w:rsidRDefault="00BE0E47">
            <w:pPr>
              <w:widowControl/>
              <w:spacing w:line="300" w:lineRule="exact"/>
              <w:jc w:val="both"/>
              <w:rPr>
                <w:rFonts w:cs="宋体"/>
                <w:color w:val="000000"/>
                <w:kern w:val="0"/>
                <w:sz w:val="24"/>
                <w:szCs w:val="24"/>
              </w:rPr>
            </w:pPr>
            <w:r>
              <w:rPr>
                <w:rFonts w:cs="宋体" w:hint="eastAsia"/>
                <w:color w:val="000000"/>
                <w:kern w:val="0"/>
                <w:sz w:val="24"/>
                <w:szCs w:val="24"/>
              </w:rPr>
              <w:t>项目收益中村集体分配比例</w:t>
            </w:r>
          </w:p>
        </w:tc>
        <w:tc>
          <w:tcPr>
            <w:tcW w:w="703" w:type="dxa"/>
            <w:gridSpan w:val="2"/>
            <w:tcBorders>
              <w:top w:val="nil"/>
              <w:left w:val="single" w:sz="4" w:space="0" w:color="auto"/>
              <w:bottom w:val="single" w:sz="4" w:space="0" w:color="auto"/>
              <w:right w:val="nil"/>
            </w:tcBorders>
            <w:noWrap/>
            <w:vAlign w:val="center"/>
          </w:tcPr>
          <w:p w:rsidR="00336475" w:rsidRDefault="00BE0E47">
            <w:pPr>
              <w:widowControl/>
              <w:spacing w:line="300" w:lineRule="exact"/>
              <w:jc w:val="both"/>
              <w:rPr>
                <w:rFonts w:cs="宋体"/>
                <w:color w:val="000000"/>
                <w:kern w:val="0"/>
                <w:sz w:val="24"/>
                <w:szCs w:val="24"/>
              </w:rPr>
            </w:pPr>
            <w:r>
              <w:rPr>
                <w:rFonts w:cs="宋体" w:hint="eastAsia"/>
                <w:color w:val="000000"/>
                <w:kern w:val="0"/>
                <w:sz w:val="24"/>
                <w:szCs w:val="24"/>
              </w:rPr>
              <w:t>%</w:t>
            </w:r>
          </w:p>
        </w:tc>
        <w:tc>
          <w:tcPr>
            <w:tcW w:w="704" w:type="dxa"/>
            <w:gridSpan w:val="2"/>
            <w:tcBorders>
              <w:top w:val="nil"/>
              <w:left w:val="single" w:sz="4" w:space="0" w:color="auto"/>
              <w:bottom w:val="single" w:sz="4" w:space="0" w:color="auto"/>
              <w:right w:val="nil"/>
            </w:tcBorders>
            <w:noWrap/>
            <w:vAlign w:val="center"/>
          </w:tcPr>
          <w:p w:rsidR="00336475" w:rsidRDefault="00BE0E47">
            <w:pPr>
              <w:widowControl/>
              <w:spacing w:line="300" w:lineRule="exact"/>
              <w:jc w:val="both"/>
              <w:rPr>
                <w:rFonts w:cs="宋体"/>
                <w:color w:val="000000"/>
                <w:kern w:val="0"/>
                <w:sz w:val="24"/>
                <w:szCs w:val="24"/>
              </w:rPr>
            </w:pPr>
            <w:r>
              <w:rPr>
                <w:rFonts w:cs="宋体" w:hint="eastAsia"/>
                <w:color w:val="000000"/>
                <w:kern w:val="0"/>
                <w:sz w:val="24"/>
                <w:szCs w:val="24"/>
              </w:rPr>
              <w:t>质量指标</w:t>
            </w:r>
          </w:p>
        </w:tc>
        <w:tc>
          <w:tcPr>
            <w:tcW w:w="703" w:type="dxa"/>
            <w:gridSpan w:val="3"/>
            <w:tcBorders>
              <w:top w:val="nil"/>
              <w:left w:val="single" w:sz="4" w:space="0" w:color="auto"/>
              <w:bottom w:val="single" w:sz="4" w:space="0" w:color="auto"/>
              <w:right w:val="nil"/>
            </w:tcBorders>
            <w:noWrap/>
            <w:vAlign w:val="center"/>
          </w:tcPr>
          <w:p w:rsidR="00336475" w:rsidRDefault="00336475">
            <w:pPr>
              <w:widowControl/>
              <w:spacing w:line="300" w:lineRule="exact"/>
              <w:jc w:val="both"/>
              <w:rPr>
                <w:rFonts w:cs="宋体"/>
                <w:color w:val="000000"/>
                <w:kern w:val="0"/>
                <w:sz w:val="24"/>
                <w:szCs w:val="24"/>
              </w:rPr>
            </w:pPr>
          </w:p>
        </w:tc>
        <w:tc>
          <w:tcPr>
            <w:tcW w:w="699" w:type="dxa"/>
            <w:tcBorders>
              <w:top w:val="nil"/>
              <w:left w:val="single" w:sz="4" w:space="0" w:color="auto"/>
              <w:bottom w:val="single" w:sz="4" w:space="0" w:color="auto"/>
              <w:right w:val="nil"/>
            </w:tcBorders>
            <w:noWrap/>
            <w:vAlign w:val="center"/>
          </w:tcPr>
          <w:p w:rsidR="00336475" w:rsidRDefault="00BE0E47">
            <w:pPr>
              <w:widowControl/>
              <w:spacing w:line="300" w:lineRule="exact"/>
              <w:jc w:val="both"/>
              <w:rPr>
                <w:rFonts w:cs="宋体"/>
                <w:color w:val="000000"/>
                <w:kern w:val="0"/>
                <w:sz w:val="24"/>
                <w:szCs w:val="24"/>
              </w:rPr>
            </w:pPr>
            <w:r>
              <w:rPr>
                <w:rFonts w:cs="宋体" w:hint="eastAsia"/>
                <w:color w:val="000000"/>
                <w:kern w:val="0"/>
                <w:sz w:val="24"/>
                <w:szCs w:val="24"/>
              </w:rPr>
              <w:t>6</w:t>
            </w:r>
          </w:p>
        </w:tc>
        <w:tc>
          <w:tcPr>
            <w:tcW w:w="1004" w:type="dxa"/>
            <w:tcBorders>
              <w:top w:val="nil"/>
              <w:left w:val="single" w:sz="4" w:space="0" w:color="auto"/>
              <w:bottom w:val="single" w:sz="4" w:space="0" w:color="auto"/>
              <w:right w:val="nil"/>
            </w:tcBorders>
            <w:noWrap/>
            <w:vAlign w:val="center"/>
          </w:tcPr>
          <w:p w:rsidR="00336475" w:rsidRDefault="00BE0E47">
            <w:pPr>
              <w:widowControl/>
              <w:spacing w:line="300" w:lineRule="exact"/>
              <w:jc w:val="both"/>
              <w:rPr>
                <w:rFonts w:cs="宋体"/>
                <w:color w:val="000000"/>
                <w:kern w:val="0"/>
                <w:sz w:val="24"/>
                <w:szCs w:val="24"/>
              </w:rPr>
            </w:pPr>
            <w:r>
              <w:rPr>
                <w:rFonts w:cs="宋体" w:hint="eastAsia"/>
                <w:color w:val="000000"/>
                <w:kern w:val="0"/>
                <w:sz w:val="24"/>
                <w:szCs w:val="24"/>
              </w:rPr>
              <w:t>6</w:t>
            </w:r>
          </w:p>
        </w:tc>
        <w:tc>
          <w:tcPr>
            <w:tcW w:w="1091" w:type="dxa"/>
            <w:tcBorders>
              <w:top w:val="nil"/>
              <w:left w:val="single" w:sz="4" w:space="0" w:color="auto"/>
              <w:bottom w:val="single" w:sz="4" w:space="0" w:color="auto"/>
              <w:right w:val="nil"/>
            </w:tcBorders>
            <w:noWrap/>
            <w:vAlign w:val="center"/>
          </w:tcPr>
          <w:p w:rsidR="00336475" w:rsidRDefault="00BE0E47">
            <w:pPr>
              <w:widowControl/>
              <w:spacing w:line="300" w:lineRule="exact"/>
              <w:jc w:val="both"/>
              <w:rPr>
                <w:rFonts w:cs="宋体"/>
                <w:color w:val="000000"/>
                <w:kern w:val="0"/>
                <w:sz w:val="24"/>
                <w:szCs w:val="24"/>
              </w:rPr>
            </w:pPr>
            <w:r>
              <w:rPr>
                <w:rFonts w:cs="宋体" w:hint="eastAsia"/>
                <w:color w:val="000000"/>
                <w:kern w:val="0"/>
                <w:sz w:val="24"/>
                <w:szCs w:val="24"/>
              </w:rPr>
              <w:t>100</w:t>
            </w:r>
          </w:p>
        </w:tc>
        <w:tc>
          <w:tcPr>
            <w:tcW w:w="936" w:type="dxa"/>
            <w:tcBorders>
              <w:top w:val="nil"/>
              <w:left w:val="single" w:sz="4" w:space="0" w:color="auto"/>
              <w:bottom w:val="single" w:sz="4" w:space="0" w:color="auto"/>
              <w:right w:val="nil"/>
            </w:tcBorders>
            <w:noWrap/>
            <w:vAlign w:val="center"/>
          </w:tcPr>
          <w:p w:rsidR="00336475" w:rsidRDefault="00BE0E47">
            <w:pPr>
              <w:widowControl/>
              <w:spacing w:line="300" w:lineRule="exact"/>
              <w:jc w:val="both"/>
              <w:rPr>
                <w:rFonts w:cs="宋体"/>
                <w:color w:val="000000"/>
                <w:kern w:val="0"/>
                <w:sz w:val="24"/>
                <w:szCs w:val="24"/>
              </w:rPr>
            </w:pPr>
            <w:r>
              <w:rPr>
                <w:rFonts w:cs="宋体" w:hint="eastAsia"/>
                <w:color w:val="000000"/>
                <w:kern w:val="0"/>
                <w:sz w:val="24"/>
                <w:szCs w:val="24"/>
              </w:rPr>
              <w:t>15</w:t>
            </w:r>
          </w:p>
        </w:tc>
        <w:tc>
          <w:tcPr>
            <w:tcW w:w="1400" w:type="dxa"/>
            <w:gridSpan w:val="2"/>
            <w:tcBorders>
              <w:top w:val="nil"/>
              <w:left w:val="single" w:sz="4" w:space="0" w:color="auto"/>
              <w:bottom w:val="single" w:sz="4" w:space="0" w:color="auto"/>
              <w:right w:val="nil"/>
            </w:tcBorders>
            <w:noWrap/>
            <w:vAlign w:val="center"/>
          </w:tcPr>
          <w:p w:rsidR="00336475" w:rsidRDefault="00BE0E47">
            <w:pPr>
              <w:widowControl/>
              <w:spacing w:line="300" w:lineRule="exact"/>
              <w:jc w:val="both"/>
              <w:rPr>
                <w:rFonts w:cs="宋体"/>
                <w:color w:val="000000"/>
                <w:kern w:val="0"/>
                <w:sz w:val="24"/>
                <w:szCs w:val="24"/>
              </w:rPr>
            </w:pPr>
            <w:r>
              <w:rPr>
                <w:rFonts w:cs="宋体" w:hint="eastAsia"/>
                <w:color w:val="000000"/>
                <w:kern w:val="0"/>
                <w:sz w:val="24"/>
                <w:szCs w:val="24"/>
              </w:rPr>
              <w:t>15</w:t>
            </w:r>
          </w:p>
        </w:tc>
        <w:tc>
          <w:tcPr>
            <w:tcW w:w="1229" w:type="dxa"/>
            <w:tcBorders>
              <w:top w:val="nil"/>
              <w:left w:val="single" w:sz="4" w:space="0" w:color="auto"/>
              <w:bottom w:val="single" w:sz="4" w:space="0" w:color="auto"/>
              <w:right w:val="single" w:sz="4" w:space="0" w:color="auto"/>
            </w:tcBorders>
            <w:noWrap/>
            <w:vAlign w:val="center"/>
          </w:tcPr>
          <w:p w:rsidR="00336475" w:rsidRDefault="00BE0E47">
            <w:pPr>
              <w:widowControl/>
              <w:spacing w:line="300" w:lineRule="exact"/>
              <w:jc w:val="both"/>
              <w:rPr>
                <w:rFonts w:cs="宋体"/>
                <w:color w:val="000000"/>
                <w:kern w:val="0"/>
                <w:sz w:val="24"/>
                <w:szCs w:val="24"/>
              </w:rPr>
            </w:pPr>
            <w:r>
              <w:rPr>
                <w:rFonts w:cs="宋体" w:hint="eastAsia"/>
                <w:color w:val="000000"/>
                <w:kern w:val="0"/>
                <w:sz w:val="24"/>
                <w:szCs w:val="24"/>
              </w:rPr>
              <w:t>是</w:t>
            </w:r>
          </w:p>
        </w:tc>
      </w:tr>
      <w:tr w:rsidR="00336475">
        <w:trPr>
          <w:trHeight w:val="602"/>
          <w:jc w:val="center"/>
        </w:trPr>
        <w:tc>
          <w:tcPr>
            <w:tcW w:w="841" w:type="dxa"/>
            <w:tcBorders>
              <w:top w:val="nil"/>
              <w:left w:val="single" w:sz="4" w:space="0" w:color="auto"/>
              <w:bottom w:val="single" w:sz="4" w:space="0" w:color="auto"/>
              <w:right w:val="single" w:sz="4" w:space="0" w:color="auto"/>
            </w:tcBorders>
            <w:noWrap/>
            <w:vAlign w:val="center"/>
          </w:tcPr>
          <w:p w:rsidR="00336475" w:rsidRDefault="00BE0E47">
            <w:pPr>
              <w:widowControl/>
              <w:spacing w:line="300" w:lineRule="exact"/>
              <w:jc w:val="both"/>
              <w:rPr>
                <w:rFonts w:cs="宋体"/>
                <w:color w:val="000000"/>
                <w:kern w:val="0"/>
                <w:sz w:val="24"/>
                <w:szCs w:val="24"/>
              </w:rPr>
            </w:pPr>
            <w:r>
              <w:rPr>
                <w:rFonts w:cs="宋体" w:hint="eastAsia"/>
                <w:color w:val="000000"/>
                <w:kern w:val="0"/>
                <w:sz w:val="24"/>
                <w:szCs w:val="24"/>
              </w:rPr>
              <w:t>说明</w:t>
            </w:r>
          </w:p>
        </w:tc>
        <w:tc>
          <w:tcPr>
            <w:tcW w:w="9220" w:type="dxa"/>
            <w:gridSpan w:val="15"/>
            <w:tcBorders>
              <w:top w:val="single" w:sz="4" w:space="0" w:color="auto"/>
              <w:left w:val="nil"/>
              <w:bottom w:val="single" w:sz="4" w:space="0" w:color="auto"/>
              <w:right w:val="single" w:sz="4" w:space="0" w:color="auto"/>
            </w:tcBorders>
            <w:noWrap/>
            <w:vAlign w:val="center"/>
          </w:tcPr>
          <w:p w:rsidR="00336475" w:rsidRDefault="00336475">
            <w:pPr>
              <w:widowControl/>
              <w:spacing w:line="300" w:lineRule="exact"/>
              <w:jc w:val="both"/>
              <w:rPr>
                <w:rFonts w:cs="宋体"/>
                <w:color w:val="000000"/>
                <w:kern w:val="0"/>
                <w:sz w:val="24"/>
                <w:szCs w:val="24"/>
              </w:rPr>
            </w:pPr>
          </w:p>
        </w:tc>
      </w:tr>
    </w:tbl>
    <w:p w:rsidR="00336475" w:rsidRDefault="00BE0E47" w:rsidP="00B16F32">
      <w:pPr>
        <w:pStyle w:val="a8"/>
        <w:rPr>
          <w:b/>
          <w:bCs/>
        </w:rPr>
      </w:pPr>
      <w:r>
        <w:rPr>
          <w:rFonts w:hint="eastAsia"/>
          <w:b/>
          <w:bCs/>
        </w:rPr>
        <w:t>2.</w:t>
      </w:r>
      <w:r>
        <w:rPr>
          <w:rFonts w:hint="eastAsia"/>
          <w:b/>
          <w:bCs/>
        </w:rPr>
        <w:t>绩效自评报告或案例</w:t>
      </w:r>
    </w:p>
    <w:p w:rsidR="00336475" w:rsidRDefault="00BE0E47">
      <w:pPr>
        <w:pStyle w:val="a8"/>
      </w:pPr>
      <w:r>
        <w:rPr>
          <w:rFonts w:hint="eastAsia"/>
        </w:rPr>
        <w:t>部门未委托第三方开展绩效自评。</w:t>
      </w:r>
    </w:p>
    <w:p w:rsidR="00336475" w:rsidRDefault="00BE0E47">
      <w:pPr>
        <w:pStyle w:val="a8"/>
        <w:rPr>
          <w:rFonts w:ascii="方正楷体_GBK" w:eastAsia="方正楷体_GBK" w:hAnsi="方正楷体_GBK" w:cs="方正楷体_GBK"/>
        </w:rPr>
      </w:pPr>
      <w:r>
        <w:rPr>
          <w:rFonts w:ascii="方正楷体_GBK" w:eastAsia="方正楷体_GBK" w:hAnsi="方正楷体_GBK" w:cs="方正楷体_GBK" w:hint="eastAsia"/>
        </w:rPr>
        <w:t>（三）重点绩效评价结果</w:t>
      </w:r>
    </w:p>
    <w:p w:rsidR="00336475" w:rsidRDefault="00BE0E47">
      <w:pPr>
        <w:pStyle w:val="a8"/>
      </w:pPr>
      <w:r>
        <w:rPr>
          <w:rFonts w:hint="eastAsia"/>
        </w:rPr>
        <w:t>县财政局委托第三方对部门开展重点绩效评价，目前尚未出</w:t>
      </w:r>
      <w:r>
        <w:rPr>
          <w:rFonts w:hint="eastAsia"/>
        </w:rPr>
        <w:lastRenderedPageBreak/>
        <w:t>具绩效评价报告，县财政局适时对重点评价结果再进行集中公开。</w:t>
      </w:r>
    </w:p>
    <w:p w:rsidR="00336475" w:rsidRDefault="00BE0E47">
      <w:pPr>
        <w:pStyle w:val="a8"/>
        <w:rPr>
          <w:rFonts w:ascii="方正黑体_GBK" w:eastAsia="方正黑体_GBK" w:hAnsi="方正黑体_GBK" w:cs="方正黑体_GBK"/>
        </w:rPr>
      </w:pPr>
      <w:r>
        <w:rPr>
          <w:rFonts w:ascii="方正黑体_GBK" w:eastAsia="方正黑体_GBK" w:hAnsi="方正黑体_GBK" w:cs="方正黑体_GBK" w:hint="eastAsia"/>
        </w:rPr>
        <w:t>六、专业名词解释</w:t>
      </w:r>
    </w:p>
    <w:p w:rsidR="00336475" w:rsidRDefault="00BE0E47">
      <w:pPr>
        <w:pStyle w:val="a8"/>
      </w:pPr>
      <w:r>
        <w:rPr>
          <w:rFonts w:ascii="方正楷体_GBK" w:eastAsia="方正楷体_GBK" w:hAnsi="方正楷体_GBK" w:cs="方正楷体_GBK" w:hint="eastAsia"/>
        </w:rPr>
        <w:t>（一）财政拨款收入</w:t>
      </w:r>
      <w:r>
        <w:rPr>
          <w:rFonts w:hint="eastAsia"/>
        </w:rPr>
        <w:t>：指本年度从本级财政部门取得的财政拨款，包括一般公共预算财政拨款和政府性基金预算财政拨款。</w:t>
      </w:r>
    </w:p>
    <w:p w:rsidR="00336475" w:rsidRDefault="00BE0E47">
      <w:pPr>
        <w:pStyle w:val="a8"/>
      </w:pPr>
      <w:r>
        <w:rPr>
          <w:rFonts w:ascii="方正楷体_GBK" w:eastAsia="方正楷体_GBK" w:hAnsi="方正楷体_GBK" w:cs="方正楷体_GBK" w:hint="eastAsia"/>
        </w:rPr>
        <w:t>（二）事业收入</w:t>
      </w:r>
      <w:r>
        <w:rPr>
          <w:rFonts w:hint="eastAsia"/>
        </w:rPr>
        <w:t>：指事业单位开展专业业务活动及其辅助活动取得的现金流入；事业单位收到的财政专户实际核拨的教育收费等资金在此反映。</w:t>
      </w:r>
    </w:p>
    <w:p w:rsidR="00336475" w:rsidRDefault="00BE0E47">
      <w:pPr>
        <w:pStyle w:val="a8"/>
      </w:pPr>
      <w:r>
        <w:rPr>
          <w:rFonts w:ascii="方正楷体_GBK" w:eastAsia="方正楷体_GBK" w:hAnsi="方正楷体_GBK" w:cs="方正楷体_GBK" w:hint="eastAsia"/>
        </w:rPr>
        <w:t>（三）经营收入</w:t>
      </w:r>
      <w:r>
        <w:rPr>
          <w:rFonts w:hint="eastAsia"/>
        </w:rPr>
        <w:t>：指事业单位在专业业务活动及其辅助活动之外开展非独立核算经营活动取得的现金流入。</w:t>
      </w:r>
    </w:p>
    <w:p w:rsidR="00336475" w:rsidRDefault="00BE0E47">
      <w:pPr>
        <w:pStyle w:val="a8"/>
      </w:pPr>
      <w:r>
        <w:rPr>
          <w:rFonts w:ascii="方正楷体_GBK" w:eastAsia="方正楷体_GBK" w:hAnsi="方正楷体_GBK" w:cs="方正楷体_GBK" w:hint="eastAsia"/>
        </w:rPr>
        <w:t>（四）其他收入</w:t>
      </w:r>
      <w:r>
        <w:rPr>
          <w:rFonts w:hint="eastAsi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336475" w:rsidRDefault="00BE0E47">
      <w:pPr>
        <w:pStyle w:val="a8"/>
      </w:pPr>
      <w:r>
        <w:rPr>
          <w:rFonts w:ascii="方正楷体_GBK" w:eastAsia="方正楷体_GBK" w:hAnsi="方正楷体_GBK" w:cs="方正楷体_GBK" w:hint="eastAsia"/>
        </w:rPr>
        <w:t>（五）用事业基金弥补收支差额</w:t>
      </w:r>
      <w:r>
        <w:rPr>
          <w:rFonts w:hint="eastAsia"/>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rsidR="00336475" w:rsidRDefault="00BE0E47">
      <w:pPr>
        <w:pStyle w:val="a8"/>
      </w:pPr>
      <w:r>
        <w:rPr>
          <w:rFonts w:ascii="方正楷体_GBK" w:eastAsia="方正楷体_GBK" w:hAnsi="方正楷体_GBK" w:cs="方正楷体_GBK" w:hint="eastAsia"/>
        </w:rPr>
        <w:t>（六）年初结转和结余</w:t>
      </w:r>
      <w:r>
        <w:rPr>
          <w:rFonts w:hint="eastAsia"/>
        </w:rPr>
        <w:t>：指单位上年结转本年使用的基本支</w:t>
      </w:r>
      <w:r>
        <w:rPr>
          <w:rFonts w:hint="eastAsia"/>
        </w:rPr>
        <w:lastRenderedPageBreak/>
        <w:t>出结转、项目支出结转和结余、经营结余。</w:t>
      </w:r>
    </w:p>
    <w:p w:rsidR="00336475" w:rsidRDefault="00BE0E47">
      <w:pPr>
        <w:pStyle w:val="a8"/>
      </w:pPr>
      <w:r>
        <w:rPr>
          <w:rFonts w:ascii="方正楷体_GBK" w:eastAsia="方正楷体_GBK" w:hAnsi="方正楷体_GBK" w:cs="方正楷体_GBK" w:hint="eastAsia"/>
        </w:rPr>
        <w:t>（七）结余分配</w:t>
      </w:r>
      <w:r>
        <w:rPr>
          <w:rFonts w:hint="eastAsia"/>
        </w:rPr>
        <w:t>：指单位按照国家有关规定，缴纳所得税、提取专用基金、转入事业基金等当年结余的分配情况。</w:t>
      </w:r>
    </w:p>
    <w:p w:rsidR="00336475" w:rsidRDefault="00BE0E47">
      <w:pPr>
        <w:pStyle w:val="a8"/>
      </w:pPr>
      <w:r>
        <w:rPr>
          <w:rFonts w:ascii="方正楷体_GBK" w:eastAsia="方正楷体_GBK" w:hAnsi="方正楷体_GBK" w:cs="方正楷体_GBK" w:hint="eastAsia"/>
        </w:rPr>
        <w:t>（八）年末结转和结余</w:t>
      </w:r>
      <w:r>
        <w:rPr>
          <w:rFonts w:hint="eastAsia"/>
        </w:rPr>
        <w:t>：指单位结转下年的基本支出结转、项目支出结转和结余、经营结余。</w:t>
      </w:r>
    </w:p>
    <w:p w:rsidR="00336475" w:rsidRDefault="00BE0E47">
      <w:pPr>
        <w:pStyle w:val="a8"/>
      </w:pPr>
      <w:r>
        <w:rPr>
          <w:rFonts w:ascii="方正楷体_GBK" w:eastAsia="方正楷体_GBK" w:hAnsi="方正楷体_GBK" w:cs="方正楷体_GBK" w:hint="eastAsia"/>
        </w:rPr>
        <w:t>（九）基本支出</w:t>
      </w:r>
      <w:r>
        <w:rPr>
          <w:rFonts w:hint="eastAsia"/>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336475" w:rsidRDefault="00BE0E47">
      <w:pPr>
        <w:pStyle w:val="a8"/>
      </w:pPr>
      <w:r>
        <w:rPr>
          <w:rFonts w:ascii="方正楷体_GBK" w:eastAsia="方正楷体_GBK" w:hAnsi="方正楷体_GBK" w:cs="方正楷体_GBK" w:hint="eastAsia"/>
        </w:rPr>
        <w:t>（十）项目支出</w:t>
      </w:r>
      <w:r>
        <w:rPr>
          <w:rFonts w:hint="eastAsia"/>
        </w:rPr>
        <w:t>：指在基本支出之外为完成特定行政任务和事业发展目标所发生的支出。</w:t>
      </w:r>
    </w:p>
    <w:p w:rsidR="00336475" w:rsidRDefault="00BE0E47">
      <w:pPr>
        <w:pStyle w:val="a8"/>
      </w:pPr>
      <w:r>
        <w:rPr>
          <w:rFonts w:ascii="方正楷体_GBK" w:eastAsia="方正楷体_GBK" w:hAnsi="方正楷体_GBK" w:cs="方正楷体_GBK" w:hint="eastAsia"/>
        </w:rPr>
        <w:t>（十一）经营支出</w:t>
      </w:r>
      <w:r>
        <w:rPr>
          <w:rFonts w:hint="eastAsia"/>
        </w:rPr>
        <w:t>：指事业单位在专业业务活动及其辅助活动之外开展非独立核算经营活动发生的支出。</w:t>
      </w:r>
    </w:p>
    <w:p w:rsidR="00336475" w:rsidRDefault="00BE0E47">
      <w:pPr>
        <w:pStyle w:val="a8"/>
      </w:pPr>
      <w:r>
        <w:rPr>
          <w:rFonts w:ascii="方正楷体_GBK" w:eastAsia="方正楷体_GBK" w:hAnsi="方正楷体_GBK" w:cs="方正楷体_GBK" w:hint="eastAsia"/>
        </w:rPr>
        <w:t>（十二）“三公”经费</w:t>
      </w:r>
      <w:r>
        <w:rPr>
          <w:rFonts w:hint="eastAsi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336475" w:rsidRDefault="00BE0E47">
      <w:pPr>
        <w:pStyle w:val="a8"/>
      </w:pPr>
      <w:r>
        <w:rPr>
          <w:rFonts w:ascii="方正楷体_GBK" w:eastAsia="方正楷体_GBK" w:hAnsi="方正楷体_GBK" w:cs="方正楷体_GBK" w:hint="eastAsia"/>
        </w:rPr>
        <w:lastRenderedPageBreak/>
        <w:t>（十三）机关运行经费</w:t>
      </w:r>
      <w:r>
        <w:rPr>
          <w:rFonts w:hint="eastAsia"/>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336475" w:rsidRDefault="00BE0E47">
      <w:pPr>
        <w:pStyle w:val="a8"/>
      </w:pPr>
      <w:r>
        <w:rPr>
          <w:rFonts w:ascii="方正楷体_GBK" w:eastAsia="方正楷体_GBK" w:hAnsi="方正楷体_GBK" w:cs="方正楷体_GBK" w:hint="eastAsia"/>
        </w:rPr>
        <w:t>（十四）工资福利支出（支出经济分类科目类级）：</w:t>
      </w:r>
      <w:r>
        <w:rPr>
          <w:rFonts w:hint="eastAsia"/>
        </w:rPr>
        <w:t>反映单位开支的在职职工和编制外长期聘用人员的各类劳动报酬，以及为上述人员缴纳的各项社会保险费等。</w:t>
      </w:r>
    </w:p>
    <w:p w:rsidR="00336475" w:rsidRDefault="00BE0E47">
      <w:pPr>
        <w:pStyle w:val="a8"/>
      </w:pPr>
      <w:r>
        <w:rPr>
          <w:rFonts w:ascii="方正楷体_GBK" w:eastAsia="方正楷体_GBK" w:hAnsi="方正楷体_GBK" w:cs="方正楷体_GBK" w:hint="eastAsia"/>
        </w:rPr>
        <w:t>（十五）商品和服务支出（支出经济分类科目类级）</w:t>
      </w:r>
      <w:r>
        <w:rPr>
          <w:rFonts w:hint="eastAsia"/>
        </w:rPr>
        <w:t>：反映单位购买商品和服务的支出（不包括用于购置固定资产的支出、战略性和应急储备支出）。</w:t>
      </w:r>
    </w:p>
    <w:p w:rsidR="00336475" w:rsidRDefault="00BE0E47">
      <w:pPr>
        <w:pStyle w:val="a8"/>
      </w:pPr>
      <w:r>
        <w:rPr>
          <w:rFonts w:ascii="方正楷体_GBK" w:eastAsia="方正楷体_GBK" w:hAnsi="方正楷体_GBK" w:cs="方正楷体_GBK" w:hint="eastAsia"/>
        </w:rPr>
        <w:t>（十六）对个人和家庭的补助（支出经济分类科目类级）</w:t>
      </w:r>
      <w:r>
        <w:rPr>
          <w:rFonts w:hint="eastAsia"/>
        </w:rPr>
        <w:t>：反映用于对个人和家庭的补助支出。</w:t>
      </w:r>
    </w:p>
    <w:p w:rsidR="00336475" w:rsidRDefault="00BE0E47">
      <w:pPr>
        <w:pStyle w:val="a8"/>
      </w:pPr>
      <w:r>
        <w:rPr>
          <w:rFonts w:ascii="方正楷体_GBK" w:eastAsia="方正楷体_GBK" w:hAnsi="方正楷体_GBK" w:cs="方正楷体_GBK" w:hint="eastAsia"/>
        </w:rPr>
        <w:t>（十七）其他资本性支出（支出经济分类科目类级）：</w:t>
      </w:r>
      <w:r>
        <w:rPr>
          <w:rFonts w:hint="eastAsia"/>
        </w:rPr>
        <w:t>反映非各级发展与改革部门集中安排的用于购置固定资产、战略性和应急性储备、土地和无形资产，以及构建基础设施、大型修缮和财政支持企业更新改造所发生的支出。</w:t>
      </w:r>
    </w:p>
    <w:p w:rsidR="00336475" w:rsidRDefault="00BE0E47">
      <w:pPr>
        <w:pStyle w:val="a8"/>
        <w:rPr>
          <w:rFonts w:ascii="方正黑体_GBK" w:eastAsia="方正黑体_GBK" w:hAnsi="方正黑体_GBK" w:cs="方正黑体_GBK"/>
        </w:rPr>
      </w:pPr>
      <w:r>
        <w:rPr>
          <w:rFonts w:ascii="方正黑体_GBK" w:eastAsia="方正黑体_GBK" w:hAnsi="方正黑体_GBK" w:cs="方正黑体_GBK" w:hint="eastAsia"/>
        </w:rPr>
        <w:t>七、决算公开联</w:t>
      </w:r>
      <w:bookmarkStart w:id="0" w:name="_GoBack"/>
      <w:bookmarkEnd w:id="0"/>
      <w:r>
        <w:rPr>
          <w:rFonts w:ascii="方正黑体_GBK" w:eastAsia="方正黑体_GBK" w:hAnsi="方正黑体_GBK" w:cs="方正黑体_GBK" w:hint="eastAsia"/>
        </w:rPr>
        <w:t>系方式</w:t>
      </w:r>
    </w:p>
    <w:p w:rsidR="00336475" w:rsidRDefault="00BE0E47">
      <w:pPr>
        <w:pStyle w:val="a8"/>
      </w:pPr>
      <w:r>
        <w:rPr>
          <w:rFonts w:hint="eastAsia"/>
        </w:rPr>
        <w:t>本单位决算公开信息反馈和联系方式：</w:t>
      </w:r>
      <w:r>
        <w:rPr>
          <w:rFonts w:hint="eastAsia"/>
        </w:rPr>
        <w:t>1020229659@qq.com</w:t>
      </w:r>
      <w:r>
        <w:rPr>
          <w:rFonts w:hint="eastAsia"/>
        </w:rPr>
        <w:t>。</w:t>
      </w:r>
    </w:p>
    <w:p w:rsidR="00336475" w:rsidRDefault="00336475">
      <w:pPr>
        <w:pStyle w:val="a8"/>
      </w:pPr>
    </w:p>
    <w:sectPr w:rsidR="00336475" w:rsidSect="00336475">
      <w:footerReference w:type="even" r:id="rId7"/>
      <w:footerReference w:type="default" r:id="rId8"/>
      <w:footerReference w:type="first" r:id="rId9"/>
      <w:pgSz w:w="11906" w:h="16838"/>
      <w:pgMar w:top="2098" w:right="1474" w:bottom="1984" w:left="1587" w:header="851" w:footer="1361" w:gutter="0"/>
      <w:cols w:space="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575" w:rsidRDefault="00BB5575">
      <w:pPr>
        <w:spacing w:line="240" w:lineRule="auto"/>
      </w:pPr>
      <w:r>
        <w:separator/>
      </w:r>
    </w:p>
  </w:endnote>
  <w:endnote w:type="continuationSeparator" w:id="0">
    <w:p w:rsidR="00BB5575" w:rsidRDefault="00BB557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charset w:val="86"/>
    <w:family w:val="script"/>
    <w:pitch w:val="default"/>
    <w:sig w:usb0="00000000" w:usb1="080E0000" w:usb2="00000000" w:usb3="00000000" w:csb0="00040000" w:csb1="00000000"/>
  </w:font>
  <w:font w:name="方正黑体_GBK">
    <w:altName w:val="微软雅黑"/>
    <w:charset w:val="86"/>
    <w:family w:val="script"/>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方正楷体_GBK">
    <w:altName w:val="微软雅黑"/>
    <w:charset w:val="86"/>
    <w:family w:val="script"/>
    <w:pitch w:val="default"/>
    <w:sig w:usb0="00000000" w:usb1="080E0000" w:usb2="00000000" w:usb3="00000000" w:csb0="00040000" w:csb1="00000000"/>
  </w:font>
  <w:font w:name="方正小标宋_GBK">
    <w:altName w:val="微软雅黑"/>
    <w:charset w:val="86"/>
    <w:family w:val="script"/>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475" w:rsidRDefault="00336475">
    <w:pPr>
      <w:pStyle w:val="a4"/>
      <w:ind w:left="320" w:right="3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475" w:rsidRDefault="00033039">
    <w:pPr>
      <w:pStyle w:val="a4"/>
      <w:ind w:left="320" w:right="320"/>
    </w:pPr>
    <w:r>
      <w:pict>
        <v:shapetype id="_x0000_t202" coordsize="21600,21600" o:spt="202" path="m,l,21600r21600,l21600,xe">
          <v:stroke joinstyle="miter"/>
          <v:path gradientshapeok="t" o:connecttype="rect"/>
        </v:shapetype>
        <v:shape id="_x0000_s1026" type="#_x0000_t202" style="position:absolute;left:0;text-align:left;margin-left:2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filled="f" stroked="f" strokeweight=".5pt">
          <v:textbox style="mso-fit-shape-to-text:t" inset="0,0,0,0">
            <w:txbxContent>
              <w:p w:rsidR="00336475" w:rsidRDefault="00BE0E47">
                <w:pPr>
                  <w:pStyle w:val="a4"/>
                  <w:ind w:left="320" w:right="320"/>
                </w:pPr>
                <w:r>
                  <w:rPr>
                    <w:rFonts w:hint="eastAsia"/>
                  </w:rPr>
                  <w:t>—</w:t>
                </w:r>
                <w:r w:rsidR="00033039">
                  <w:fldChar w:fldCharType="begin"/>
                </w:r>
                <w:r>
                  <w:instrText xml:space="preserve"> PAGE  \* MERGEFORMAT </w:instrText>
                </w:r>
                <w:r w:rsidR="00033039">
                  <w:fldChar w:fldCharType="separate"/>
                </w:r>
                <w:r w:rsidR="002F7357">
                  <w:rPr>
                    <w:noProof/>
                  </w:rPr>
                  <w:t>12</w:t>
                </w:r>
                <w:r w:rsidR="00033039">
                  <w:fldChar w:fldCharType="end"/>
                </w:r>
                <w:r>
                  <w:rPr>
                    <w:rFonts w:hint="eastAsia"/>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475" w:rsidRDefault="00336475">
    <w:pPr>
      <w:pStyle w:val="a4"/>
      <w:ind w:left="320" w:right="3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575" w:rsidRDefault="00BB5575">
      <w:pPr>
        <w:spacing w:line="240" w:lineRule="auto"/>
      </w:pPr>
      <w:r>
        <w:separator/>
      </w:r>
    </w:p>
  </w:footnote>
  <w:footnote w:type="continuationSeparator" w:id="0">
    <w:p w:rsidR="00BB5575" w:rsidRDefault="00BB5575">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5FA4907"/>
    <w:rsid w:val="000121B5"/>
    <w:rsid w:val="00033039"/>
    <w:rsid w:val="00090929"/>
    <w:rsid w:val="001D39DB"/>
    <w:rsid w:val="002F7357"/>
    <w:rsid w:val="00336475"/>
    <w:rsid w:val="007C403E"/>
    <w:rsid w:val="00884B0A"/>
    <w:rsid w:val="00924C56"/>
    <w:rsid w:val="009B055A"/>
    <w:rsid w:val="00B16F32"/>
    <w:rsid w:val="00BB5575"/>
    <w:rsid w:val="00BC60A1"/>
    <w:rsid w:val="00BE0E47"/>
    <w:rsid w:val="00D44A30"/>
    <w:rsid w:val="00EC207A"/>
    <w:rsid w:val="00F7059A"/>
    <w:rsid w:val="03AC051B"/>
    <w:rsid w:val="04456FC9"/>
    <w:rsid w:val="08EB026E"/>
    <w:rsid w:val="0A391F8F"/>
    <w:rsid w:val="0B945A55"/>
    <w:rsid w:val="0C874708"/>
    <w:rsid w:val="104C51CD"/>
    <w:rsid w:val="14967868"/>
    <w:rsid w:val="158953AB"/>
    <w:rsid w:val="15A47644"/>
    <w:rsid w:val="1709270C"/>
    <w:rsid w:val="189D56A3"/>
    <w:rsid w:val="198A5985"/>
    <w:rsid w:val="1A3372DE"/>
    <w:rsid w:val="1A760935"/>
    <w:rsid w:val="1B303147"/>
    <w:rsid w:val="1EB71B6E"/>
    <w:rsid w:val="1EC12977"/>
    <w:rsid w:val="1EE9565E"/>
    <w:rsid w:val="21CE6BFA"/>
    <w:rsid w:val="2A3C26FA"/>
    <w:rsid w:val="2AAB487D"/>
    <w:rsid w:val="2D777631"/>
    <w:rsid w:val="308F5E84"/>
    <w:rsid w:val="31E11C11"/>
    <w:rsid w:val="322C0575"/>
    <w:rsid w:val="32380B50"/>
    <w:rsid w:val="324127AF"/>
    <w:rsid w:val="335F21B9"/>
    <w:rsid w:val="35831E6E"/>
    <w:rsid w:val="35FA4907"/>
    <w:rsid w:val="38A15B40"/>
    <w:rsid w:val="39960D47"/>
    <w:rsid w:val="3A021941"/>
    <w:rsid w:val="3BDC3818"/>
    <w:rsid w:val="3CC26FCF"/>
    <w:rsid w:val="414A5EE4"/>
    <w:rsid w:val="43E65C18"/>
    <w:rsid w:val="44413E86"/>
    <w:rsid w:val="45996DA3"/>
    <w:rsid w:val="46E34063"/>
    <w:rsid w:val="4B093949"/>
    <w:rsid w:val="4B1A04D1"/>
    <w:rsid w:val="4F45052E"/>
    <w:rsid w:val="502E74EE"/>
    <w:rsid w:val="517270B7"/>
    <w:rsid w:val="5559525C"/>
    <w:rsid w:val="5A953307"/>
    <w:rsid w:val="5B284129"/>
    <w:rsid w:val="5B5531EB"/>
    <w:rsid w:val="5D3E2B6B"/>
    <w:rsid w:val="5E050339"/>
    <w:rsid w:val="61825751"/>
    <w:rsid w:val="62F04C73"/>
    <w:rsid w:val="635E5901"/>
    <w:rsid w:val="648C7C5B"/>
    <w:rsid w:val="65956D31"/>
    <w:rsid w:val="6869718B"/>
    <w:rsid w:val="68D16C3C"/>
    <w:rsid w:val="6BB2443E"/>
    <w:rsid w:val="6C7D1EB2"/>
    <w:rsid w:val="6CF01415"/>
    <w:rsid w:val="6CF413E2"/>
    <w:rsid w:val="6D31488D"/>
    <w:rsid w:val="6D836242"/>
    <w:rsid w:val="6F4B22C7"/>
    <w:rsid w:val="701B242D"/>
    <w:rsid w:val="70BB4870"/>
    <w:rsid w:val="70EC09C2"/>
    <w:rsid w:val="72265528"/>
    <w:rsid w:val="72D439DC"/>
    <w:rsid w:val="73CF3701"/>
    <w:rsid w:val="73E265A6"/>
    <w:rsid w:val="76B274DC"/>
    <w:rsid w:val="76B85D14"/>
    <w:rsid w:val="795D6D23"/>
    <w:rsid w:val="7B377ABB"/>
    <w:rsid w:val="7DC7277A"/>
    <w:rsid w:val="7FAB14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36475"/>
    <w:pPr>
      <w:widowControl w:val="0"/>
      <w:spacing w:line="560" w:lineRule="exact"/>
    </w:pPr>
    <w:rPr>
      <w:rFonts w:ascii="Times New Roman" w:eastAsia="方正仿宋_GBK" w:hAnsi="Times New Roman"/>
      <w:kern w:val="2"/>
      <w:sz w:val="32"/>
      <w:szCs w:val="32"/>
    </w:rPr>
  </w:style>
  <w:style w:type="paragraph" w:styleId="1">
    <w:name w:val="heading 1"/>
    <w:basedOn w:val="a"/>
    <w:next w:val="a"/>
    <w:qFormat/>
    <w:rsid w:val="00336475"/>
    <w:pPr>
      <w:keepNext/>
      <w:keepLines/>
      <w:ind w:firstLineChars="200" w:firstLine="872"/>
      <w:outlineLvl w:val="0"/>
    </w:pPr>
    <w:rPr>
      <w:rFonts w:eastAsia="方正黑体_GBK"/>
      <w:kern w:val="44"/>
    </w:rPr>
  </w:style>
  <w:style w:type="paragraph" w:styleId="2">
    <w:name w:val="heading 2"/>
    <w:basedOn w:val="a"/>
    <w:next w:val="a"/>
    <w:semiHidden/>
    <w:unhideWhenUsed/>
    <w:qFormat/>
    <w:rsid w:val="00336475"/>
    <w:pPr>
      <w:keepNext/>
      <w:keepLines/>
      <w:outlineLvl w:val="1"/>
    </w:pPr>
    <w:rPr>
      <w:rFonts w:ascii="Arial" w:eastAsia="方正楷体_GBK" w:hAnsi="Arial"/>
    </w:rPr>
  </w:style>
  <w:style w:type="paragraph" w:styleId="3">
    <w:name w:val="heading 3"/>
    <w:basedOn w:val="a"/>
    <w:next w:val="a"/>
    <w:semiHidden/>
    <w:unhideWhenUsed/>
    <w:qFormat/>
    <w:rsid w:val="00336475"/>
    <w:pPr>
      <w:keepNext/>
      <w:keepLines/>
      <w:ind w:firstLineChars="200" w:firstLine="872"/>
      <w:outlineLvl w:val="2"/>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336475"/>
  </w:style>
  <w:style w:type="paragraph" w:styleId="a4">
    <w:name w:val="footer"/>
    <w:basedOn w:val="a"/>
    <w:qFormat/>
    <w:rsid w:val="00336475"/>
    <w:pPr>
      <w:tabs>
        <w:tab w:val="center" w:pos="4153"/>
        <w:tab w:val="right" w:pos="8306"/>
      </w:tabs>
      <w:snapToGrid w:val="0"/>
      <w:ind w:leftChars="100" w:left="316" w:rightChars="100" w:right="316"/>
      <w:jc w:val="right"/>
    </w:pPr>
    <w:rPr>
      <w:rFonts w:ascii="宋体" w:eastAsia="宋体" w:hAnsi="宋体"/>
      <w:sz w:val="28"/>
    </w:rPr>
  </w:style>
  <w:style w:type="paragraph" w:styleId="a5">
    <w:name w:val="header"/>
    <w:basedOn w:val="a"/>
    <w:rsid w:val="00336475"/>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customStyle="1" w:styleId="a6">
    <w:name w:val="左页脚"/>
    <w:basedOn w:val="a4"/>
    <w:qFormat/>
    <w:rsid w:val="00336475"/>
    <w:pPr>
      <w:jc w:val="left"/>
    </w:pPr>
  </w:style>
  <w:style w:type="paragraph" w:customStyle="1" w:styleId="a7">
    <w:name w:val="右页脚"/>
    <w:basedOn w:val="a6"/>
    <w:qFormat/>
    <w:rsid w:val="00336475"/>
  </w:style>
  <w:style w:type="paragraph" w:customStyle="1" w:styleId="a8">
    <w:name w:val="公文正文"/>
    <w:basedOn w:val="a"/>
    <w:qFormat/>
    <w:rsid w:val="00336475"/>
    <w:pPr>
      <w:ind w:firstLineChars="200" w:firstLine="632"/>
      <w:jc w:val="both"/>
    </w:pPr>
  </w:style>
  <w:style w:type="paragraph" w:customStyle="1" w:styleId="a9">
    <w:name w:val="公文标题"/>
    <w:basedOn w:val="a8"/>
    <w:next w:val="a8"/>
    <w:qFormat/>
    <w:rsid w:val="00336475"/>
    <w:pPr>
      <w:ind w:firstLineChars="0" w:firstLine="0"/>
      <w:jc w:val="center"/>
    </w:pPr>
    <w:rPr>
      <w:rFonts w:eastAsia="方正小标宋_GBK"/>
      <w:sz w:val="44"/>
      <w:szCs w:val="44"/>
    </w:rPr>
  </w:style>
  <w:style w:type="paragraph" w:customStyle="1" w:styleId="aa">
    <w:name w:val="公文一级标题"/>
    <w:basedOn w:val="a8"/>
    <w:next w:val="a8"/>
    <w:link w:val="Char"/>
    <w:qFormat/>
    <w:rsid w:val="00336475"/>
    <w:rPr>
      <w:rFonts w:eastAsia="方正黑体_GBK"/>
    </w:rPr>
  </w:style>
  <w:style w:type="paragraph" w:customStyle="1" w:styleId="ab">
    <w:name w:val="公文二级标题"/>
    <w:basedOn w:val="a8"/>
    <w:next w:val="a8"/>
    <w:qFormat/>
    <w:rsid w:val="00336475"/>
    <w:rPr>
      <w:rFonts w:eastAsia="方正楷体_GBK"/>
    </w:rPr>
  </w:style>
  <w:style w:type="paragraph" w:customStyle="1" w:styleId="ac">
    <w:name w:val="公文三级标题"/>
    <w:basedOn w:val="a8"/>
    <w:next w:val="a8"/>
    <w:link w:val="Char0"/>
    <w:qFormat/>
    <w:rsid w:val="00336475"/>
    <w:rPr>
      <w:b/>
      <w:bCs/>
    </w:rPr>
  </w:style>
  <w:style w:type="character" w:customStyle="1" w:styleId="Char">
    <w:name w:val="公文一级标题 Char"/>
    <w:link w:val="aa"/>
    <w:qFormat/>
    <w:rsid w:val="00336475"/>
    <w:rPr>
      <w:rFonts w:ascii="Times New Roman" w:eastAsia="方正黑体_GBK" w:hAnsi="Times New Roman"/>
    </w:rPr>
  </w:style>
  <w:style w:type="character" w:customStyle="1" w:styleId="Char0">
    <w:name w:val="公文三级标题 Char"/>
    <w:link w:val="ac"/>
    <w:qFormat/>
    <w:rsid w:val="00336475"/>
    <w:rPr>
      <w:rFonts w:ascii="Times New Roman" w:eastAsia="方正仿宋_GBK" w:hAnsi="Times New Roman" w:cs="Times New Roman"/>
      <w:b/>
      <w:bCs/>
    </w:rPr>
  </w:style>
  <w:style w:type="paragraph" w:styleId="ad">
    <w:name w:val="List Paragraph"/>
    <w:uiPriority w:val="34"/>
    <w:qFormat/>
    <w:rsid w:val="00336475"/>
    <w:pPr>
      <w:widowControl w:val="0"/>
      <w:ind w:firstLineChars="200" w:firstLine="420"/>
      <w:jc w:val="both"/>
    </w:pPr>
    <w:rPr>
      <w:rFonts w:ascii="Times New Roman" w:eastAsia="宋体" w:hAnsi="Times New Roman" w:cs="Times New Roman"/>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16</Pages>
  <Words>1373</Words>
  <Characters>7829</Characters>
  <Application>Microsoft Office Word</Application>
  <DocSecurity>0</DocSecurity>
  <Lines>65</Lines>
  <Paragraphs>18</Paragraphs>
  <ScaleCrop>false</ScaleCrop>
  <Company>china</Company>
  <LinksUpToDate>false</LinksUpToDate>
  <CharactersWithSpaces>9184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林后宇</dc:creator>
  <cp:lastModifiedBy>xbany</cp:lastModifiedBy>
  <cp:revision>9</cp:revision>
  <dcterms:created xsi:type="dcterms:W3CDTF">2021-10-08T03:00:00Z</dcterms:created>
  <dcterms:modified xsi:type="dcterms:W3CDTF">2022-01-17T02:15:00Z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B2FDCD4FB00F4944AD547FE5C6BFC001</vt:lpwstr>
  </property>
</Properties>
</file>