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val="0"/>
        <w:spacing w:beforeAutospacing="0" w:afterAutospacing="0" w:line="560" w:lineRule="exact"/>
        <w:jc w:val="center"/>
        <w:rPr>
          <w:rFonts w:ascii="方正小标宋_GBK" w:eastAsia="方正小标宋_GBK" w:cs="宋体" w:hAnsiTheme="majorEastAsia"/>
          <w:bCs/>
          <w:color w:val="000000" w:themeColor="text1"/>
          <w:sz w:val="44"/>
          <w:szCs w:val="44"/>
          <w14:textFill>
            <w14:solidFill>
              <w14:schemeClr w14:val="tx1"/>
            </w14:solidFill>
          </w14:textFill>
        </w:rPr>
      </w:pPr>
      <w:r>
        <w:rPr>
          <w:rFonts w:hint="eastAsia" w:ascii="方正小标宋_GBK" w:eastAsia="方正小标宋_GBK" w:cs="宋体" w:hAnsiTheme="majorEastAsia"/>
          <w:bCs/>
          <w:color w:val="000000" w:themeColor="text1"/>
          <w:sz w:val="44"/>
          <w:szCs w:val="44"/>
          <w:shd w:val="clear" w:color="auto" w:fill="FFFFFF"/>
          <w14:textFill>
            <w14:solidFill>
              <w14:schemeClr w14:val="tx1"/>
            </w14:solidFill>
          </w14:textFill>
        </w:rPr>
        <w:t>城口县疾病预防控制中心</w:t>
      </w:r>
    </w:p>
    <w:p>
      <w:pPr>
        <w:pStyle w:val="4"/>
        <w:snapToGrid w:val="0"/>
        <w:spacing w:beforeAutospacing="0" w:afterAutospacing="0" w:line="560" w:lineRule="exact"/>
        <w:jc w:val="center"/>
        <w:rPr>
          <w:rFonts w:ascii="方正小标宋_GBK" w:eastAsia="方正小标宋_GBK" w:cs="宋体" w:hAnsiTheme="majorEastAsia"/>
          <w:bCs/>
          <w:color w:val="000000" w:themeColor="text1"/>
          <w:sz w:val="44"/>
          <w:szCs w:val="44"/>
          <w:shd w:val="clear" w:color="auto" w:fill="FFFFFF"/>
          <w14:textFill>
            <w14:solidFill>
              <w14:schemeClr w14:val="tx1"/>
            </w14:solidFill>
          </w14:textFill>
        </w:rPr>
      </w:pPr>
      <w:r>
        <w:rPr>
          <w:rFonts w:hint="eastAsia" w:ascii="方正小标宋_GBK" w:eastAsia="方正小标宋_GBK" w:cs="宋体" w:hAnsiTheme="majorEastAsia"/>
          <w:bCs/>
          <w:color w:val="000000" w:themeColor="text1"/>
          <w:sz w:val="44"/>
          <w:szCs w:val="44"/>
          <w:shd w:val="clear" w:color="auto" w:fill="FFFFFF"/>
          <w14:textFill>
            <w14:solidFill>
              <w14:schemeClr w14:val="tx1"/>
            </w14:solidFill>
          </w14:textFill>
        </w:rPr>
        <w:t>2020年度部门决算情况说明</w:t>
      </w:r>
    </w:p>
    <w:p>
      <w:pPr>
        <w:pStyle w:val="4"/>
        <w:snapToGrid w:val="0"/>
        <w:spacing w:beforeAutospacing="0" w:afterAutospacing="0" w:line="560" w:lineRule="exact"/>
        <w:jc w:val="center"/>
        <w:rPr>
          <w:rFonts w:ascii="方正小标宋_GBK" w:eastAsia="方正小标宋_GBK" w:cs="宋体" w:hAnsiTheme="majorEastAsia"/>
          <w:bCs/>
          <w:color w:val="000000" w:themeColor="text1"/>
          <w:sz w:val="44"/>
          <w:szCs w:val="44"/>
          <w:shd w:val="clear" w:color="auto" w:fill="FFFFFF"/>
          <w14:textFill>
            <w14:solidFill>
              <w14:schemeClr w14:val="tx1"/>
            </w14:solidFill>
          </w14:textFill>
        </w:rPr>
      </w:pPr>
    </w:p>
    <w:p>
      <w:pPr>
        <w:pStyle w:val="4"/>
        <w:snapToGrid w:val="0"/>
        <w:spacing w:beforeAutospacing="0" w:afterAutospacing="0" w:line="560" w:lineRule="exact"/>
        <w:ind w:firstLine="640" w:firstLineChars="200"/>
        <w:jc w:val="both"/>
        <w:rPr>
          <w:rFonts w:ascii="方正黑体_GBK" w:hAnsi="Times New Roman" w:eastAsia="方正黑体_GBK"/>
          <w:bCs/>
          <w:color w:val="000000" w:themeColor="text1"/>
          <w:sz w:val="32"/>
          <w:szCs w:val="32"/>
          <w14:textFill>
            <w14:solidFill>
              <w14:schemeClr w14:val="tx1"/>
            </w14:solidFill>
          </w14:textFill>
        </w:rPr>
      </w:pPr>
      <w:r>
        <w:rPr>
          <w:rStyle w:val="8"/>
          <w:rFonts w:hint="eastAsia" w:ascii="方正黑体_GBK" w:eastAsia="方正黑体_GBK"/>
          <w:b w:val="0"/>
          <w:bCs/>
          <w:color w:val="000000" w:themeColor="text1"/>
          <w:sz w:val="32"/>
          <w:szCs w:val="32"/>
          <w:shd w:val="clear" w:color="auto" w:fill="FFFFFF"/>
          <w14:textFill>
            <w14:solidFill>
              <w14:schemeClr w14:val="tx1"/>
            </w14:solidFill>
          </w14:textFill>
        </w:rPr>
        <w:t>一、部门基本情况</w:t>
      </w:r>
    </w:p>
    <w:p>
      <w:pPr>
        <w:pStyle w:val="4"/>
        <w:shd w:val="clear" w:color="auto" w:fill="FFFFFF"/>
        <w:spacing w:beforeAutospacing="0" w:afterAutospacing="0" w:line="560" w:lineRule="exact"/>
        <w:ind w:firstLine="640" w:firstLineChars="200"/>
        <w:jc w:val="both"/>
        <w:rPr>
          <w:rFonts w:ascii="Times New Roman" w:hAnsi="Times New Roman" w:eastAsia="方正仿宋_GBK"/>
          <w:bCs/>
          <w:color w:val="000000" w:themeColor="text1"/>
          <w:sz w:val="32"/>
          <w:szCs w:val="32"/>
          <w:shd w:val="clear" w:color="auto" w:fill="FFFFFF"/>
          <w14:textFill>
            <w14:solidFill>
              <w14:schemeClr w14:val="tx1"/>
            </w14:solidFill>
          </w14:textFill>
        </w:rPr>
      </w:pPr>
      <w:r>
        <w:rPr>
          <w:rStyle w:val="7"/>
          <w:rFonts w:hint="eastAsia" w:ascii="方正楷体_GBK" w:hAnsi="方正楷体_GBK" w:eastAsia="方正楷体_GBK" w:cs="方正楷体_GBK"/>
          <w:b w:val="0"/>
          <w:color w:val="000000" w:themeColor="text1"/>
          <w:sz w:val="32"/>
          <w:szCs w:val="32"/>
          <w14:textFill>
            <w14:solidFill>
              <w14:schemeClr w14:val="tx1"/>
            </w14:solidFill>
          </w14:textFill>
        </w:rPr>
        <w:t>（一）职能职责。</w:t>
      </w:r>
      <w:r>
        <w:rPr>
          <w:rFonts w:ascii="Times New Roman" w:hAnsi="Times New Roman" w:eastAsia="方正仿宋_GBK"/>
          <w:bCs/>
          <w:color w:val="000000" w:themeColor="text1"/>
          <w:sz w:val="32"/>
          <w:szCs w:val="32"/>
          <w:shd w:val="clear" w:color="auto" w:fill="FFFFFF"/>
          <w14:textFill>
            <w14:solidFill>
              <w14:schemeClr w14:val="tx1"/>
            </w14:solidFill>
          </w14:textFill>
        </w:rPr>
        <w:t>城口县疾病预防控制中心是政府举办的公共卫生技术管理和服务的事业单位，集疾病预防控制、公共卫生技术管理、卫生监测检验与评价、健康教育促进、应用研究与指导、技术咨询与服务为一体的综合性疾病防治机构，担负着全县25万人的疾病预防控制和公共卫生应急</w:t>
      </w:r>
      <w:bookmarkStart w:id="0" w:name="_GoBack"/>
      <w:bookmarkEnd w:id="0"/>
      <w:r>
        <w:rPr>
          <w:rFonts w:ascii="Times New Roman" w:hAnsi="Times New Roman" w:eastAsia="方正仿宋_GBK"/>
          <w:bCs/>
          <w:color w:val="000000" w:themeColor="text1"/>
          <w:sz w:val="32"/>
          <w:szCs w:val="32"/>
          <w:shd w:val="clear" w:color="auto" w:fill="FFFFFF"/>
          <w14:textFill>
            <w14:solidFill>
              <w14:schemeClr w14:val="tx1"/>
            </w14:solidFill>
          </w14:textFill>
        </w:rPr>
        <w:t>处置工作任务。</w:t>
      </w:r>
    </w:p>
    <w:p>
      <w:pPr>
        <w:pStyle w:val="4"/>
        <w:shd w:val="clear" w:color="auto" w:fill="FFFFFF"/>
        <w:spacing w:beforeAutospacing="0" w:afterAutospacing="0" w:line="560" w:lineRule="exact"/>
        <w:ind w:firstLine="640" w:firstLineChars="200"/>
        <w:jc w:val="both"/>
        <w:rPr>
          <w:rFonts w:ascii="Times New Roman" w:hAnsi="Times New Roman" w:eastAsia="方正仿宋_GBK"/>
          <w:bCs/>
          <w:color w:val="000000" w:themeColor="text1"/>
          <w:sz w:val="32"/>
          <w:szCs w:val="32"/>
          <w:shd w:val="clear" w:color="auto" w:fill="FFFFFF"/>
          <w14:textFill>
            <w14:solidFill>
              <w14:schemeClr w14:val="tx1"/>
            </w14:solidFill>
          </w14:textFill>
        </w:rPr>
      </w:pPr>
      <w:r>
        <w:rPr>
          <w:rFonts w:ascii="Times New Roman" w:hAnsi="Times New Roman" w:eastAsia="方正仿宋_GBK"/>
          <w:bCs/>
          <w:color w:val="000000" w:themeColor="text1"/>
          <w:sz w:val="32"/>
          <w:szCs w:val="32"/>
          <w:shd w:val="clear" w:color="auto" w:fill="FFFFFF"/>
          <w14:textFill>
            <w14:solidFill>
              <w14:schemeClr w14:val="tx1"/>
            </w14:solidFill>
          </w14:textFill>
        </w:rPr>
        <w:t>城口县疾病预防控制中心预算管理级次为县级。执行财务会计制度为《 事业单位会计制度》。</w:t>
      </w:r>
    </w:p>
    <w:p>
      <w:pPr>
        <w:pStyle w:val="4"/>
        <w:shd w:val="clear" w:color="auto" w:fill="FFFFFF"/>
        <w:spacing w:beforeAutospacing="0" w:afterAutospacing="0" w:line="560" w:lineRule="exact"/>
        <w:ind w:firstLine="640" w:firstLineChars="200"/>
        <w:jc w:val="both"/>
        <w:rPr>
          <w:rStyle w:val="7"/>
          <w:rFonts w:ascii="方正楷体_GBK" w:hAnsi="方正楷体_GBK" w:eastAsia="方正楷体_GBK" w:cs="方正楷体_GBK"/>
          <w:b w:val="0"/>
          <w:color w:val="000000" w:themeColor="text1"/>
          <w:sz w:val="32"/>
          <w:szCs w:val="32"/>
          <w:shd w:val="clear" w:color="auto" w:fill="FFFFFF"/>
          <w14:textFill>
            <w14:solidFill>
              <w14:schemeClr w14:val="tx1"/>
            </w14:solidFill>
          </w14:textFill>
        </w:rPr>
      </w:pPr>
      <w:r>
        <w:rPr>
          <w:rStyle w:val="7"/>
          <w:rFonts w:hint="eastAsia" w:ascii="方正楷体_GBK" w:hAnsi="方正楷体_GBK" w:eastAsia="方正楷体_GBK" w:cs="方正楷体_GBK"/>
          <w:b w:val="0"/>
          <w:color w:val="000000" w:themeColor="text1"/>
          <w:sz w:val="32"/>
          <w:szCs w:val="32"/>
          <w14:textFill>
            <w14:solidFill>
              <w14:schemeClr w14:val="tx1"/>
            </w14:solidFill>
          </w14:textFill>
        </w:rPr>
        <w:t>（二）机构设置。</w:t>
      </w:r>
    </w:p>
    <w:p>
      <w:pPr>
        <w:pStyle w:val="4"/>
        <w:shd w:val="clear" w:color="auto" w:fill="FFFFFF"/>
        <w:spacing w:beforeAutospacing="0" w:afterAutospacing="0" w:line="560" w:lineRule="exact"/>
        <w:ind w:firstLine="640" w:firstLineChars="200"/>
        <w:jc w:val="both"/>
        <w:rPr>
          <w:rFonts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shd w:val="clear" w:color="auto" w:fill="FFFFFF"/>
          <w14:textFill>
            <w14:solidFill>
              <w14:schemeClr w14:val="tx1"/>
            </w14:solidFill>
          </w14:textFill>
        </w:rPr>
        <w:t>城口县疾病预防控制中心现有业务用房</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3488.02</w:t>
      </w:r>
      <w:r>
        <w:rPr>
          <w:rFonts w:ascii="Times New Roman" w:hAnsi="Times New Roman" w:eastAsia="方正仿宋_GBK"/>
          <w:bCs/>
          <w:color w:val="000000" w:themeColor="text1"/>
          <w:sz w:val="32"/>
          <w:szCs w:val="32"/>
          <w:shd w:val="clear" w:color="auto" w:fill="FFFFFF"/>
          <w14:textFill>
            <w14:solidFill>
              <w14:schemeClr w14:val="tx1"/>
            </w14:solidFill>
          </w14:textFill>
        </w:rPr>
        <w:t>㎡。20</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20</w:t>
      </w:r>
      <w:r>
        <w:rPr>
          <w:rFonts w:ascii="Times New Roman" w:hAnsi="Times New Roman" w:eastAsia="方正仿宋_GBK"/>
          <w:bCs/>
          <w:color w:val="000000" w:themeColor="text1"/>
          <w:sz w:val="32"/>
          <w:szCs w:val="32"/>
          <w:shd w:val="clear" w:color="auto" w:fill="FFFFFF"/>
          <w14:textFill>
            <w14:solidFill>
              <w14:schemeClr w14:val="tx1"/>
            </w14:solidFill>
          </w14:textFill>
        </w:rPr>
        <w:t>年末有正式职工</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26</w:t>
      </w:r>
      <w:r>
        <w:rPr>
          <w:rFonts w:ascii="Times New Roman" w:hAnsi="Times New Roman" w:eastAsia="方正仿宋_GBK"/>
          <w:bCs/>
          <w:color w:val="000000" w:themeColor="text1"/>
          <w:sz w:val="32"/>
          <w:szCs w:val="32"/>
          <w:shd w:val="clear" w:color="auto" w:fill="FFFFFF"/>
          <w14:textFill>
            <w14:solidFill>
              <w14:schemeClr w14:val="tx1"/>
            </w14:solidFill>
          </w14:textFill>
        </w:rPr>
        <w:t>人，其中高级职称2人，初级职称1</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9</w:t>
      </w:r>
      <w:r>
        <w:rPr>
          <w:rFonts w:ascii="Times New Roman" w:hAnsi="Times New Roman" w:eastAsia="方正仿宋_GBK"/>
          <w:bCs/>
          <w:color w:val="000000" w:themeColor="text1"/>
          <w:sz w:val="32"/>
          <w:szCs w:val="32"/>
          <w:shd w:val="clear" w:color="auto" w:fill="FFFFFF"/>
          <w14:textFill>
            <w14:solidFill>
              <w14:schemeClr w14:val="tx1"/>
            </w14:solidFill>
          </w14:textFill>
        </w:rPr>
        <w:t>人，管理及工勤人员5人。</w:t>
      </w:r>
    </w:p>
    <w:p>
      <w:pPr>
        <w:pStyle w:val="4"/>
        <w:shd w:val="clear" w:color="auto" w:fill="FFFFFF"/>
        <w:spacing w:beforeAutospacing="0" w:afterAutospacing="0" w:line="560" w:lineRule="exact"/>
        <w:ind w:firstLine="640" w:firstLineChars="200"/>
        <w:jc w:val="both"/>
        <w:rPr>
          <w:rStyle w:val="7"/>
          <w:rFonts w:ascii="方正楷体_GBK" w:hAnsi="方正楷体_GBK" w:eastAsia="方正楷体_GBK" w:cs="方正楷体_GBK"/>
          <w:b w:val="0"/>
          <w:color w:val="000000" w:themeColor="text1"/>
          <w:sz w:val="32"/>
          <w:szCs w:val="32"/>
          <w14:textFill>
            <w14:solidFill>
              <w14:schemeClr w14:val="tx1"/>
            </w14:solidFill>
          </w14:textFill>
        </w:rPr>
      </w:pPr>
      <w:r>
        <w:rPr>
          <w:rStyle w:val="7"/>
          <w:rFonts w:hint="eastAsia" w:ascii="方正楷体_GBK" w:hAnsi="方正楷体_GBK" w:eastAsia="方正楷体_GBK" w:cs="方正楷体_GBK"/>
          <w:b w:val="0"/>
          <w:color w:val="000000" w:themeColor="text1"/>
          <w:sz w:val="32"/>
          <w:szCs w:val="32"/>
          <w14:textFill>
            <w14:solidFill>
              <w14:schemeClr w14:val="tx1"/>
            </w14:solidFill>
          </w14:textFill>
        </w:rPr>
        <w:t>（三）单位构成。</w:t>
      </w:r>
    </w:p>
    <w:p>
      <w:pPr>
        <w:pStyle w:val="4"/>
        <w:shd w:val="clear" w:color="auto" w:fill="FFFFFF"/>
        <w:spacing w:beforeAutospacing="0" w:afterAutospacing="0" w:line="560" w:lineRule="exact"/>
        <w:ind w:firstLine="640" w:firstLineChars="200"/>
        <w:jc w:val="both"/>
        <w:rPr>
          <w:rFonts w:ascii="仿宋_GB2312" w:hAnsi="仿宋_GB2312" w:eastAsia="仿宋_GB2312" w:cs="仿宋_GB2312"/>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中心内设行政办公室、疾病预防控制科、健康教育科、</w:t>
      </w:r>
      <w:r>
        <w:rPr>
          <w:rFonts w:hint="eastAsia" w:ascii="仿宋_GB2312" w:hAnsi="仿宋_GB2312" w:eastAsia="仿宋_GB2312" w:cs="仿宋_GB2312"/>
          <w:bCs/>
          <w:color w:val="000000" w:themeColor="text1"/>
          <w:sz w:val="32"/>
          <w:szCs w:val="32"/>
          <w14:textFill>
            <w14:solidFill>
              <w14:schemeClr w14:val="tx1"/>
            </w14:solidFill>
          </w14:textFill>
        </w:rPr>
        <w:t>卫生科、检验科、财务科、结核防治科、预防接种科</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等7科1室。</w:t>
      </w:r>
    </w:p>
    <w:p>
      <w:pPr>
        <w:pStyle w:val="4"/>
        <w:shd w:val="clear" w:color="auto" w:fill="FFFFFF"/>
        <w:spacing w:beforeAutospacing="0" w:afterAutospacing="0" w:line="560" w:lineRule="exact"/>
        <w:ind w:firstLine="640" w:firstLineChars="200"/>
        <w:jc w:val="both"/>
        <w:rPr>
          <w:rStyle w:val="7"/>
          <w:rFonts w:ascii="方正楷体_GBK" w:hAnsi="方正楷体_GBK" w:eastAsia="方正楷体_GBK" w:cs="方正楷体_GBK"/>
          <w:b w:val="0"/>
          <w:color w:val="000000" w:themeColor="text1"/>
          <w:sz w:val="32"/>
          <w:szCs w:val="32"/>
          <w14:textFill>
            <w14:solidFill>
              <w14:schemeClr w14:val="tx1"/>
            </w14:solidFill>
          </w14:textFill>
        </w:rPr>
      </w:pPr>
      <w:r>
        <w:rPr>
          <w:rStyle w:val="7"/>
          <w:rFonts w:hint="eastAsia" w:ascii="方正楷体_GBK" w:hAnsi="方正楷体_GBK" w:eastAsia="方正楷体_GBK" w:cs="方正楷体_GBK"/>
          <w:b w:val="0"/>
          <w:color w:val="000000" w:themeColor="text1"/>
          <w:sz w:val="32"/>
          <w:szCs w:val="32"/>
          <w14:textFill>
            <w14:solidFill>
              <w14:schemeClr w14:val="tx1"/>
            </w14:solidFill>
          </w14:textFill>
        </w:rPr>
        <w:t>（四）机构改革情况。</w:t>
      </w:r>
    </w:p>
    <w:p>
      <w:pPr>
        <w:pStyle w:val="4"/>
        <w:shd w:val="clear" w:color="auto" w:fill="FFFFFF"/>
        <w:spacing w:beforeAutospacing="0" w:afterAutospacing="0" w:line="560" w:lineRule="exact"/>
        <w:ind w:firstLine="640" w:firstLineChars="200"/>
        <w:jc w:val="both"/>
        <w:rPr>
          <w:rFonts w:ascii="Times New Roman" w:hAnsi="Times New Roman" w:eastAsia="方正仿宋_GBK"/>
          <w:bCs/>
          <w:color w:val="000000" w:themeColor="text1"/>
          <w:sz w:val="32"/>
          <w:szCs w:val="32"/>
          <w:shd w:val="clear" w:color="auto" w:fill="FFFFFF"/>
          <w14:textFill>
            <w14:solidFill>
              <w14:schemeClr w14:val="tx1"/>
            </w14:solidFill>
          </w14:textFill>
        </w:rPr>
      </w:pPr>
      <w:r>
        <w:rPr>
          <w:rStyle w:val="7"/>
          <w:rFonts w:ascii="Times New Roman" w:hAnsi="Times New Roman" w:eastAsia="方正仿宋_GBK"/>
          <w:b w:val="0"/>
          <w:color w:val="000000" w:themeColor="text1"/>
          <w:sz w:val="32"/>
          <w:szCs w:val="32"/>
          <w14:textFill>
            <w14:solidFill>
              <w14:schemeClr w14:val="tx1"/>
            </w14:solidFill>
          </w14:textFill>
        </w:rPr>
        <w:t>20</w:t>
      </w:r>
      <w:r>
        <w:rPr>
          <w:rStyle w:val="7"/>
          <w:rFonts w:hint="eastAsia" w:ascii="Times New Roman" w:hAnsi="Times New Roman" w:eastAsia="方正仿宋_GBK"/>
          <w:b w:val="0"/>
          <w:color w:val="000000" w:themeColor="text1"/>
          <w:sz w:val="32"/>
          <w:szCs w:val="32"/>
          <w14:textFill>
            <w14:solidFill>
              <w14:schemeClr w14:val="tx1"/>
            </w14:solidFill>
          </w14:textFill>
        </w:rPr>
        <w:t>20</w:t>
      </w:r>
      <w:r>
        <w:rPr>
          <w:rStyle w:val="7"/>
          <w:rFonts w:ascii="Times New Roman" w:hAnsi="Times New Roman" w:eastAsia="方正仿宋_GBK"/>
          <w:b w:val="0"/>
          <w:color w:val="000000" w:themeColor="text1"/>
          <w:sz w:val="32"/>
          <w:szCs w:val="32"/>
          <w14:textFill>
            <w14:solidFill>
              <w14:schemeClr w14:val="tx1"/>
            </w14:solidFill>
          </w14:textFill>
        </w:rPr>
        <w:t>年度本单位不涉及机构改革。</w:t>
      </w:r>
    </w:p>
    <w:p>
      <w:pPr>
        <w:pStyle w:val="4"/>
        <w:snapToGrid w:val="0"/>
        <w:spacing w:beforeAutospacing="0" w:afterAutospacing="0" w:line="560" w:lineRule="exact"/>
        <w:ind w:firstLine="640" w:firstLineChars="200"/>
        <w:jc w:val="both"/>
        <w:rPr>
          <w:rFonts w:ascii="方正黑体_GBK" w:hAnsi="Times New Roman" w:eastAsia="方正黑体_GBK"/>
          <w:bCs/>
          <w:color w:val="000000" w:themeColor="text1"/>
          <w:sz w:val="32"/>
          <w:szCs w:val="32"/>
          <w14:textFill>
            <w14:solidFill>
              <w14:schemeClr w14:val="tx1"/>
            </w14:solidFill>
          </w14:textFill>
        </w:rPr>
      </w:pPr>
      <w:r>
        <w:rPr>
          <w:rStyle w:val="8"/>
          <w:rFonts w:hint="eastAsia" w:ascii="方正黑体_GBK" w:eastAsia="方正黑体_GBK"/>
          <w:b w:val="0"/>
          <w:bCs/>
          <w:color w:val="000000" w:themeColor="text1"/>
          <w:sz w:val="32"/>
          <w:szCs w:val="32"/>
          <w:shd w:val="clear" w:color="auto" w:fill="FFFFFF"/>
          <w14:textFill>
            <w14:solidFill>
              <w14:schemeClr w14:val="tx1"/>
            </w14:solidFill>
          </w14:textFill>
        </w:rPr>
        <w:t>二、部门决算情况说明</w:t>
      </w:r>
    </w:p>
    <w:p>
      <w:pPr>
        <w:pStyle w:val="4"/>
        <w:snapToGrid w:val="0"/>
        <w:spacing w:beforeAutospacing="0" w:afterAutospacing="0" w:line="560" w:lineRule="exact"/>
        <w:ind w:firstLine="640" w:firstLineChars="200"/>
        <w:jc w:val="both"/>
        <w:rPr>
          <w:rFonts w:ascii="方正黑体_GBK" w:hAnsi="Times New Roman" w:eastAsia="方正黑体_GBK"/>
          <w:bCs/>
          <w:color w:val="000000" w:themeColor="text1"/>
          <w:sz w:val="32"/>
          <w:szCs w:val="32"/>
          <w14:textFill>
            <w14:solidFill>
              <w14:schemeClr w14:val="tx1"/>
            </w14:solidFill>
          </w14:textFill>
        </w:rPr>
      </w:pPr>
      <w:r>
        <w:rPr>
          <w:rStyle w:val="8"/>
          <w:rFonts w:hint="eastAsia" w:ascii="方正楷体_GBK" w:hAnsi="方正楷体_GBK" w:eastAsia="方正楷体_GBK" w:cs="方正楷体_GBK"/>
          <w:b w:val="0"/>
          <w:bCs/>
          <w:color w:val="000000" w:themeColor="text1"/>
          <w:sz w:val="32"/>
          <w:szCs w:val="32"/>
          <w:shd w:val="clear" w:color="auto" w:fill="FFFFFF"/>
          <w14:textFill>
            <w14:solidFill>
              <w14:schemeClr w14:val="tx1"/>
            </w14:solidFill>
          </w14:textFill>
        </w:rPr>
        <w:t>（一）收入支出决算总体情况说明</w:t>
      </w:r>
    </w:p>
    <w:p>
      <w:pPr>
        <w:pStyle w:val="4"/>
        <w:snapToGrid w:val="0"/>
        <w:spacing w:beforeAutospacing="0" w:afterAutospacing="0" w:line="560" w:lineRule="exact"/>
        <w:ind w:firstLine="640" w:firstLineChars="200"/>
        <w:jc w:val="both"/>
        <w:rPr>
          <w:rFonts w:ascii="Times New Roman" w:hAnsi="Times New Roman" w:eastAsia="方正仿宋_GBK"/>
          <w:bCs/>
          <w:color w:val="000000" w:themeColor="text1"/>
          <w:sz w:val="32"/>
          <w:szCs w:val="32"/>
          <w:shd w:val="clear" w:color="auto" w:fill="FFFFFF"/>
          <w14:textFill>
            <w14:solidFill>
              <w14:schemeClr w14:val="tx1"/>
            </w14:solidFill>
          </w14:textFill>
        </w:rPr>
      </w:pPr>
      <w:r>
        <w:rPr>
          <w:rStyle w:val="8"/>
          <w:rFonts w:eastAsia="方正仿宋_GBK"/>
          <w:b w:val="0"/>
          <w:bCs/>
          <w:color w:val="000000" w:themeColor="text1"/>
          <w:sz w:val="32"/>
          <w:szCs w:val="32"/>
          <w:shd w:val="clear" w:color="auto" w:fill="FFFFFF"/>
          <w14:textFill>
            <w14:solidFill>
              <w14:schemeClr w14:val="tx1"/>
            </w14:solidFill>
          </w14:textFill>
        </w:rPr>
        <w:t>1.总体情况。</w:t>
      </w:r>
      <w:r>
        <w:rPr>
          <w:rFonts w:ascii="Times New Roman" w:hAnsi="Times New Roman" w:eastAsia="方正仿宋_GBK"/>
          <w:bCs/>
          <w:color w:val="000000" w:themeColor="text1"/>
          <w:sz w:val="32"/>
          <w:szCs w:val="32"/>
          <w:shd w:val="clear" w:color="auto" w:fill="FFFFFF"/>
          <w14:textFill>
            <w14:solidFill>
              <w14:schemeClr w14:val="tx1"/>
            </w14:solidFill>
          </w14:textFill>
        </w:rPr>
        <w:t>2019年度收入总计</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2920.76</w:t>
      </w:r>
      <w:r>
        <w:rPr>
          <w:rFonts w:ascii="Times New Roman" w:hAnsi="Times New Roman" w:eastAsia="方正仿宋_GBK"/>
          <w:bCs/>
          <w:color w:val="000000" w:themeColor="text1"/>
          <w:sz w:val="32"/>
          <w:szCs w:val="32"/>
          <w:shd w:val="clear" w:color="auto" w:fill="FFFFFF"/>
          <w14:textFill>
            <w14:solidFill>
              <w14:schemeClr w14:val="tx1"/>
            </w14:solidFill>
          </w14:textFill>
        </w:rPr>
        <w:t>万元，支出总计</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2920.76</w:t>
      </w:r>
      <w:r>
        <w:rPr>
          <w:rFonts w:ascii="Times New Roman" w:hAnsi="Times New Roman" w:eastAsia="方正仿宋_GBK"/>
          <w:bCs/>
          <w:color w:val="000000" w:themeColor="text1"/>
          <w:sz w:val="32"/>
          <w:szCs w:val="32"/>
          <w:shd w:val="clear" w:color="auto" w:fill="FFFFFF"/>
          <w14:textFill>
            <w14:solidFill>
              <w14:schemeClr w14:val="tx1"/>
            </w14:solidFill>
          </w14:textFill>
        </w:rPr>
        <w:t>万元。收支较上年决算数增加</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475.53</w:t>
      </w:r>
      <w:r>
        <w:rPr>
          <w:rFonts w:ascii="Times New Roman" w:hAnsi="Times New Roman" w:eastAsia="方正仿宋_GBK"/>
          <w:bCs/>
          <w:color w:val="000000" w:themeColor="text1"/>
          <w:sz w:val="32"/>
          <w:szCs w:val="32"/>
          <w:shd w:val="clear" w:color="auto" w:fill="FFFFFF"/>
          <w14:textFill>
            <w14:solidFill>
              <w14:schemeClr w14:val="tx1"/>
            </w14:solidFill>
          </w14:textFill>
        </w:rPr>
        <w:t>万元、增长</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19</w:t>
      </w:r>
      <w:r>
        <w:rPr>
          <w:rFonts w:ascii="Times New Roman" w:hAnsi="Times New Roman" w:eastAsia="方正仿宋_GBK"/>
          <w:bCs/>
          <w:color w:val="000000" w:themeColor="text1"/>
          <w:sz w:val="32"/>
          <w:szCs w:val="32"/>
          <w:shd w:val="clear" w:color="auto" w:fill="FFFFFF"/>
          <w14:textFill>
            <w14:solidFill>
              <w14:schemeClr w14:val="tx1"/>
            </w14:solidFill>
          </w14:textFill>
        </w:rPr>
        <w:t>.</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44</w:t>
      </w:r>
      <w:r>
        <w:rPr>
          <w:rFonts w:ascii="Times New Roman" w:hAnsi="Times New Roman" w:eastAsia="方正仿宋_GBK"/>
          <w:bCs/>
          <w:color w:val="000000" w:themeColor="text1"/>
          <w:sz w:val="32"/>
          <w:szCs w:val="32"/>
          <w:shd w:val="clear" w:color="auto" w:fill="FFFFFF"/>
          <w14:textFill>
            <w14:solidFill>
              <w14:schemeClr w14:val="tx1"/>
            </w14:solidFill>
          </w14:textFill>
        </w:rPr>
        <w:t>%，主要原因是20</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20</w:t>
      </w:r>
      <w:r>
        <w:rPr>
          <w:rFonts w:ascii="Times New Roman" w:hAnsi="Times New Roman" w:eastAsia="方正仿宋_GBK"/>
          <w:bCs/>
          <w:color w:val="000000" w:themeColor="text1"/>
          <w:sz w:val="32"/>
          <w:szCs w:val="32"/>
          <w:shd w:val="clear" w:color="auto" w:fill="FFFFFF"/>
          <w14:textFill>
            <w14:solidFill>
              <w14:schemeClr w14:val="tx1"/>
            </w14:solidFill>
          </w14:textFill>
        </w:rPr>
        <w:t>年中央和市级专项资金和抗疫专项资金投入增加。</w:t>
      </w:r>
    </w:p>
    <w:p>
      <w:pPr>
        <w:pStyle w:val="4"/>
        <w:snapToGrid w:val="0"/>
        <w:spacing w:beforeAutospacing="0" w:afterAutospacing="0" w:line="560" w:lineRule="exact"/>
        <w:ind w:firstLine="640" w:firstLineChars="200"/>
        <w:jc w:val="both"/>
        <w:rPr>
          <w:rFonts w:ascii="Times New Roman" w:hAnsi="Times New Roman" w:eastAsia="方正仿宋_GBK"/>
          <w:bCs/>
          <w:color w:val="000000" w:themeColor="text1"/>
          <w:sz w:val="32"/>
          <w:szCs w:val="32"/>
          <w:shd w:val="clear" w:color="auto" w:fill="FFFF00"/>
          <w14:textFill>
            <w14:solidFill>
              <w14:schemeClr w14:val="tx1"/>
            </w14:solidFill>
          </w14:textFill>
        </w:rPr>
      </w:pPr>
      <w:r>
        <w:rPr>
          <w:rStyle w:val="8"/>
          <w:rFonts w:eastAsia="方正仿宋_GBK"/>
          <w:b w:val="0"/>
          <w:bCs/>
          <w:color w:val="000000" w:themeColor="text1"/>
          <w:sz w:val="32"/>
          <w:szCs w:val="32"/>
          <w:shd w:val="clear" w:color="auto" w:fill="FFFFFF"/>
          <w14:textFill>
            <w14:solidFill>
              <w14:schemeClr w14:val="tx1"/>
            </w14:solidFill>
          </w14:textFill>
        </w:rPr>
        <w:t>2.收入情况。</w:t>
      </w:r>
      <w:r>
        <w:rPr>
          <w:rFonts w:ascii="Times New Roman" w:hAnsi="Times New Roman" w:eastAsia="方正仿宋_GBK"/>
          <w:bCs/>
          <w:color w:val="000000" w:themeColor="text1"/>
          <w:sz w:val="32"/>
          <w:szCs w:val="32"/>
          <w:shd w:val="clear" w:color="auto" w:fill="FFFFFF"/>
          <w14:textFill>
            <w14:solidFill>
              <w14:schemeClr w14:val="tx1"/>
            </w14:solidFill>
          </w14:textFill>
        </w:rPr>
        <w:t>20</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20</w:t>
      </w:r>
      <w:r>
        <w:rPr>
          <w:rFonts w:ascii="Times New Roman" w:hAnsi="Times New Roman" w:eastAsia="方正仿宋_GBK"/>
          <w:bCs/>
          <w:color w:val="000000" w:themeColor="text1"/>
          <w:sz w:val="32"/>
          <w:szCs w:val="32"/>
          <w:shd w:val="clear" w:color="auto" w:fill="FFFFFF"/>
          <w14:textFill>
            <w14:solidFill>
              <w14:schemeClr w14:val="tx1"/>
            </w14:solidFill>
          </w14:textFill>
        </w:rPr>
        <w:t>年度收入合计</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2920.76</w:t>
      </w:r>
      <w:r>
        <w:rPr>
          <w:rFonts w:ascii="Times New Roman" w:hAnsi="Times New Roman" w:eastAsia="方正仿宋_GBK"/>
          <w:bCs/>
          <w:color w:val="000000" w:themeColor="text1"/>
          <w:sz w:val="32"/>
          <w:szCs w:val="32"/>
          <w:shd w:val="clear" w:color="auto" w:fill="FFFFFF"/>
          <w14:textFill>
            <w14:solidFill>
              <w14:schemeClr w14:val="tx1"/>
            </w14:solidFill>
          </w14:textFill>
        </w:rPr>
        <w:t>万元，较上年决算数增加</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475.53</w:t>
      </w:r>
      <w:r>
        <w:rPr>
          <w:rFonts w:ascii="Times New Roman" w:hAnsi="Times New Roman" w:eastAsia="方正仿宋_GBK"/>
          <w:bCs/>
          <w:color w:val="000000" w:themeColor="text1"/>
          <w:sz w:val="32"/>
          <w:szCs w:val="32"/>
          <w:shd w:val="clear" w:color="auto" w:fill="FFFFFF"/>
          <w14:textFill>
            <w14:solidFill>
              <w14:schemeClr w14:val="tx1"/>
            </w14:solidFill>
          </w14:textFill>
        </w:rPr>
        <w:t>万元，增长</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19.44</w:t>
      </w:r>
      <w:r>
        <w:rPr>
          <w:rFonts w:ascii="Times New Roman" w:hAnsi="Times New Roman" w:eastAsia="方正仿宋_GBK"/>
          <w:bCs/>
          <w:color w:val="000000" w:themeColor="text1"/>
          <w:sz w:val="32"/>
          <w:szCs w:val="32"/>
          <w:shd w:val="clear" w:color="auto" w:fill="FFFFFF"/>
          <w14:textFill>
            <w14:solidFill>
              <w14:schemeClr w14:val="tx1"/>
            </w14:solidFill>
          </w14:textFill>
        </w:rPr>
        <w:t>%，主要原因是20</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20</w:t>
      </w:r>
      <w:r>
        <w:rPr>
          <w:rFonts w:ascii="Times New Roman" w:hAnsi="Times New Roman" w:eastAsia="方正仿宋_GBK"/>
          <w:bCs/>
          <w:color w:val="000000" w:themeColor="text1"/>
          <w:sz w:val="32"/>
          <w:szCs w:val="32"/>
          <w:shd w:val="clear" w:color="auto" w:fill="FFFFFF"/>
          <w14:textFill>
            <w14:solidFill>
              <w14:schemeClr w14:val="tx1"/>
            </w14:solidFill>
          </w14:textFill>
        </w:rPr>
        <w:t>年中央和市级专项资金和抗疫专项资金投入增加。其中：财政拨款收入</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2214.92</w:t>
      </w:r>
      <w:r>
        <w:rPr>
          <w:rFonts w:ascii="Times New Roman" w:hAnsi="Times New Roman" w:eastAsia="方正仿宋_GBK"/>
          <w:bCs/>
          <w:color w:val="000000" w:themeColor="text1"/>
          <w:sz w:val="32"/>
          <w:szCs w:val="32"/>
          <w:shd w:val="clear" w:color="auto" w:fill="FFFFFF"/>
          <w14:textFill>
            <w14:solidFill>
              <w14:schemeClr w14:val="tx1"/>
            </w14:solidFill>
          </w14:textFill>
        </w:rPr>
        <w:t>万元，占7</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5</w:t>
      </w:r>
      <w:r>
        <w:rPr>
          <w:rFonts w:ascii="Times New Roman" w:hAnsi="Times New Roman" w:eastAsia="方正仿宋_GBK"/>
          <w:bCs/>
          <w:color w:val="000000" w:themeColor="text1"/>
          <w:sz w:val="32"/>
          <w:szCs w:val="32"/>
          <w:shd w:val="clear" w:color="auto" w:fill="FFFFFF"/>
          <w14:textFill>
            <w14:solidFill>
              <w14:schemeClr w14:val="tx1"/>
            </w14:solidFill>
          </w14:textFill>
        </w:rPr>
        <w:t>.</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83</w:t>
      </w:r>
      <w:r>
        <w:rPr>
          <w:rFonts w:ascii="Times New Roman" w:hAnsi="Times New Roman" w:eastAsia="方正仿宋_GBK"/>
          <w:bCs/>
          <w:color w:val="000000" w:themeColor="text1"/>
          <w:sz w:val="32"/>
          <w:szCs w:val="32"/>
          <w:shd w:val="clear" w:color="auto" w:fill="FFFFFF"/>
          <w14:textFill>
            <w14:solidFill>
              <w14:schemeClr w14:val="tx1"/>
            </w14:solidFill>
          </w14:textFill>
        </w:rPr>
        <w:t>%；事业收入</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705.84</w:t>
      </w:r>
      <w:r>
        <w:rPr>
          <w:rFonts w:ascii="Times New Roman" w:hAnsi="Times New Roman" w:eastAsia="方正仿宋_GBK"/>
          <w:bCs/>
          <w:color w:val="000000" w:themeColor="text1"/>
          <w:sz w:val="32"/>
          <w:szCs w:val="32"/>
          <w:shd w:val="clear" w:color="auto" w:fill="FFFFFF"/>
          <w14:textFill>
            <w14:solidFill>
              <w14:schemeClr w14:val="tx1"/>
            </w14:solidFill>
          </w14:textFill>
        </w:rPr>
        <w:t>万元，占</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24.17</w:t>
      </w:r>
      <w:r>
        <w:rPr>
          <w:rFonts w:ascii="Times New Roman" w:hAnsi="Times New Roman" w:eastAsia="方正仿宋_GBK"/>
          <w:bCs/>
          <w:color w:val="000000" w:themeColor="text1"/>
          <w:sz w:val="32"/>
          <w:szCs w:val="32"/>
          <w:shd w:val="clear" w:color="auto" w:fill="FFFFFF"/>
          <w14:textFill>
            <w14:solidFill>
              <w14:schemeClr w14:val="tx1"/>
            </w14:solidFill>
          </w14:textFill>
        </w:rPr>
        <w:t>%；年初结转和结余</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304.45</w:t>
      </w:r>
      <w:r>
        <w:rPr>
          <w:rFonts w:ascii="Times New Roman" w:hAnsi="Times New Roman" w:eastAsia="方正仿宋_GBK"/>
          <w:bCs/>
          <w:color w:val="000000" w:themeColor="text1"/>
          <w:sz w:val="32"/>
          <w:szCs w:val="32"/>
          <w:shd w:val="clear" w:color="auto" w:fill="FFFFFF"/>
          <w14:textFill>
            <w14:solidFill>
              <w14:schemeClr w14:val="tx1"/>
            </w14:solidFill>
          </w14:textFill>
        </w:rPr>
        <w:t>万元。</w:t>
      </w:r>
    </w:p>
    <w:p>
      <w:pPr>
        <w:pStyle w:val="4"/>
        <w:snapToGrid w:val="0"/>
        <w:spacing w:beforeAutospacing="0" w:afterAutospacing="0" w:line="560" w:lineRule="exact"/>
        <w:ind w:firstLine="640" w:firstLineChars="200"/>
        <w:jc w:val="both"/>
        <w:rPr>
          <w:rFonts w:ascii="Times New Roman" w:hAnsi="Times New Roman" w:eastAsia="方正仿宋_GBK"/>
          <w:bCs/>
          <w:color w:val="000000" w:themeColor="text1"/>
          <w:sz w:val="32"/>
          <w:szCs w:val="32"/>
          <w:shd w:val="clear" w:color="auto" w:fill="FFFFFF"/>
          <w14:textFill>
            <w14:solidFill>
              <w14:schemeClr w14:val="tx1"/>
            </w14:solidFill>
          </w14:textFill>
        </w:rPr>
      </w:pPr>
      <w:r>
        <w:rPr>
          <w:rStyle w:val="8"/>
          <w:rFonts w:eastAsia="方正仿宋_GBK"/>
          <w:b w:val="0"/>
          <w:bCs/>
          <w:color w:val="000000" w:themeColor="text1"/>
          <w:sz w:val="32"/>
          <w:szCs w:val="32"/>
          <w:shd w:val="clear" w:color="auto" w:fill="FFFFFF"/>
          <w14:textFill>
            <w14:solidFill>
              <w14:schemeClr w14:val="tx1"/>
            </w14:solidFill>
          </w14:textFill>
        </w:rPr>
        <w:t>3.支出情况。</w:t>
      </w:r>
      <w:r>
        <w:rPr>
          <w:rFonts w:ascii="Times New Roman" w:hAnsi="Times New Roman" w:eastAsia="方正仿宋_GBK"/>
          <w:bCs/>
          <w:color w:val="000000" w:themeColor="text1"/>
          <w:sz w:val="32"/>
          <w:szCs w:val="32"/>
          <w:shd w:val="clear" w:color="auto" w:fill="FFFFFF"/>
          <w14:textFill>
            <w14:solidFill>
              <w14:schemeClr w14:val="tx1"/>
            </w14:solidFill>
          </w14:textFill>
        </w:rPr>
        <w:t>2019年度支出合计</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2920.76</w:t>
      </w:r>
      <w:r>
        <w:rPr>
          <w:rFonts w:ascii="Times New Roman" w:hAnsi="Times New Roman" w:eastAsia="方正仿宋_GBK"/>
          <w:bCs/>
          <w:color w:val="000000" w:themeColor="text1"/>
          <w:sz w:val="32"/>
          <w:szCs w:val="32"/>
          <w:shd w:val="clear" w:color="auto" w:fill="FFFFFF"/>
          <w14:textFill>
            <w14:solidFill>
              <w14:schemeClr w14:val="tx1"/>
            </w14:solidFill>
          </w14:textFill>
        </w:rPr>
        <w:t>万元，较上年决算数增加</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779.98</w:t>
      </w:r>
      <w:r>
        <w:rPr>
          <w:rFonts w:ascii="Times New Roman" w:hAnsi="Times New Roman" w:eastAsia="方正仿宋_GBK"/>
          <w:bCs/>
          <w:color w:val="000000" w:themeColor="text1"/>
          <w:sz w:val="32"/>
          <w:szCs w:val="32"/>
          <w:shd w:val="clear" w:color="auto" w:fill="FFFFFF"/>
          <w14:textFill>
            <w14:solidFill>
              <w14:schemeClr w14:val="tx1"/>
            </w14:solidFill>
          </w14:textFill>
        </w:rPr>
        <w:t>万元，增长</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36.45</w:t>
      </w:r>
      <w:r>
        <w:rPr>
          <w:rFonts w:ascii="Times New Roman" w:hAnsi="Times New Roman" w:eastAsia="方正仿宋_GBK"/>
          <w:bCs/>
          <w:color w:val="000000" w:themeColor="text1"/>
          <w:sz w:val="32"/>
          <w:szCs w:val="32"/>
          <w:shd w:val="clear" w:color="auto" w:fill="FFFFFF"/>
          <w14:textFill>
            <w14:solidFill>
              <w14:schemeClr w14:val="tx1"/>
            </w14:solidFill>
          </w14:textFill>
        </w:rPr>
        <w:t>%，主要原因是20</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20</w:t>
      </w:r>
      <w:r>
        <w:rPr>
          <w:rFonts w:ascii="Times New Roman" w:hAnsi="Times New Roman" w:eastAsia="方正仿宋_GBK"/>
          <w:bCs/>
          <w:color w:val="000000" w:themeColor="text1"/>
          <w:sz w:val="32"/>
          <w:szCs w:val="32"/>
          <w:shd w:val="clear" w:color="auto" w:fill="FFFFFF"/>
          <w14:textFill>
            <w14:solidFill>
              <w14:schemeClr w14:val="tx1"/>
            </w14:solidFill>
          </w14:textFill>
        </w:rPr>
        <w:t>年中央和市级专项资金和抗疫专项资金投入增加。</w:t>
      </w:r>
    </w:p>
    <w:p>
      <w:pPr>
        <w:pStyle w:val="4"/>
        <w:snapToGrid w:val="0"/>
        <w:spacing w:beforeAutospacing="0" w:afterAutospacing="0" w:line="560" w:lineRule="exact"/>
        <w:ind w:firstLine="640" w:firstLineChars="200"/>
        <w:jc w:val="both"/>
        <w:rPr>
          <w:rFonts w:ascii="Times New Roman" w:hAnsi="Times New Roman" w:eastAsia="方正仿宋_GBK"/>
          <w:bCs/>
          <w:color w:val="000000" w:themeColor="text1"/>
          <w:sz w:val="32"/>
          <w:szCs w:val="32"/>
          <w:shd w:val="clear" w:color="auto" w:fill="FFFFFF"/>
          <w14:textFill>
            <w14:solidFill>
              <w14:schemeClr w14:val="tx1"/>
            </w14:solidFill>
          </w14:textFill>
        </w:rPr>
      </w:pPr>
      <w:r>
        <w:rPr>
          <w:rStyle w:val="8"/>
          <w:rFonts w:eastAsia="方正仿宋_GBK"/>
          <w:b w:val="0"/>
          <w:bCs/>
          <w:color w:val="000000" w:themeColor="text1"/>
          <w:sz w:val="32"/>
          <w:szCs w:val="32"/>
          <w:shd w:val="clear" w:color="auto" w:fill="FFFFFF"/>
          <w14:textFill>
            <w14:solidFill>
              <w14:schemeClr w14:val="tx1"/>
            </w14:solidFill>
          </w14:textFill>
        </w:rPr>
        <w:t>4.结转结余情况。</w:t>
      </w:r>
      <w:r>
        <w:rPr>
          <w:rFonts w:ascii="Times New Roman" w:hAnsi="Times New Roman" w:eastAsia="方正仿宋_GBK"/>
          <w:bCs/>
          <w:color w:val="000000" w:themeColor="text1"/>
          <w:sz w:val="32"/>
          <w:szCs w:val="32"/>
          <w:shd w:val="clear" w:color="auto" w:fill="FFFFFF"/>
          <w14:textFill>
            <w14:solidFill>
              <w14:schemeClr w14:val="tx1"/>
            </w14:solidFill>
          </w14:textFill>
        </w:rPr>
        <w:t>20</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20</w:t>
      </w:r>
      <w:r>
        <w:rPr>
          <w:rFonts w:ascii="Times New Roman" w:hAnsi="Times New Roman" w:eastAsia="方正仿宋_GBK"/>
          <w:bCs/>
          <w:color w:val="000000" w:themeColor="text1"/>
          <w:sz w:val="32"/>
          <w:szCs w:val="32"/>
          <w:shd w:val="clear" w:color="auto" w:fill="FFFFFF"/>
          <w14:textFill>
            <w14:solidFill>
              <w14:schemeClr w14:val="tx1"/>
            </w14:solidFill>
          </w14:textFill>
        </w:rPr>
        <w:t>年度年末结转和结余</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120</w:t>
      </w:r>
      <w:r>
        <w:rPr>
          <w:rFonts w:ascii="Times New Roman" w:hAnsi="Times New Roman" w:eastAsia="方正仿宋_GBK"/>
          <w:bCs/>
          <w:color w:val="000000" w:themeColor="text1"/>
          <w:sz w:val="32"/>
          <w:szCs w:val="32"/>
          <w:shd w:val="clear" w:color="auto" w:fill="FFFFFF"/>
          <w14:textFill>
            <w14:solidFill>
              <w14:schemeClr w14:val="tx1"/>
            </w14:solidFill>
          </w14:textFill>
        </w:rPr>
        <w:t>万元，较上年决算数减少</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184.45</w:t>
      </w:r>
      <w:r>
        <w:rPr>
          <w:rFonts w:ascii="Times New Roman" w:hAnsi="Times New Roman" w:eastAsia="方正仿宋_GBK"/>
          <w:bCs/>
          <w:color w:val="000000" w:themeColor="text1"/>
          <w:sz w:val="32"/>
          <w:szCs w:val="32"/>
          <w:shd w:val="clear" w:color="auto" w:fill="FFFFFF"/>
          <w14:textFill>
            <w14:solidFill>
              <w14:schemeClr w14:val="tx1"/>
            </w14:solidFill>
          </w14:textFill>
        </w:rPr>
        <w:t>万元，减少</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60.58</w:t>
      </w:r>
      <w:r>
        <w:rPr>
          <w:rFonts w:ascii="Times New Roman" w:hAnsi="Times New Roman" w:eastAsia="方正仿宋_GBK"/>
          <w:bCs/>
          <w:color w:val="000000" w:themeColor="text1"/>
          <w:sz w:val="32"/>
          <w:szCs w:val="32"/>
          <w:shd w:val="clear" w:color="auto" w:fill="FFFFFF"/>
          <w14:textFill>
            <w14:solidFill>
              <w14:schemeClr w14:val="tx1"/>
            </w14:solidFill>
          </w14:textFill>
        </w:rPr>
        <w:t>%，主要原因是20</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20</w:t>
      </w:r>
      <w:r>
        <w:rPr>
          <w:rFonts w:ascii="Times New Roman" w:hAnsi="Times New Roman" w:eastAsia="方正仿宋_GBK"/>
          <w:bCs/>
          <w:color w:val="000000" w:themeColor="text1"/>
          <w:sz w:val="32"/>
          <w:szCs w:val="32"/>
          <w:shd w:val="clear" w:color="auto" w:fill="FFFFFF"/>
          <w14:textFill>
            <w14:solidFill>
              <w14:schemeClr w14:val="tx1"/>
            </w14:solidFill>
          </w14:textFill>
        </w:rPr>
        <w:t>年预算执行比上年好转。</w:t>
      </w:r>
    </w:p>
    <w:p>
      <w:pPr>
        <w:pStyle w:val="4"/>
        <w:snapToGrid w:val="0"/>
        <w:spacing w:beforeAutospacing="0" w:afterAutospacing="0" w:line="560" w:lineRule="exact"/>
        <w:ind w:firstLine="640" w:firstLineChars="200"/>
        <w:jc w:val="both"/>
        <w:rPr>
          <w:rFonts w:ascii="方正楷体_GBK" w:hAnsi="方正楷体_GBK" w:eastAsia="方正楷体_GBK" w:cs="方正楷体_GBK"/>
          <w:bCs/>
          <w:color w:val="000000" w:themeColor="text1"/>
          <w:sz w:val="32"/>
          <w:szCs w:val="32"/>
          <w14:textFill>
            <w14:solidFill>
              <w14:schemeClr w14:val="tx1"/>
            </w14:solidFill>
          </w14:textFill>
        </w:rPr>
      </w:pPr>
      <w:r>
        <w:rPr>
          <w:rStyle w:val="8"/>
          <w:rFonts w:hint="eastAsia" w:ascii="方正楷体_GBK" w:hAnsi="方正楷体_GBK" w:eastAsia="方正楷体_GBK" w:cs="方正楷体_GBK"/>
          <w:b w:val="0"/>
          <w:bCs/>
          <w:color w:val="000000" w:themeColor="text1"/>
          <w:sz w:val="32"/>
          <w:szCs w:val="32"/>
          <w:shd w:val="clear" w:color="auto" w:fill="FFFFFF"/>
          <w14:textFill>
            <w14:solidFill>
              <w14:schemeClr w14:val="tx1"/>
            </w14:solidFill>
          </w14:textFill>
        </w:rPr>
        <w:t>（二）财政拨款收入支出决算总体情况说明</w:t>
      </w:r>
    </w:p>
    <w:p>
      <w:pPr>
        <w:pStyle w:val="4"/>
        <w:snapToGrid w:val="0"/>
        <w:spacing w:beforeAutospacing="0" w:afterAutospacing="0" w:line="560" w:lineRule="exact"/>
        <w:ind w:firstLine="640" w:firstLineChars="200"/>
        <w:jc w:val="both"/>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shd w:val="clear" w:color="auto" w:fill="FFFFFF"/>
          <w14:textFill>
            <w14:solidFill>
              <w14:schemeClr w14:val="tx1"/>
            </w14:solidFill>
          </w14:textFill>
        </w:rPr>
        <w:t>20</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20</w:t>
      </w:r>
      <w:r>
        <w:rPr>
          <w:rFonts w:ascii="Times New Roman" w:hAnsi="Times New Roman" w:eastAsia="方正仿宋_GBK"/>
          <w:bCs/>
          <w:color w:val="000000" w:themeColor="text1"/>
          <w:sz w:val="32"/>
          <w:szCs w:val="32"/>
          <w:shd w:val="clear" w:color="auto" w:fill="FFFFFF"/>
          <w14:textFill>
            <w14:solidFill>
              <w14:schemeClr w14:val="tx1"/>
            </w14:solidFill>
          </w14:textFill>
        </w:rPr>
        <w:t>年度财政拨款收、支总计</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2214.92</w:t>
      </w:r>
      <w:r>
        <w:rPr>
          <w:rFonts w:ascii="Times New Roman" w:hAnsi="Times New Roman" w:eastAsia="方正仿宋_GBK"/>
          <w:bCs/>
          <w:color w:val="000000" w:themeColor="text1"/>
          <w:sz w:val="32"/>
          <w:szCs w:val="32"/>
          <w:shd w:val="clear" w:color="auto" w:fill="FFFFFF"/>
          <w14:textFill>
            <w14:solidFill>
              <w14:schemeClr w14:val="tx1"/>
            </w14:solidFill>
          </w14:textFill>
        </w:rPr>
        <w:t>万元。与20</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19</w:t>
      </w:r>
      <w:r>
        <w:rPr>
          <w:rFonts w:ascii="Times New Roman" w:hAnsi="Times New Roman" w:eastAsia="方正仿宋_GBK"/>
          <w:bCs/>
          <w:color w:val="000000" w:themeColor="text1"/>
          <w:sz w:val="32"/>
          <w:szCs w:val="32"/>
          <w:shd w:val="clear" w:color="auto" w:fill="FFFFFF"/>
          <w14:textFill>
            <w14:solidFill>
              <w14:schemeClr w14:val="tx1"/>
            </w14:solidFill>
          </w14:textFill>
        </w:rPr>
        <w:t>年相比，财政拨款收、支总计各增加</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531.04</w:t>
      </w:r>
      <w:r>
        <w:rPr>
          <w:rFonts w:ascii="Times New Roman" w:hAnsi="Times New Roman" w:eastAsia="方正仿宋_GBK"/>
          <w:bCs/>
          <w:color w:val="000000" w:themeColor="text1"/>
          <w:sz w:val="32"/>
          <w:szCs w:val="32"/>
          <w:shd w:val="clear" w:color="auto" w:fill="FFFFFF"/>
          <w14:textFill>
            <w14:solidFill>
              <w14:schemeClr w14:val="tx1"/>
            </w14:solidFill>
          </w14:textFill>
        </w:rPr>
        <w:t>万元，增长</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31.53</w:t>
      </w:r>
      <w:r>
        <w:rPr>
          <w:rFonts w:ascii="Times New Roman" w:hAnsi="Times New Roman" w:eastAsia="方正仿宋_GBK"/>
          <w:bCs/>
          <w:color w:val="000000" w:themeColor="text1"/>
          <w:sz w:val="32"/>
          <w:szCs w:val="32"/>
          <w:shd w:val="clear" w:color="auto" w:fill="FFFFFF"/>
          <w14:textFill>
            <w14:solidFill>
              <w14:schemeClr w14:val="tx1"/>
            </w14:solidFill>
          </w14:textFill>
        </w:rPr>
        <w:t>%。主要原因是20</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20</w:t>
      </w:r>
      <w:r>
        <w:rPr>
          <w:rFonts w:ascii="Times New Roman" w:hAnsi="Times New Roman" w:eastAsia="方正仿宋_GBK"/>
          <w:bCs/>
          <w:color w:val="000000" w:themeColor="text1"/>
          <w:sz w:val="32"/>
          <w:szCs w:val="32"/>
          <w:shd w:val="clear" w:color="auto" w:fill="FFFFFF"/>
          <w14:textFill>
            <w14:solidFill>
              <w14:schemeClr w14:val="tx1"/>
            </w14:solidFill>
          </w14:textFill>
        </w:rPr>
        <w:t>年中央和市级专项资金和抗疫专项资金投入增加。</w:t>
      </w:r>
    </w:p>
    <w:p>
      <w:pPr>
        <w:pStyle w:val="4"/>
        <w:snapToGrid w:val="0"/>
        <w:spacing w:beforeAutospacing="0" w:afterAutospacing="0" w:line="560" w:lineRule="exact"/>
        <w:ind w:firstLine="640" w:firstLineChars="200"/>
        <w:jc w:val="both"/>
        <w:rPr>
          <w:rFonts w:ascii="方正楷体_GBK" w:hAnsi="方正楷体_GBK" w:eastAsia="方正楷体_GBK" w:cs="方正楷体_GBK"/>
          <w:bCs/>
          <w:color w:val="000000" w:themeColor="text1"/>
          <w:sz w:val="32"/>
          <w:szCs w:val="32"/>
          <w14:textFill>
            <w14:solidFill>
              <w14:schemeClr w14:val="tx1"/>
            </w14:solidFill>
          </w14:textFill>
        </w:rPr>
      </w:pPr>
      <w:r>
        <w:rPr>
          <w:rStyle w:val="8"/>
          <w:rFonts w:hint="eastAsia" w:ascii="方正楷体_GBK" w:hAnsi="方正楷体_GBK" w:eastAsia="方正楷体_GBK" w:cs="方正楷体_GBK"/>
          <w:b w:val="0"/>
          <w:bCs/>
          <w:color w:val="000000" w:themeColor="text1"/>
          <w:sz w:val="32"/>
          <w:szCs w:val="32"/>
          <w:shd w:val="clear" w:color="auto" w:fill="FFFFFF"/>
          <w14:textFill>
            <w14:solidFill>
              <w14:schemeClr w14:val="tx1"/>
            </w14:solidFill>
          </w14:textFill>
        </w:rPr>
        <w:t>（三）一般公共预算财政拨款支出决算情况说明</w:t>
      </w:r>
    </w:p>
    <w:p>
      <w:pPr>
        <w:pStyle w:val="4"/>
        <w:snapToGrid w:val="0"/>
        <w:spacing w:beforeAutospacing="0" w:afterAutospacing="0" w:line="560" w:lineRule="exact"/>
        <w:ind w:firstLine="640" w:firstLineChars="200"/>
        <w:jc w:val="both"/>
        <w:rPr>
          <w:rFonts w:ascii="Times New Roman" w:hAnsi="Times New Roman" w:eastAsia="方正仿宋_GBK"/>
          <w:bCs/>
          <w:color w:val="000000" w:themeColor="text1"/>
          <w:sz w:val="32"/>
          <w:szCs w:val="32"/>
          <w14:textFill>
            <w14:solidFill>
              <w14:schemeClr w14:val="tx1"/>
            </w14:solidFill>
          </w14:textFill>
        </w:rPr>
      </w:pPr>
      <w:r>
        <w:rPr>
          <w:rStyle w:val="8"/>
          <w:rFonts w:eastAsia="方正仿宋_GBK"/>
          <w:b w:val="0"/>
          <w:bCs/>
          <w:color w:val="000000" w:themeColor="text1"/>
          <w:sz w:val="32"/>
          <w:szCs w:val="32"/>
          <w:shd w:val="clear" w:color="auto" w:fill="FFFFFF"/>
          <w14:textFill>
            <w14:solidFill>
              <w14:schemeClr w14:val="tx1"/>
            </w14:solidFill>
          </w14:textFill>
        </w:rPr>
        <w:t xml:space="preserve"> 1.收入情况。</w:t>
      </w:r>
      <w:r>
        <w:rPr>
          <w:rFonts w:ascii="Times New Roman" w:hAnsi="Times New Roman" w:eastAsia="方正仿宋_GBK"/>
          <w:bCs/>
          <w:color w:val="000000" w:themeColor="text1"/>
          <w:sz w:val="32"/>
          <w:szCs w:val="32"/>
          <w:shd w:val="clear" w:color="auto" w:fill="FFFFFF"/>
          <w14:textFill>
            <w14:solidFill>
              <w14:schemeClr w14:val="tx1"/>
            </w14:solidFill>
          </w14:textFill>
        </w:rPr>
        <w:t>20</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20</w:t>
      </w:r>
      <w:r>
        <w:rPr>
          <w:rFonts w:ascii="Times New Roman" w:hAnsi="Times New Roman" w:eastAsia="方正仿宋_GBK"/>
          <w:bCs/>
          <w:color w:val="000000" w:themeColor="text1"/>
          <w:sz w:val="32"/>
          <w:szCs w:val="32"/>
          <w:shd w:val="clear" w:color="auto" w:fill="FFFFFF"/>
          <w14:textFill>
            <w14:solidFill>
              <w14:schemeClr w14:val="tx1"/>
            </w14:solidFill>
          </w14:textFill>
        </w:rPr>
        <w:t>年度一般公共预算财政拨款收入</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1772.26</w:t>
      </w:r>
      <w:r>
        <w:rPr>
          <w:rFonts w:ascii="Times New Roman" w:hAnsi="Times New Roman" w:eastAsia="方正仿宋_GBK"/>
          <w:bCs/>
          <w:color w:val="000000" w:themeColor="text1"/>
          <w:sz w:val="32"/>
          <w:szCs w:val="32"/>
          <w:shd w:val="clear" w:color="auto" w:fill="FFFFFF"/>
          <w14:textFill>
            <w14:solidFill>
              <w14:schemeClr w14:val="tx1"/>
            </w14:solidFill>
          </w14:textFill>
        </w:rPr>
        <w:t>万元，较上年决算数增加</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109.47</w:t>
      </w:r>
      <w:r>
        <w:rPr>
          <w:rFonts w:ascii="Times New Roman" w:hAnsi="Times New Roman" w:eastAsia="方正仿宋_GBK"/>
          <w:bCs/>
          <w:color w:val="000000" w:themeColor="text1"/>
          <w:sz w:val="32"/>
          <w:szCs w:val="32"/>
          <w:shd w:val="clear" w:color="auto" w:fill="FFFFFF"/>
          <w14:textFill>
            <w14:solidFill>
              <w14:schemeClr w14:val="tx1"/>
            </w14:solidFill>
          </w14:textFill>
        </w:rPr>
        <w:t>万元，增长</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0.06</w:t>
      </w:r>
      <w:r>
        <w:rPr>
          <w:rFonts w:ascii="Times New Roman" w:hAnsi="Times New Roman" w:eastAsia="方正仿宋_GBK"/>
          <w:bCs/>
          <w:color w:val="000000" w:themeColor="text1"/>
          <w:sz w:val="32"/>
          <w:szCs w:val="32"/>
          <w:shd w:val="clear" w:color="auto" w:fill="FFFFFF"/>
          <w14:textFill>
            <w14:solidFill>
              <w14:schemeClr w14:val="tx1"/>
            </w14:solidFill>
          </w14:textFill>
        </w:rPr>
        <w:t>%。主要原因是20</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20</w:t>
      </w:r>
      <w:r>
        <w:rPr>
          <w:rFonts w:ascii="Times New Roman" w:hAnsi="Times New Roman" w:eastAsia="方正仿宋_GBK"/>
          <w:bCs/>
          <w:color w:val="000000" w:themeColor="text1"/>
          <w:sz w:val="32"/>
          <w:szCs w:val="32"/>
          <w:shd w:val="clear" w:color="auto" w:fill="FFFFFF"/>
          <w14:textFill>
            <w14:solidFill>
              <w14:schemeClr w14:val="tx1"/>
            </w14:solidFill>
          </w14:textFill>
        </w:rPr>
        <w:t>年中央和市级专项资金和抗疫专项资金投入增加。此外，年初财政拨款结转和结余</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304.45</w:t>
      </w:r>
      <w:r>
        <w:rPr>
          <w:rFonts w:ascii="Times New Roman" w:hAnsi="Times New Roman" w:eastAsia="方正仿宋_GBK"/>
          <w:bCs/>
          <w:color w:val="000000" w:themeColor="text1"/>
          <w:sz w:val="32"/>
          <w:szCs w:val="32"/>
          <w:shd w:val="clear" w:color="auto" w:fill="FFFFFF"/>
          <w14:textFill>
            <w14:solidFill>
              <w14:schemeClr w14:val="tx1"/>
            </w14:solidFill>
          </w14:textFill>
        </w:rPr>
        <w:t>万元。</w:t>
      </w:r>
    </w:p>
    <w:p>
      <w:pPr>
        <w:pStyle w:val="4"/>
        <w:snapToGrid w:val="0"/>
        <w:spacing w:beforeAutospacing="0" w:afterAutospacing="0" w:line="560" w:lineRule="exact"/>
        <w:ind w:firstLine="640" w:firstLineChars="200"/>
        <w:jc w:val="both"/>
        <w:rPr>
          <w:rFonts w:ascii="Times New Roman" w:hAnsi="Times New Roman" w:eastAsia="方正仿宋_GBK"/>
          <w:bCs/>
          <w:color w:val="000000" w:themeColor="text1"/>
          <w:sz w:val="32"/>
          <w:szCs w:val="32"/>
          <w:shd w:val="clear" w:color="auto" w:fill="FFFFFF"/>
          <w14:textFill>
            <w14:solidFill>
              <w14:schemeClr w14:val="tx1"/>
            </w14:solidFill>
          </w14:textFill>
        </w:rPr>
      </w:pPr>
      <w:r>
        <w:rPr>
          <w:rStyle w:val="8"/>
          <w:rFonts w:eastAsia="方正仿宋_GBK"/>
          <w:b w:val="0"/>
          <w:bCs/>
          <w:color w:val="000000" w:themeColor="text1"/>
          <w:sz w:val="32"/>
          <w:szCs w:val="32"/>
          <w:shd w:val="clear" w:color="auto" w:fill="FFFFFF"/>
          <w14:textFill>
            <w14:solidFill>
              <w14:schemeClr w14:val="tx1"/>
            </w14:solidFill>
          </w14:textFill>
        </w:rPr>
        <w:t xml:space="preserve"> 2.支出情况。</w:t>
      </w:r>
      <w:r>
        <w:rPr>
          <w:rFonts w:ascii="Times New Roman" w:hAnsi="Times New Roman" w:eastAsia="方正仿宋_GBK"/>
          <w:bCs/>
          <w:color w:val="000000" w:themeColor="text1"/>
          <w:sz w:val="32"/>
          <w:szCs w:val="32"/>
          <w:shd w:val="clear" w:color="auto" w:fill="FFFFFF"/>
          <w14:textFill>
            <w14:solidFill>
              <w14:schemeClr w14:val="tx1"/>
            </w14:solidFill>
          </w14:textFill>
        </w:rPr>
        <w:t>20</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20</w:t>
      </w:r>
      <w:r>
        <w:rPr>
          <w:rFonts w:ascii="Times New Roman" w:hAnsi="Times New Roman" w:eastAsia="方正仿宋_GBK"/>
          <w:bCs/>
          <w:color w:val="000000" w:themeColor="text1"/>
          <w:sz w:val="32"/>
          <w:szCs w:val="32"/>
          <w:shd w:val="clear" w:color="auto" w:fill="FFFFFF"/>
          <w14:textFill>
            <w14:solidFill>
              <w14:schemeClr w14:val="tx1"/>
            </w14:solidFill>
          </w14:textFill>
        </w:rPr>
        <w:t>年度一般公共预算财政拨款支出</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2036.82</w:t>
      </w:r>
      <w:r>
        <w:rPr>
          <w:rFonts w:ascii="Times New Roman" w:hAnsi="Times New Roman" w:eastAsia="方正仿宋_GBK"/>
          <w:bCs/>
          <w:color w:val="000000" w:themeColor="text1"/>
          <w:sz w:val="32"/>
          <w:szCs w:val="32"/>
          <w:shd w:val="clear" w:color="auto" w:fill="FFFFFF"/>
          <w14:textFill>
            <w14:solidFill>
              <w14:schemeClr w14:val="tx1"/>
            </w14:solidFill>
          </w14:textFill>
        </w:rPr>
        <w:t>万元，较上年决算数增加</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657.4</w:t>
      </w:r>
      <w:r>
        <w:rPr>
          <w:rFonts w:ascii="Times New Roman" w:hAnsi="Times New Roman" w:eastAsia="方正仿宋_GBK"/>
          <w:bCs/>
          <w:color w:val="000000" w:themeColor="text1"/>
          <w:sz w:val="32"/>
          <w:szCs w:val="32"/>
          <w:shd w:val="clear" w:color="auto" w:fill="FFFFFF"/>
          <w14:textFill>
            <w14:solidFill>
              <w14:schemeClr w14:val="tx1"/>
            </w14:solidFill>
          </w14:textFill>
        </w:rPr>
        <w:t>万元，增长</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47.65</w:t>
      </w:r>
      <w:r>
        <w:rPr>
          <w:rFonts w:ascii="Times New Roman" w:hAnsi="Times New Roman" w:eastAsia="方正仿宋_GBK"/>
          <w:bCs/>
          <w:color w:val="000000" w:themeColor="text1"/>
          <w:sz w:val="32"/>
          <w:szCs w:val="32"/>
          <w:shd w:val="clear" w:color="auto" w:fill="FFFFFF"/>
          <w14:textFill>
            <w14:solidFill>
              <w14:schemeClr w14:val="tx1"/>
            </w14:solidFill>
          </w14:textFill>
        </w:rPr>
        <w:t>%。主要原因是20</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20</w:t>
      </w:r>
      <w:r>
        <w:rPr>
          <w:rFonts w:ascii="Times New Roman" w:hAnsi="Times New Roman" w:eastAsia="方正仿宋_GBK"/>
          <w:bCs/>
          <w:color w:val="000000" w:themeColor="text1"/>
          <w:sz w:val="32"/>
          <w:szCs w:val="32"/>
          <w:shd w:val="clear" w:color="auto" w:fill="FFFFFF"/>
          <w14:textFill>
            <w14:solidFill>
              <w14:schemeClr w14:val="tx1"/>
            </w14:solidFill>
          </w14:textFill>
        </w:rPr>
        <w:t>年中央和市级专项资金和抗疫专项资金投入增加。</w:t>
      </w:r>
    </w:p>
    <w:p>
      <w:pPr>
        <w:pStyle w:val="4"/>
        <w:snapToGrid w:val="0"/>
        <w:spacing w:beforeAutospacing="0" w:afterAutospacing="0" w:line="560" w:lineRule="exact"/>
        <w:ind w:firstLine="640" w:firstLineChars="200"/>
        <w:jc w:val="both"/>
        <w:rPr>
          <w:rFonts w:ascii="Times New Roman" w:hAnsi="Times New Roman" w:eastAsia="方正仿宋_GBK"/>
          <w:bCs/>
          <w:color w:val="000000" w:themeColor="text1"/>
          <w:sz w:val="32"/>
          <w:szCs w:val="32"/>
          <w14:textFill>
            <w14:solidFill>
              <w14:schemeClr w14:val="tx1"/>
            </w14:solidFill>
          </w14:textFill>
        </w:rPr>
      </w:pPr>
      <w:r>
        <w:rPr>
          <w:rStyle w:val="8"/>
          <w:rFonts w:eastAsia="方正仿宋_GBK"/>
          <w:b w:val="0"/>
          <w:bCs/>
          <w:color w:val="000000" w:themeColor="text1"/>
          <w:sz w:val="32"/>
          <w:szCs w:val="32"/>
          <w:shd w:val="clear" w:color="auto" w:fill="FFFFFF"/>
          <w14:textFill>
            <w14:solidFill>
              <w14:schemeClr w14:val="tx1"/>
            </w14:solidFill>
          </w14:textFill>
        </w:rPr>
        <w:t>3.结转结余情况。</w:t>
      </w:r>
      <w:r>
        <w:rPr>
          <w:rFonts w:ascii="Times New Roman" w:hAnsi="Times New Roman" w:eastAsia="方正仿宋_GBK"/>
          <w:bCs/>
          <w:color w:val="000000" w:themeColor="text1"/>
          <w:sz w:val="32"/>
          <w:szCs w:val="32"/>
          <w:shd w:val="clear" w:color="auto" w:fill="FFFFFF"/>
          <w14:textFill>
            <w14:solidFill>
              <w14:schemeClr w14:val="tx1"/>
            </w14:solidFill>
          </w14:textFill>
        </w:rPr>
        <w:t>20</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20</w:t>
      </w:r>
      <w:r>
        <w:rPr>
          <w:rFonts w:ascii="Times New Roman" w:hAnsi="Times New Roman" w:eastAsia="方正仿宋_GBK"/>
          <w:bCs/>
          <w:color w:val="000000" w:themeColor="text1"/>
          <w:sz w:val="32"/>
          <w:szCs w:val="32"/>
          <w:shd w:val="clear" w:color="auto" w:fill="FFFFFF"/>
          <w14:textFill>
            <w14:solidFill>
              <w14:schemeClr w14:val="tx1"/>
            </w14:solidFill>
          </w14:textFill>
        </w:rPr>
        <w:t>年度年末一般公共预算财政拨款结转和结余</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39.90</w:t>
      </w:r>
      <w:r>
        <w:rPr>
          <w:rFonts w:ascii="Times New Roman" w:hAnsi="Times New Roman" w:eastAsia="方正仿宋_GBK"/>
          <w:bCs/>
          <w:color w:val="000000" w:themeColor="text1"/>
          <w:sz w:val="32"/>
          <w:szCs w:val="32"/>
          <w:shd w:val="clear" w:color="auto" w:fill="FFFFFF"/>
          <w14:textFill>
            <w14:solidFill>
              <w14:schemeClr w14:val="tx1"/>
            </w14:solidFill>
          </w14:textFill>
        </w:rPr>
        <w:t>元。</w:t>
      </w:r>
    </w:p>
    <w:p>
      <w:pPr>
        <w:pStyle w:val="4"/>
        <w:snapToGrid w:val="0"/>
        <w:spacing w:beforeAutospacing="0" w:afterAutospacing="0" w:line="560" w:lineRule="exact"/>
        <w:ind w:firstLine="640" w:firstLineChars="200"/>
        <w:jc w:val="both"/>
        <w:rPr>
          <w:rFonts w:ascii="Times New Roman" w:hAnsi="Times New Roman" w:eastAsia="方正仿宋_GBK"/>
          <w:bCs/>
          <w:color w:val="000000" w:themeColor="text1"/>
          <w:sz w:val="32"/>
          <w:szCs w:val="32"/>
          <w:shd w:val="clear" w:color="auto" w:fill="FFFF00"/>
          <w14:textFill>
            <w14:solidFill>
              <w14:schemeClr w14:val="tx1"/>
            </w14:solidFill>
          </w14:textFill>
        </w:rPr>
      </w:pPr>
      <w:r>
        <w:rPr>
          <w:rStyle w:val="8"/>
          <w:rFonts w:eastAsia="方正仿宋_GBK"/>
          <w:b w:val="0"/>
          <w:bCs/>
          <w:color w:val="000000" w:themeColor="text1"/>
          <w:sz w:val="32"/>
          <w:szCs w:val="32"/>
          <w:shd w:val="clear" w:color="auto" w:fill="FFFFFF"/>
          <w14:textFill>
            <w14:solidFill>
              <w14:schemeClr w14:val="tx1"/>
            </w14:solidFill>
          </w14:textFill>
        </w:rPr>
        <w:t xml:space="preserve"> 4.比较情况。</w:t>
      </w:r>
      <w:r>
        <w:rPr>
          <w:rFonts w:ascii="Times New Roman" w:hAnsi="Times New Roman" w:eastAsia="方正仿宋_GBK"/>
          <w:bCs/>
          <w:color w:val="000000" w:themeColor="text1"/>
          <w:sz w:val="32"/>
          <w:szCs w:val="32"/>
          <w:shd w:val="clear" w:color="auto" w:fill="FFFFFF"/>
          <w14:textFill>
            <w14:solidFill>
              <w14:schemeClr w14:val="tx1"/>
            </w14:solidFill>
          </w14:textFill>
        </w:rPr>
        <w:t>本部门20</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20</w:t>
      </w:r>
      <w:r>
        <w:rPr>
          <w:rFonts w:ascii="Times New Roman" w:hAnsi="Times New Roman" w:eastAsia="方正仿宋_GBK"/>
          <w:bCs/>
          <w:color w:val="000000" w:themeColor="text1"/>
          <w:sz w:val="32"/>
          <w:szCs w:val="32"/>
          <w:shd w:val="clear" w:color="auto" w:fill="FFFFFF"/>
          <w14:textFill>
            <w14:solidFill>
              <w14:schemeClr w14:val="tx1"/>
            </w14:solidFill>
          </w14:textFill>
        </w:rPr>
        <w:t>年度一般公共预算财政拨款支出主要用于以下几个方面：</w:t>
      </w:r>
    </w:p>
    <w:p>
      <w:pPr>
        <w:pStyle w:val="4"/>
        <w:snapToGrid w:val="0"/>
        <w:spacing w:beforeAutospacing="0" w:afterAutospacing="0" w:line="560" w:lineRule="exact"/>
        <w:ind w:firstLine="640" w:firstLineChars="200"/>
        <w:jc w:val="both"/>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shd w:val="clear" w:color="auto" w:fill="FFFFFF"/>
          <w14:textFill>
            <w14:solidFill>
              <w14:schemeClr w14:val="tx1"/>
            </w14:solidFill>
          </w14:textFill>
        </w:rPr>
        <w:t>（1）社会保障与就业支出82.9</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6</w:t>
      </w:r>
      <w:r>
        <w:rPr>
          <w:rFonts w:ascii="Times New Roman" w:hAnsi="Times New Roman" w:eastAsia="方正仿宋_GBK"/>
          <w:bCs/>
          <w:color w:val="000000" w:themeColor="text1"/>
          <w:sz w:val="32"/>
          <w:szCs w:val="32"/>
          <w:shd w:val="clear" w:color="auto" w:fill="FFFFFF"/>
          <w14:textFill>
            <w14:solidFill>
              <w14:schemeClr w14:val="tx1"/>
            </w14:solidFill>
          </w14:textFill>
        </w:rPr>
        <w:t>万元，占</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4</w:t>
      </w:r>
      <w:r>
        <w:rPr>
          <w:rFonts w:ascii="Times New Roman" w:hAnsi="Times New Roman" w:eastAsia="方正仿宋_GBK"/>
          <w:bCs/>
          <w:color w:val="000000" w:themeColor="text1"/>
          <w:sz w:val="32"/>
          <w:szCs w:val="32"/>
          <w:shd w:val="clear" w:color="auto" w:fill="FFFFFF"/>
          <w14:textFill>
            <w14:solidFill>
              <w14:schemeClr w14:val="tx1"/>
            </w14:solidFill>
          </w14:textFill>
        </w:rPr>
        <w:t>.</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14</w:t>
      </w:r>
      <w:r>
        <w:rPr>
          <w:rFonts w:ascii="Times New Roman" w:hAnsi="Times New Roman" w:eastAsia="方正仿宋_GBK"/>
          <w:bCs/>
          <w:color w:val="000000" w:themeColor="text1"/>
          <w:sz w:val="32"/>
          <w:szCs w:val="32"/>
          <w:shd w:val="clear" w:color="auto" w:fill="FFFFFF"/>
          <w14:textFill>
            <w14:solidFill>
              <w14:schemeClr w14:val="tx1"/>
            </w14:solidFill>
          </w14:textFill>
        </w:rPr>
        <w:t>%，较年初预算数增加</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0.02</w:t>
      </w:r>
      <w:r>
        <w:rPr>
          <w:rFonts w:ascii="Times New Roman" w:hAnsi="Times New Roman" w:eastAsia="方正仿宋_GBK"/>
          <w:bCs/>
          <w:color w:val="000000" w:themeColor="text1"/>
          <w:sz w:val="32"/>
          <w:szCs w:val="32"/>
          <w:shd w:val="clear" w:color="auto" w:fill="FFFFFF"/>
          <w14:textFill>
            <w14:solidFill>
              <w14:schemeClr w14:val="tx1"/>
            </w14:solidFill>
          </w14:textFill>
        </w:rPr>
        <w:t>万元，增长</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0.0</w:t>
      </w:r>
      <w:r>
        <w:rPr>
          <w:rFonts w:ascii="Times New Roman" w:hAnsi="Times New Roman" w:eastAsia="方正仿宋_GBK"/>
          <w:bCs/>
          <w:color w:val="000000" w:themeColor="text1"/>
          <w:sz w:val="32"/>
          <w:szCs w:val="32"/>
          <w:shd w:val="clear" w:color="auto" w:fill="FFFFFF"/>
          <w14:textFill>
            <w14:solidFill>
              <w14:schemeClr w14:val="tx1"/>
            </w14:solidFill>
          </w14:textFill>
        </w:rPr>
        <w:t>2%，主要原因是中心人员调入增加工资预算。</w:t>
      </w:r>
    </w:p>
    <w:p>
      <w:pPr>
        <w:pStyle w:val="4"/>
        <w:snapToGrid w:val="0"/>
        <w:spacing w:beforeAutospacing="0" w:afterAutospacing="0" w:line="560" w:lineRule="exact"/>
        <w:ind w:firstLine="640" w:firstLineChars="200"/>
        <w:jc w:val="both"/>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shd w:val="clear" w:color="auto" w:fill="FFFFFF"/>
          <w14:textFill>
            <w14:solidFill>
              <w14:schemeClr w14:val="tx1"/>
            </w14:solidFill>
          </w14:textFill>
        </w:rPr>
        <w:t>（2）卫生健康支出</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1922.73</w:t>
      </w:r>
      <w:r>
        <w:rPr>
          <w:rFonts w:ascii="Times New Roman" w:hAnsi="Times New Roman" w:eastAsia="方正仿宋_GBK"/>
          <w:bCs/>
          <w:color w:val="000000" w:themeColor="text1"/>
          <w:sz w:val="32"/>
          <w:szCs w:val="32"/>
          <w:shd w:val="clear" w:color="auto" w:fill="FFFFFF"/>
          <w14:textFill>
            <w14:solidFill>
              <w14:schemeClr w14:val="tx1"/>
            </w14:solidFill>
          </w14:textFill>
        </w:rPr>
        <w:t>万元，占9</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5</w:t>
      </w:r>
      <w:r>
        <w:rPr>
          <w:rFonts w:ascii="Times New Roman" w:hAnsi="Times New Roman" w:eastAsia="方正仿宋_GBK"/>
          <w:bCs/>
          <w:color w:val="000000" w:themeColor="text1"/>
          <w:sz w:val="32"/>
          <w:szCs w:val="32"/>
          <w:shd w:val="clear" w:color="auto" w:fill="FFFFFF"/>
          <w14:textFill>
            <w14:solidFill>
              <w14:schemeClr w14:val="tx1"/>
            </w14:solidFill>
          </w14:textFill>
        </w:rPr>
        <w:t>.8</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6</w:t>
      </w:r>
      <w:r>
        <w:rPr>
          <w:rFonts w:ascii="Times New Roman" w:hAnsi="Times New Roman" w:eastAsia="方正仿宋_GBK"/>
          <w:bCs/>
          <w:color w:val="000000" w:themeColor="text1"/>
          <w:sz w:val="32"/>
          <w:szCs w:val="32"/>
          <w:shd w:val="clear" w:color="auto" w:fill="FFFFFF"/>
          <w14:textFill>
            <w14:solidFill>
              <w14:schemeClr w14:val="tx1"/>
            </w14:solidFill>
          </w14:textFill>
        </w:rPr>
        <w:t>%，较年初预算数增加</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656.46</w:t>
      </w:r>
      <w:r>
        <w:rPr>
          <w:rFonts w:ascii="Times New Roman" w:hAnsi="Times New Roman" w:eastAsia="方正仿宋_GBK"/>
          <w:bCs/>
          <w:color w:val="000000" w:themeColor="text1"/>
          <w:sz w:val="32"/>
          <w:szCs w:val="32"/>
          <w:shd w:val="clear" w:color="auto" w:fill="FFFFFF"/>
          <w14:textFill>
            <w14:solidFill>
              <w14:schemeClr w14:val="tx1"/>
            </w14:solidFill>
          </w14:textFill>
        </w:rPr>
        <w:t>万元，增长</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51.84</w:t>
      </w:r>
      <w:r>
        <w:rPr>
          <w:rFonts w:ascii="Times New Roman" w:hAnsi="Times New Roman" w:eastAsia="方正仿宋_GBK"/>
          <w:bCs/>
          <w:color w:val="000000" w:themeColor="text1"/>
          <w:sz w:val="32"/>
          <w:szCs w:val="32"/>
          <w:shd w:val="clear" w:color="auto" w:fill="FFFFFF"/>
          <w14:textFill>
            <w14:solidFill>
              <w14:schemeClr w14:val="tx1"/>
            </w14:solidFill>
          </w14:textFill>
        </w:rPr>
        <w:t>%，主要原因是年中增加20</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20</w:t>
      </w:r>
      <w:r>
        <w:rPr>
          <w:rFonts w:ascii="Times New Roman" w:hAnsi="Times New Roman" w:eastAsia="方正仿宋_GBK"/>
          <w:bCs/>
          <w:color w:val="000000" w:themeColor="text1"/>
          <w:sz w:val="32"/>
          <w:szCs w:val="32"/>
          <w:shd w:val="clear" w:color="auto" w:fill="FFFFFF"/>
          <w14:textFill>
            <w14:solidFill>
              <w14:schemeClr w14:val="tx1"/>
            </w14:solidFill>
          </w14:textFill>
        </w:rPr>
        <w:t>年中央和市级专项资金和抗疫专项资金。</w:t>
      </w:r>
    </w:p>
    <w:p>
      <w:pPr>
        <w:pStyle w:val="4"/>
        <w:snapToGrid w:val="0"/>
        <w:spacing w:beforeAutospacing="0" w:afterAutospacing="0" w:line="560" w:lineRule="exact"/>
        <w:ind w:firstLine="640" w:firstLineChars="200"/>
        <w:jc w:val="both"/>
        <w:rPr>
          <w:rFonts w:ascii="方正楷体_GBK" w:hAnsi="方正楷体_GBK" w:eastAsia="方正楷体_GBK" w:cs="方正楷体_GBK"/>
          <w:bCs/>
          <w:color w:val="000000" w:themeColor="text1"/>
          <w:sz w:val="32"/>
          <w:szCs w:val="32"/>
          <w14:textFill>
            <w14:solidFill>
              <w14:schemeClr w14:val="tx1"/>
            </w14:solidFill>
          </w14:textFill>
        </w:rPr>
      </w:pPr>
      <w:r>
        <w:rPr>
          <w:rStyle w:val="8"/>
          <w:rFonts w:hint="eastAsia" w:ascii="方正楷体_GBK" w:hAnsi="方正楷体_GBK" w:eastAsia="方正楷体_GBK" w:cs="方正楷体_GBK"/>
          <w:b w:val="0"/>
          <w:bCs/>
          <w:color w:val="000000" w:themeColor="text1"/>
          <w:sz w:val="32"/>
          <w:szCs w:val="32"/>
          <w:shd w:val="clear" w:color="auto" w:fill="FFFFFF"/>
          <w14:textFill>
            <w14:solidFill>
              <w14:schemeClr w14:val="tx1"/>
            </w14:solidFill>
          </w14:textFill>
        </w:rPr>
        <w:t>（四）一般公共预算财政拨款基本支出决算情况说明</w:t>
      </w:r>
    </w:p>
    <w:p>
      <w:pPr>
        <w:pStyle w:val="4"/>
        <w:snapToGrid w:val="0"/>
        <w:spacing w:beforeAutospacing="0" w:afterAutospacing="0" w:line="560" w:lineRule="exact"/>
        <w:ind w:firstLine="640" w:firstLineChars="200"/>
        <w:jc w:val="both"/>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shd w:val="clear" w:color="auto" w:fill="FFFFFF"/>
          <w14:textFill>
            <w14:solidFill>
              <w14:schemeClr w14:val="tx1"/>
            </w14:solidFill>
          </w14:textFill>
        </w:rPr>
        <w:t xml:space="preserve"> 20</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2</w:t>
      </w:r>
      <w:r>
        <w:rPr>
          <w:rFonts w:ascii="Times New Roman" w:hAnsi="Times New Roman" w:eastAsia="方正仿宋_GBK"/>
          <w:bCs/>
          <w:color w:val="000000" w:themeColor="text1"/>
          <w:sz w:val="32"/>
          <w:szCs w:val="32"/>
          <w:shd w:val="clear" w:color="auto" w:fill="FFFFFF"/>
          <w14:textFill>
            <w14:solidFill>
              <w14:schemeClr w14:val="tx1"/>
            </w14:solidFill>
          </w14:textFill>
        </w:rPr>
        <w:t>年度一般公共财政拨款基本支出</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494.87</w:t>
      </w:r>
      <w:r>
        <w:rPr>
          <w:rFonts w:ascii="Times New Roman" w:hAnsi="Times New Roman" w:eastAsia="方正仿宋_GBK"/>
          <w:bCs/>
          <w:color w:val="000000" w:themeColor="text1"/>
          <w:sz w:val="32"/>
          <w:szCs w:val="32"/>
          <w:shd w:val="clear" w:color="auto" w:fill="FFFFFF"/>
          <w14:textFill>
            <w14:solidFill>
              <w14:schemeClr w14:val="tx1"/>
            </w14:solidFill>
          </w14:textFill>
        </w:rPr>
        <w:t>万元。其中：人员经费</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450.18</w:t>
      </w:r>
      <w:r>
        <w:rPr>
          <w:rFonts w:ascii="Times New Roman" w:hAnsi="Times New Roman" w:eastAsia="方正仿宋_GBK"/>
          <w:bCs/>
          <w:color w:val="000000" w:themeColor="text1"/>
          <w:sz w:val="32"/>
          <w:szCs w:val="32"/>
          <w:shd w:val="clear" w:color="auto" w:fill="FFFFFF"/>
          <w14:textFill>
            <w14:solidFill>
              <w14:schemeClr w14:val="tx1"/>
            </w14:solidFill>
          </w14:textFill>
        </w:rPr>
        <w:t>万元，较上年决算数增加</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113.92</w:t>
      </w:r>
      <w:r>
        <w:rPr>
          <w:rFonts w:ascii="Times New Roman" w:hAnsi="Times New Roman" w:eastAsia="方正仿宋_GBK"/>
          <w:bCs/>
          <w:color w:val="000000" w:themeColor="text1"/>
          <w:sz w:val="32"/>
          <w:szCs w:val="32"/>
          <w:shd w:val="clear" w:color="auto" w:fill="FFFFFF"/>
          <w14:textFill>
            <w14:solidFill>
              <w14:schemeClr w14:val="tx1"/>
            </w14:solidFill>
          </w14:textFill>
        </w:rPr>
        <w:t>万元，下降</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33.87</w:t>
      </w:r>
      <w:r>
        <w:rPr>
          <w:rFonts w:ascii="Times New Roman" w:hAnsi="Times New Roman" w:eastAsia="方正仿宋_GBK"/>
          <w:bCs/>
          <w:color w:val="000000" w:themeColor="text1"/>
          <w:sz w:val="32"/>
          <w:szCs w:val="32"/>
          <w:shd w:val="clear" w:color="auto" w:fill="FFFFFF"/>
          <w14:textFill>
            <w14:solidFill>
              <w14:schemeClr w14:val="tx1"/>
            </w14:solidFill>
          </w14:textFill>
        </w:rPr>
        <w:t>%，主要原因是中心人员调入</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7名</w:t>
      </w:r>
      <w:r>
        <w:rPr>
          <w:rFonts w:ascii="Times New Roman" w:hAnsi="Times New Roman" w:eastAsia="方正仿宋_GBK"/>
          <w:bCs/>
          <w:color w:val="000000" w:themeColor="text1"/>
          <w:sz w:val="32"/>
          <w:szCs w:val="32"/>
          <w:shd w:val="clear" w:color="auto" w:fill="FFFFFF"/>
          <w14:textFill>
            <w14:solidFill>
              <w14:schemeClr w14:val="tx1"/>
            </w14:solidFill>
          </w14:textFill>
        </w:rPr>
        <w:t>增加工资预算。人员经费用途主要包括基本工资、津贴补贴、奖金、社会保障缴费。</w:t>
      </w:r>
    </w:p>
    <w:p>
      <w:pPr>
        <w:pStyle w:val="4"/>
        <w:snapToGrid w:val="0"/>
        <w:spacing w:beforeAutospacing="0" w:afterAutospacing="0" w:line="560" w:lineRule="exact"/>
        <w:ind w:firstLine="640" w:firstLineChars="200"/>
        <w:jc w:val="both"/>
        <w:rPr>
          <w:rFonts w:ascii="方正黑体_GBK" w:hAnsi="Times New Roman" w:eastAsia="方正黑体_GBK"/>
          <w:bCs/>
          <w:color w:val="000000" w:themeColor="text1"/>
          <w:sz w:val="32"/>
          <w:szCs w:val="32"/>
          <w14:textFill>
            <w14:solidFill>
              <w14:schemeClr w14:val="tx1"/>
            </w14:solidFill>
          </w14:textFill>
        </w:rPr>
      </w:pPr>
      <w:r>
        <w:rPr>
          <w:rStyle w:val="8"/>
          <w:rFonts w:hint="eastAsia" w:ascii="方正黑体_GBK" w:eastAsia="方正黑体_GBK"/>
          <w:b w:val="0"/>
          <w:bCs/>
          <w:color w:val="000000" w:themeColor="text1"/>
          <w:sz w:val="32"/>
          <w:szCs w:val="32"/>
          <w:shd w:val="clear" w:color="auto" w:fill="FFFFFF"/>
          <w14:textFill>
            <w14:solidFill>
              <w14:schemeClr w14:val="tx1"/>
            </w14:solidFill>
          </w14:textFill>
        </w:rPr>
        <w:t>三、“三公”经费情况说明</w:t>
      </w:r>
    </w:p>
    <w:p>
      <w:pPr>
        <w:pStyle w:val="4"/>
        <w:snapToGrid w:val="0"/>
        <w:spacing w:beforeAutospacing="0" w:afterAutospacing="0" w:line="560" w:lineRule="exact"/>
        <w:ind w:firstLine="640" w:firstLineChars="200"/>
        <w:jc w:val="both"/>
        <w:rPr>
          <w:rFonts w:ascii="方正楷体_GBK" w:hAnsi="方正楷体_GBK" w:eastAsia="方正楷体_GBK" w:cs="方正楷体_GBK"/>
          <w:bCs/>
          <w:color w:val="000000" w:themeColor="text1"/>
          <w:sz w:val="32"/>
          <w:szCs w:val="32"/>
          <w14:textFill>
            <w14:solidFill>
              <w14:schemeClr w14:val="tx1"/>
            </w14:solidFill>
          </w14:textFill>
        </w:rPr>
      </w:pPr>
      <w:r>
        <w:rPr>
          <w:rStyle w:val="8"/>
          <w:rFonts w:hint="eastAsia" w:ascii="方正楷体_GBK" w:hAnsi="方正楷体_GBK" w:eastAsia="方正楷体_GBK" w:cs="方正楷体_GBK"/>
          <w:b w:val="0"/>
          <w:bCs/>
          <w:color w:val="000000" w:themeColor="text1"/>
          <w:sz w:val="32"/>
          <w:szCs w:val="32"/>
          <w:shd w:val="clear" w:color="auto" w:fill="FFFFFF"/>
          <w14:textFill>
            <w14:solidFill>
              <w14:schemeClr w14:val="tx1"/>
            </w14:solidFill>
          </w14:textFill>
        </w:rPr>
        <w:t>（一）“三公”经费支出总体情况说明</w:t>
      </w:r>
    </w:p>
    <w:p>
      <w:pPr>
        <w:pStyle w:val="4"/>
        <w:snapToGrid w:val="0"/>
        <w:spacing w:beforeAutospacing="0" w:afterAutospacing="0" w:line="560" w:lineRule="exact"/>
        <w:ind w:firstLine="640" w:firstLineChars="200"/>
        <w:jc w:val="both"/>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shd w:val="clear" w:color="auto" w:fill="FFFFFF"/>
          <w14:textFill>
            <w14:solidFill>
              <w14:schemeClr w14:val="tx1"/>
            </w14:solidFill>
          </w14:textFill>
        </w:rPr>
        <w:t xml:space="preserve"> 20</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20</w:t>
      </w:r>
      <w:r>
        <w:rPr>
          <w:rFonts w:ascii="Times New Roman" w:hAnsi="Times New Roman" w:eastAsia="方正仿宋_GBK"/>
          <w:bCs/>
          <w:color w:val="000000" w:themeColor="text1"/>
          <w:sz w:val="32"/>
          <w:szCs w:val="32"/>
          <w:shd w:val="clear" w:color="auto" w:fill="FFFFFF"/>
          <w14:textFill>
            <w14:solidFill>
              <w14:schemeClr w14:val="tx1"/>
            </w14:solidFill>
          </w14:textFill>
        </w:rPr>
        <w:t>年度“三公”经费支出共计5.6</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0</w:t>
      </w:r>
      <w:r>
        <w:rPr>
          <w:rFonts w:ascii="Times New Roman" w:hAnsi="Times New Roman" w:eastAsia="方正仿宋_GBK"/>
          <w:bCs/>
          <w:color w:val="000000" w:themeColor="text1"/>
          <w:sz w:val="32"/>
          <w:szCs w:val="32"/>
          <w:shd w:val="clear" w:color="auto" w:fill="FFFFFF"/>
          <w14:textFill>
            <w14:solidFill>
              <w14:schemeClr w14:val="tx1"/>
            </w14:solidFill>
          </w14:textFill>
        </w:rPr>
        <w:t>万元，较年初预算数减少</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0.07</w:t>
      </w:r>
      <w:r>
        <w:rPr>
          <w:rFonts w:ascii="Times New Roman" w:hAnsi="Times New Roman" w:eastAsia="方正仿宋_GBK"/>
          <w:bCs/>
          <w:color w:val="000000" w:themeColor="text1"/>
          <w:sz w:val="32"/>
          <w:szCs w:val="32"/>
          <w:shd w:val="clear" w:color="auto" w:fill="FFFFFF"/>
          <w14:textFill>
            <w14:solidFill>
              <w14:schemeClr w14:val="tx1"/>
            </w14:solidFill>
          </w14:textFill>
        </w:rPr>
        <w:t>万元，下降</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0.01</w:t>
      </w:r>
      <w:r>
        <w:rPr>
          <w:rFonts w:ascii="Times New Roman" w:hAnsi="Times New Roman" w:eastAsia="方正仿宋_GBK"/>
          <w:bCs/>
          <w:color w:val="000000" w:themeColor="text1"/>
          <w:sz w:val="32"/>
          <w:szCs w:val="32"/>
          <w:shd w:val="clear" w:color="auto" w:fill="FFFFFF"/>
          <w14:textFill>
            <w14:solidFill>
              <w14:schemeClr w14:val="tx1"/>
            </w14:solidFill>
          </w14:textFill>
        </w:rPr>
        <w:t>%，主要原因是压缩办公经费开支。公务用车运行费较上年支出数减少0.</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07</w:t>
      </w:r>
      <w:r>
        <w:rPr>
          <w:rFonts w:ascii="Times New Roman" w:hAnsi="Times New Roman" w:eastAsia="方正仿宋_GBK"/>
          <w:bCs/>
          <w:color w:val="000000" w:themeColor="text1"/>
          <w:sz w:val="32"/>
          <w:szCs w:val="32"/>
          <w:shd w:val="clear" w:color="auto" w:fill="FFFFFF"/>
          <w14:textFill>
            <w14:solidFill>
              <w14:schemeClr w14:val="tx1"/>
            </w14:solidFill>
          </w14:textFill>
        </w:rPr>
        <w:t>万元，下降</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0.01</w:t>
      </w:r>
      <w:r>
        <w:rPr>
          <w:rFonts w:ascii="Times New Roman" w:hAnsi="Times New Roman" w:eastAsia="方正仿宋_GBK"/>
          <w:bCs/>
          <w:color w:val="000000" w:themeColor="text1"/>
          <w:sz w:val="32"/>
          <w:szCs w:val="32"/>
          <w:shd w:val="clear" w:color="auto" w:fill="FFFFFF"/>
          <w14:textFill>
            <w14:solidFill>
              <w14:schemeClr w14:val="tx1"/>
            </w14:solidFill>
          </w14:textFill>
        </w:rPr>
        <w:t>%，主要原因是一是认真贯彻落实中央八项规定精神，按照只减不增的要求从严控制“三公”经费，全年实际支出较预算和决算均有所下降。二是严格落实公车使用规定，公车运行维护成本大幅下降。三是强化公务接待支出管理，严格遵守公务接待开支范围和开支标准，严格控制陪餐人数，对应由接待对象承担的费用一律由接待对象自行支付，公务接待费大幅下降。</w:t>
      </w:r>
    </w:p>
    <w:p>
      <w:pPr>
        <w:pStyle w:val="4"/>
        <w:snapToGrid w:val="0"/>
        <w:spacing w:beforeAutospacing="0" w:afterAutospacing="0" w:line="560" w:lineRule="exact"/>
        <w:ind w:firstLine="640" w:firstLineChars="200"/>
        <w:jc w:val="both"/>
        <w:rPr>
          <w:rFonts w:ascii="方正楷体_GBK" w:hAnsi="方正楷体_GBK" w:eastAsia="方正楷体_GBK" w:cs="方正楷体_GBK"/>
          <w:bCs/>
          <w:color w:val="000000" w:themeColor="text1"/>
          <w:sz w:val="32"/>
          <w:szCs w:val="32"/>
          <w14:textFill>
            <w14:solidFill>
              <w14:schemeClr w14:val="tx1"/>
            </w14:solidFill>
          </w14:textFill>
        </w:rPr>
      </w:pPr>
      <w:r>
        <w:rPr>
          <w:rStyle w:val="8"/>
          <w:rFonts w:hint="eastAsia" w:ascii="方正楷体_GBK" w:hAnsi="方正楷体_GBK" w:eastAsia="方正楷体_GBK" w:cs="方正楷体_GBK"/>
          <w:b w:val="0"/>
          <w:bCs/>
          <w:color w:val="000000" w:themeColor="text1"/>
          <w:sz w:val="32"/>
          <w:szCs w:val="32"/>
          <w:shd w:val="clear" w:color="auto" w:fill="FFFFFF"/>
          <w14:textFill>
            <w14:solidFill>
              <w14:schemeClr w14:val="tx1"/>
            </w14:solidFill>
          </w14:textFill>
        </w:rPr>
        <w:t>（二）“三公”经费分项支出情况</w:t>
      </w:r>
    </w:p>
    <w:p>
      <w:pPr>
        <w:pStyle w:val="4"/>
        <w:snapToGrid w:val="0"/>
        <w:spacing w:beforeAutospacing="0" w:afterAutospacing="0" w:line="560" w:lineRule="exact"/>
        <w:ind w:firstLine="640" w:firstLineChars="200"/>
        <w:jc w:val="both"/>
        <w:rPr>
          <w:rFonts w:ascii="Times New Roman" w:hAnsi="Times New Roman" w:eastAsia="方正仿宋_GBK"/>
          <w:bCs/>
          <w:color w:val="000000" w:themeColor="text1"/>
          <w:sz w:val="32"/>
          <w:szCs w:val="32"/>
          <w:shd w:val="clear" w:color="auto" w:fill="FFFFFF"/>
          <w14:textFill>
            <w14:solidFill>
              <w14:schemeClr w14:val="tx1"/>
            </w14:solidFill>
          </w14:textFill>
        </w:rPr>
      </w:pPr>
      <w:r>
        <w:rPr>
          <w:rFonts w:ascii="Times New Roman" w:hAnsi="Times New Roman" w:eastAsia="方正仿宋_GBK"/>
          <w:bCs/>
          <w:color w:val="000000" w:themeColor="text1"/>
          <w:sz w:val="32"/>
          <w:szCs w:val="32"/>
          <w:shd w:val="clear" w:color="auto" w:fill="FFFFFF"/>
          <w14:textFill>
            <w14:solidFill>
              <w14:schemeClr w14:val="tx1"/>
            </w14:solidFill>
          </w14:textFill>
        </w:rPr>
        <w:t>20</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20</w:t>
      </w:r>
      <w:r>
        <w:rPr>
          <w:rFonts w:ascii="Times New Roman" w:hAnsi="Times New Roman" w:eastAsia="方正仿宋_GBK"/>
          <w:bCs/>
          <w:color w:val="000000" w:themeColor="text1"/>
          <w:sz w:val="32"/>
          <w:szCs w:val="32"/>
          <w:shd w:val="clear" w:color="auto" w:fill="FFFFFF"/>
          <w14:textFill>
            <w14:solidFill>
              <w14:schemeClr w14:val="tx1"/>
            </w14:solidFill>
          </w14:textFill>
        </w:rPr>
        <w:t>年度本部门因公出国（境）费用0.00万元。</w:t>
      </w:r>
    </w:p>
    <w:p>
      <w:pPr>
        <w:pStyle w:val="4"/>
        <w:snapToGrid w:val="0"/>
        <w:spacing w:beforeAutospacing="0" w:afterAutospacing="0" w:line="560" w:lineRule="exact"/>
        <w:ind w:firstLine="640" w:firstLineChars="200"/>
        <w:jc w:val="both"/>
        <w:rPr>
          <w:rFonts w:ascii="Times New Roman" w:hAnsi="Times New Roman" w:eastAsia="方正仿宋_GBK"/>
          <w:bCs/>
          <w:color w:val="000000" w:themeColor="text1"/>
          <w:sz w:val="32"/>
          <w:szCs w:val="32"/>
          <w:shd w:val="clear" w:color="auto" w:fill="FFFFFF"/>
          <w14:textFill>
            <w14:solidFill>
              <w14:schemeClr w14:val="tx1"/>
            </w14:solidFill>
          </w14:textFill>
        </w:rPr>
      </w:pPr>
      <w:r>
        <w:rPr>
          <w:rFonts w:ascii="Times New Roman" w:hAnsi="Times New Roman" w:eastAsia="方正仿宋_GBK"/>
          <w:bCs/>
          <w:color w:val="000000" w:themeColor="text1"/>
          <w:sz w:val="32"/>
          <w:szCs w:val="32"/>
          <w:shd w:val="clear" w:color="auto" w:fill="FFFFFF"/>
          <w14:textFill>
            <w14:solidFill>
              <w14:schemeClr w14:val="tx1"/>
            </w14:solidFill>
          </w14:textFill>
        </w:rPr>
        <w:t>公务车购置费0.00万元， 公务车运行维护费5.6</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0</w:t>
      </w:r>
      <w:r>
        <w:rPr>
          <w:rFonts w:ascii="Times New Roman" w:hAnsi="Times New Roman" w:eastAsia="方正仿宋_GBK"/>
          <w:bCs/>
          <w:color w:val="000000" w:themeColor="text1"/>
          <w:sz w:val="32"/>
          <w:szCs w:val="32"/>
          <w:shd w:val="clear" w:color="auto" w:fill="FFFFFF"/>
          <w14:textFill>
            <w14:solidFill>
              <w14:schemeClr w14:val="tx1"/>
            </w14:solidFill>
          </w14:textFill>
        </w:rPr>
        <w:t>万元，主要用于</w:t>
      </w:r>
      <w:r>
        <w:rPr>
          <w:rFonts w:ascii="Times New Roman" w:hAnsi="Times New Roman" w:eastAsia="方正仿宋_GBK"/>
          <w:bCs/>
          <w:color w:val="000000" w:themeColor="text1"/>
          <w:sz w:val="32"/>
          <w:szCs w:val="32"/>
          <w14:textFill>
            <w14:solidFill>
              <w14:schemeClr w14:val="tx1"/>
            </w14:solidFill>
          </w14:textFill>
        </w:rPr>
        <w:t>工作所需车辆的燃料费、维修费、过桥过路费、保险费等</w:t>
      </w:r>
      <w:r>
        <w:rPr>
          <w:rFonts w:ascii="Times New Roman" w:hAnsi="Times New Roman" w:eastAsia="方正仿宋_GBK"/>
          <w:bCs/>
          <w:color w:val="000000" w:themeColor="text1"/>
          <w:sz w:val="32"/>
          <w:szCs w:val="32"/>
          <w:shd w:val="clear" w:color="auto" w:fill="FFFFFF"/>
          <w14:textFill>
            <w14:solidFill>
              <w14:schemeClr w14:val="tx1"/>
            </w14:solidFill>
          </w14:textFill>
        </w:rPr>
        <w:t>。费用支出较年初预算数减少</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0.07</w:t>
      </w:r>
      <w:r>
        <w:rPr>
          <w:rFonts w:ascii="Times New Roman" w:hAnsi="Times New Roman" w:eastAsia="方正仿宋_GBK"/>
          <w:bCs/>
          <w:color w:val="000000" w:themeColor="text1"/>
          <w:sz w:val="32"/>
          <w:szCs w:val="32"/>
          <w:shd w:val="clear" w:color="auto" w:fill="FFFFFF"/>
          <w14:textFill>
            <w14:solidFill>
              <w14:schemeClr w14:val="tx1"/>
            </w14:solidFill>
          </w14:textFill>
        </w:rPr>
        <w:t>万元，下降</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0.01</w:t>
      </w:r>
      <w:r>
        <w:rPr>
          <w:rFonts w:ascii="Times New Roman" w:hAnsi="Times New Roman" w:eastAsia="方正仿宋_GBK"/>
          <w:bCs/>
          <w:color w:val="000000" w:themeColor="text1"/>
          <w:sz w:val="32"/>
          <w:szCs w:val="32"/>
          <w:shd w:val="clear" w:color="auto" w:fill="FFFFFF"/>
          <w14:textFill>
            <w14:solidFill>
              <w14:schemeClr w14:val="tx1"/>
            </w14:solidFill>
          </w14:textFill>
        </w:rPr>
        <w:t>%，主要原因是严格落实公车使用规定。</w:t>
      </w:r>
    </w:p>
    <w:p>
      <w:pPr>
        <w:pStyle w:val="4"/>
        <w:snapToGrid w:val="0"/>
        <w:spacing w:beforeAutospacing="0" w:afterAutospacing="0" w:line="560" w:lineRule="exact"/>
        <w:ind w:firstLine="640" w:firstLineChars="200"/>
        <w:jc w:val="both"/>
        <w:rPr>
          <w:rFonts w:ascii="Times New Roman" w:hAnsi="Times New Roman" w:eastAsia="方正仿宋_GBK"/>
          <w:bCs/>
          <w:color w:val="000000" w:themeColor="text1"/>
          <w:sz w:val="32"/>
          <w:szCs w:val="32"/>
          <w:shd w:val="clear" w:color="auto" w:fill="FFFFFF"/>
          <w14:textFill>
            <w14:solidFill>
              <w14:schemeClr w14:val="tx1"/>
            </w14:solidFill>
          </w14:textFill>
        </w:rPr>
      </w:pPr>
      <w:r>
        <w:rPr>
          <w:rFonts w:ascii="Times New Roman" w:hAnsi="Times New Roman" w:eastAsia="方正仿宋_GBK"/>
          <w:bCs/>
          <w:color w:val="000000" w:themeColor="text1"/>
          <w:sz w:val="32"/>
          <w:szCs w:val="32"/>
          <w:shd w:val="clear" w:color="auto" w:fill="FFFFFF"/>
          <w14:textFill>
            <w14:solidFill>
              <w14:schemeClr w14:val="tx1"/>
            </w14:solidFill>
          </w14:textFill>
        </w:rPr>
        <w:t>公务接待费0.00万元</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w:t>
      </w:r>
    </w:p>
    <w:p>
      <w:pPr>
        <w:pStyle w:val="4"/>
        <w:snapToGrid w:val="0"/>
        <w:spacing w:beforeAutospacing="0" w:afterAutospacing="0" w:line="560" w:lineRule="exact"/>
        <w:ind w:firstLine="640" w:firstLineChars="200"/>
        <w:jc w:val="both"/>
        <w:rPr>
          <w:rFonts w:ascii="方正楷体_GBK" w:hAnsi="方正楷体_GBK" w:eastAsia="方正楷体_GBK" w:cs="方正楷体_GBK"/>
          <w:bCs/>
          <w:color w:val="000000" w:themeColor="text1"/>
          <w:sz w:val="32"/>
          <w:szCs w:val="32"/>
          <w14:textFill>
            <w14:solidFill>
              <w14:schemeClr w14:val="tx1"/>
            </w14:solidFill>
          </w14:textFill>
        </w:rPr>
      </w:pPr>
      <w:r>
        <w:rPr>
          <w:rStyle w:val="8"/>
          <w:rFonts w:hint="eastAsia" w:ascii="方正楷体_GBK" w:hAnsi="方正楷体_GBK" w:eastAsia="方正楷体_GBK" w:cs="方正楷体_GBK"/>
          <w:b w:val="0"/>
          <w:bCs/>
          <w:color w:val="000000" w:themeColor="text1"/>
          <w:sz w:val="32"/>
          <w:szCs w:val="32"/>
          <w:shd w:val="clear" w:color="auto" w:fill="FFFFFF"/>
          <w14:textFill>
            <w14:solidFill>
              <w14:schemeClr w14:val="tx1"/>
            </w14:solidFill>
          </w14:textFill>
        </w:rPr>
        <w:t>（三）“三公”经费实物量情况</w:t>
      </w:r>
    </w:p>
    <w:p>
      <w:pPr>
        <w:pStyle w:val="4"/>
        <w:snapToGrid w:val="0"/>
        <w:spacing w:beforeAutospacing="0" w:afterAutospacing="0" w:line="560" w:lineRule="exact"/>
        <w:ind w:firstLine="640" w:firstLineChars="200"/>
        <w:jc w:val="both"/>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shd w:val="clear" w:color="auto" w:fill="FFFFFF"/>
          <w14:textFill>
            <w14:solidFill>
              <w14:schemeClr w14:val="tx1"/>
            </w14:solidFill>
          </w14:textFill>
        </w:rPr>
        <w:t xml:space="preserve"> 20</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20</w:t>
      </w:r>
      <w:r>
        <w:rPr>
          <w:rFonts w:ascii="Times New Roman" w:hAnsi="Times New Roman" w:eastAsia="方正仿宋_GBK"/>
          <w:bCs/>
          <w:color w:val="000000" w:themeColor="text1"/>
          <w:sz w:val="32"/>
          <w:szCs w:val="32"/>
          <w:shd w:val="clear" w:color="auto" w:fill="FFFFFF"/>
          <w14:textFill>
            <w14:solidFill>
              <w14:schemeClr w14:val="tx1"/>
            </w14:solidFill>
          </w14:textFill>
        </w:rPr>
        <w:t>年度本部门因公出国（境）共计0个团组，0人；公务用车购置0辆，公务车保有量为3辆；国内公务接待0批次0人，其中：国内外事接待0批次，0人；国（境）外公务接待0批次，0人。20</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20</w:t>
      </w:r>
      <w:r>
        <w:rPr>
          <w:rFonts w:ascii="Times New Roman" w:hAnsi="Times New Roman" w:eastAsia="方正仿宋_GBK"/>
          <w:bCs/>
          <w:color w:val="000000" w:themeColor="text1"/>
          <w:sz w:val="32"/>
          <w:szCs w:val="32"/>
          <w:shd w:val="clear" w:color="auto" w:fill="FFFFFF"/>
          <w14:textFill>
            <w14:solidFill>
              <w14:schemeClr w14:val="tx1"/>
            </w14:solidFill>
          </w14:textFill>
        </w:rPr>
        <w:t>年本部门人均接待费0.00元，车均购置费0.00万元，车均维护费1.8</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6</w:t>
      </w:r>
      <w:r>
        <w:rPr>
          <w:rFonts w:ascii="Times New Roman" w:hAnsi="Times New Roman" w:eastAsia="方正仿宋_GBK"/>
          <w:bCs/>
          <w:color w:val="000000" w:themeColor="text1"/>
          <w:sz w:val="32"/>
          <w:szCs w:val="32"/>
          <w:shd w:val="clear" w:color="auto" w:fill="FFFFFF"/>
          <w14:textFill>
            <w14:solidFill>
              <w14:schemeClr w14:val="tx1"/>
            </w14:solidFill>
          </w14:textFill>
        </w:rPr>
        <w:t>万元。</w:t>
      </w:r>
    </w:p>
    <w:p>
      <w:pPr>
        <w:pStyle w:val="4"/>
        <w:snapToGrid w:val="0"/>
        <w:spacing w:beforeAutospacing="0" w:afterAutospacing="0" w:line="560" w:lineRule="exact"/>
        <w:ind w:firstLine="640" w:firstLineChars="200"/>
        <w:jc w:val="both"/>
        <w:rPr>
          <w:rFonts w:ascii="方正黑体_GBK" w:hAnsi="Times New Roman" w:eastAsia="方正黑体_GBK"/>
          <w:bCs/>
          <w:color w:val="000000" w:themeColor="text1"/>
          <w:sz w:val="32"/>
          <w:szCs w:val="32"/>
          <w14:textFill>
            <w14:solidFill>
              <w14:schemeClr w14:val="tx1"/>
            </w14:solidFill>
          </w14:textFill>
        </w:rPr>
      </w:pPr>
      <w:r>
        <w:rPr>
          <w:rStyle w:val="8"/>
          <w:rFonts w:hint="eastAsia" w:ascii="方正黑体_GBK" w:eastAsia="方正黑体_GBK"/>
          <w:b w:val="0"/>
          <w:bCs/>
          <w:color w:val="000000" w:themeColor="text1"/>
          <w:sz w:val="32"/>
          <w:szCs w:val="32"/>
          <w:shd w:val="clear" w:color="auto" w:fill="FFFFFF"/>
          <w14:textFill>
            <w14:solidFill>
              <w14:schemeClr w14:val="tx1"/>
            </w14:solidFill>
          </w14:textFill>
        </w:rPr>
        <w:t>四、其他需要说明的事项</w:t>
      </w:r>
    </w:p>
    <w:p>
      <w:pPr>
        <w:pStyle w:val="4"/>
        <w:snapToGrid w:val="0"/>
        <w:spacing w:beforeAutospacing="0" w:afterAutospacing="0" w:line="560" w:lineRule="exact"/>
        <w:ind w:firstLine="640" w:firstLineChars="200"/>
        <w:jc w:val="both"/>
        <w:rPr>
          <w:rFonts w:ascii="Times New Roman" w:hAnsi="Times New Roman" w:eastAsia="方正仿宋_GBK"/>
          <w:bCs/>
          <w:color w:val="000000" w:themeColor="text1"/>
          <w:sz w:val="32"/>
          <w:szCs w:val="32"/>
          <w14:textFill>
            <w14:solidFill>
              <w14:schemeClr w14:val="tx1"/>
            </w14:solidFill>
          </w14:textFill>
        </w:rPr>
      </w:pPr>
      <w:r>
        <w:rPr>
          <w:rStyle w:val="8"/>
          <w:rFonts w:hint="eastAsia" w:ascii="方正楷体_GBK" w:hAnsi="方正楷体_GBK" w:eastAsia="方正楷体_GBK" w:cs="方正楷体_GBK"/>
          <w:b w:val="0"/>
          <w:bCs/>
          <w:color w:val="000000" w:themeColor="text1"/>
          <w:sz w:val="32"/>
          <w:szCs w:val="32"/>
          <w:shd w:val="clear" w:color="auto" w:fill="FFFFFF"/>
          <w14:textFill>
            <w14:solidFill>
              <w14:schemeClr w14:val="tx1"/>
            </w14:solidFill>
          </w14:textFill>
        </w:rPr>
        <w:t>（一）机关运行经费情况说明。</w:t>
      </w:r>
      <w:r>
        <w:rPr>
          <w:rFonts w:ascii="Times New Roman" w:hAnsi="Times New Roman" w:eastAsia="方正仿宋_GBK"/>
          <w:bCs/>
          <w:color w:val="000000" w:themeColor="text1"/>
          <w:sz w:val="32"/>
          <w:szCs w:val="32"/>
          <w:shd w:val="clear" w:color="auto" w:fill="FFFFFF"/>
          <w14:textFill>
            <w14:solidFill>
              <w14:schemeClr w14:val="tx1"/>
            </w14:solidFill>
          </w14:textFill>
        </w:rPr>
        <w:t>20</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20</w:t>
      </w:r>
      <w:r>
        <w:rPr>
          <w:rFonts w:ascii="Times New Roman" w:hAnsi="Times New Roman" w:eastAsia="方正仿宋_GBK"/>
          <w:bCs/>
          <w:color w:val="000000" w:themeColor="text1"/>
          <w:sz w:val="32"/>
          <w:szCs w:val="32"/>
          <w:shd w:val="clear" w:color="auto" w:fill="FFFFFF"/>
          <w14:textFill>
            <w14:solidFill>
              <w14:schemeClr w14:val="tx1"/>
            </w14:solidFill>
          </w14:textFill>
        </w:rPr>
        <w:t>年度本部门机关运行经费支出0.00万元</w:t>
      </w:r>
    </w:p>
    <w:p>
      <w:pPr>
        <w:pStyle w:val="4"/>
        <w:snapToGrid w:val="0"/>
        <w:spacing w:beforeAutospacing="0" w:afterAutospacing="0" w:line="560" w:lineRule="exact"/>
        <w:ind w:firstLine="640" w:firstLineChars="200"/>
        <w:jc w:val="both"/>
        <w:rPr>
          <w:rFonts w:ascii="Times New Roman" w:hAnsi="Times New Roman" w:eastAsia="方正仿宋_GBK"/>
          <w:bCs/>
          <w:color w:val="000000" w:themeColor="text1"/>
          <w:sz w:val="32"/>
          <w:szCs w:val="32"/>
          <w14:textFill>
            <w14:solidFill>
              <w14:schemeClr w14:val="tx1"/>
            </w14:solidFill>
          </w14:textFill>
        </w:rPr>
      </w:pPr>
      <w:r>
        <w:rPr>
          <w:rStyle w:val="8"/>
          <w:rFonts w:hint="eastAsia" w:ascii="方正楷体_GBK" w:hAnsi="方正楷体_GBK" w:eastAsia="方正楷体_GBK" w:cs="方正楷体_GBK"/>
          <w:b w:val="0"/>
          <w:bCs/>
          <w:color w:val="000000" w:themeColor="text1"/>
          <w:sz w:val="32"/>
          <w:szCs w:val="32"/>
          <w:shd w:val="clear" w:color="auto" w:fill="FFFFFF"/>
          <w14:textFill>
            <w14:solidFill>
              <w14:schemeClr w14:val="tx1"/>
            </w14:solidFill>
          </w14:textFill>
        </w:rPr>
        <w:t>（二）国有资产占用情况说明。</w:t>
      </w:r>
      <w:r>
        <w:rPr>
          <w:rFonts w:ascii="Times New Roman" w:hAnsi="Times New Roman" w:eastAsia="方正仿宋_GBK"/>
          <w:bCs/>
          <w:color w:val="000000" w:themeColor="text1"/>
          <w:sz w:val="32"/>
          <w:szCs w:val="32"/>
          <w:shd w:val="clear" w:color="auto" w:fill="FFFFFF"/>
          <w14:textFill>
            <w14:solidFill>
              <w14:schemeClr w14:val="tx1"/>
            </w14:solidFill>
          </w14:textFill>
        </w:rPr>
        <w:t>截至20</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20</w:t>
      </w:r>
      <w:r>
        <w:rPr>
          <w:rFonts w:ascii="Times New Roman" w:hAnsi="Times New Roman" w:eastAsia="方正仿宋_GBK"/>
          <w:bCs/>
          <w:color w:val="000000" w:themeColor="text1"/>
          <w:sz w:val="32"/>
          <w:szCs w:val="32"/>
          <w:shd w:val="clear" w:color="auto" w:fill="FFFFFF"/>
          <w14:textFill>
            <w14:solidFill>
              <w14:schemeClr w14:val="tx1"/>
            </w14:solidFill>
          </w14:textFill>
        </w:rPr>
        <w:t>年12月31日，本部门共有车辆3辆，其他用车3辆，主要是用于卫生应急及疾病预防控制。单价50万元（含）以上通用设备</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12</w:t>
      </w:r>
      <w:r>
        <w:rPr>
          <w:rFonts w:ascii="Times New Roman" w:hAnsi="Times New Roman" w:eastAsia="方正仿宋_GBK"/>
          <w:bCs/>
          <w:color w:val="000000" w:themeColor="text1"/>
          <w:sz w:val="32"/>
          <w:szCs w:val="32"/>
          <w:shd w:val="clear" w:color="auto" w:fill="FFFFFF"/>
          <w14:textFill>
            <w14:solidFill>
              <w14:schemeClr w14:val="tx1"/>
            </w14:solidFill>
          </w14:textFill>
        </w:rPr>
        <w:t>台（套），单价100万元（含）以上专用设备</w:t>
      </w:r>
      <w:r>
        <w:rPr>
          <w:rFonts w:hint="eastAsia" w:ascii="Times New Roman" w:hAnsi="Times New Roman" w:eastAsia="方正仿宋_GBK"/>
          <w:bCs/>
          <w:color w:val="000000" w:themeColor="text1"/>
          <w:sz w:val="32"/>
          <w:szCs w:val="32"/>
          <w:shd w:val="clear" w:color="auto" w:fill="FFFFFF"/>
          <w14:textFill>
            <w14:solidFill>
              <w14:schemeClr w14:val="tx1"/>
            </w14:solidFill>
          </w14:textFill>
        </w:rPr>
        <w:t>5</w:t>
      </w:r>
      <w:r>
        <w:rPr>
          <w:rFonts w:ascii="Times New Roman" w:hAnsi="Times New Roman" w:eastAsia="方正仿宋_GBK"/>
          <w:bCs/>
          <w:color w:val="000000" w:themeColor="text1"/>
          <w:sz w:val="32"/>
          <w:szCs w:val="32"/>
          <w:shd w:val="clear" w:color="auto" w:fill="FFFFFF"/>
          <w14:textFill>
            <w14:solidFill>
              <w14:schemeClr w14:val="tx1"/>
            </w14:solidFill>
          </w14:textFill>
        </w:rPr>
        <w:t>台（套）。</w:t>
      </w:r>
    </w:p>
    <w:p>
      <w:pPr>
        <w:pStyle w:val="4"/>
        <w:snapToGrid w:val="0"/>
        <w:spacing w:beforeAutospacing="0" w:afterAutospacing="0" w:line="560" w:lineRule="exact"/>
        <w:ind w:firstLine="640" w:firstLineChars="200"/>
        <w:jc w:val="both"/>
        <w:rPr>
          <w:rStyle w:val="8"/>
          <w:rFonts w:ascii="方正黑体_GBK" w:eastAsia="方正黑体_GBK"/>
          <w:b w:val="0"/>
          <w:bCs/>
          <w:color w:val="000000" w:themeColor="text1"/>
          <w:sz w:val="32"/>
          <w:szCs w:val="32"/>
          <w:shd w:val="clear" w:color="auto" w:fill="FFFFFF"/>
          <w14:textFill>
            <w14:solidFill>
              <w14:schemeClr w14:val="tx1"/>
            </w14:solidFill>
          </w14:textFill>
        </w:rPr>
      </w:pPr>
      <w:r>
        <w:rPr>
          <w:rStyle w:val="8"/>
          <w:rFonts w:hint="eastAsia" w:ascii="方正黑体_GBK" w:eastAsia="方正黑体_GBK"/>
          <w:b w:val="0"/>
          <w:bCs/>
          <w:color w:val="000000" w:themeColor="text1"/>
          <w:sz w:val="32"/>
          <w:szCs w:val="32"/>
          <w:shd w:val="clear" w:color="auto" w:fill="FFFFFF"/>
          <w14:textFill>
            <w14:solidFill>
              <w14:schemeClr w14:val="tx1"/>
            </w14:solidFill>
          </w14:textFill>
        </w:rPr>
        <w:t>五、预算绩效管理情况说明</w:t>
      </w:r>
    </w:p>
    <w:p>
      <w:pPr>
        <w:pStyle w:val="4"/>
        <w:shd w:val="clear" w:color="auto" w:fill="FFFFFF"/>
        <w:spacing w:beforeAutospacing="0" w:afterAutospacing="0" w:line="560" w:lineRule="exact"/>
        <w:ind w:firstLine="640" w:firstLineChars="200"/>
        <w:jc w:val="both"/>
        <w:rPr>
          <w:rStyle w:val="8"/>
          <w:rFonts w:ascii="方正楷体_GBK" w:hAnsi="方正楷体_GBK" w:eastAsia="方正楷体_GBK" w:cs="方正楷体_GBK"/>
          <w:b w:val="0"/>
          <w:color w:val="000000" w:themeColor="text1"/>
          <w:sz w:val="32"/>
          <w:szCs w:val="32"/>
          <w:shd w:val="clear" w:color="auto" w:fill="FFFFFF"/>
          <w14:textFill>
            <w14:solidFill>
              <w14:schemeClr w14:val="tx1"/>
            </w14:solidFill>
          </w14:textFill>
        </w:rPr>
      </w:pPr>
      <w:r>
        <w:rPr>
          <w:rStyle w:val="8"/>
          <w:rFonts w:hint="eastAsia" w:ascii="方正楷体_GBK" w:hAnsi="方正楷体_GBK" w:eastAsia="方正楷体_GBK" w:cs="方正楷体_GBK"/>
          <w:b w:val="0"/>
          <w:color w:val="000000" w:themeColor="text1"/>
          <w:sz w:val="32"/>
          <w:szCs w:val="32"/>
          <w:shd w:val="clear" w:color="auto" w:fill="FFFFFF"/>
          <w14:textFill>
            <w14:solidFill>
              <w14:schemeClr w14:val="tx1"/>
            </w14:solidFill>
          </w14:textFill>
        </w:rPr>
        <w:t>（一）预算绩效管理工作开展情况。</w:t>
      </w:r>
    </w:p>
    <w:p>
      <w:pPr>
        <w:autoSpaceDE w:val="0"/>
        <w:autoSpaceDN w:val="0"/>
        <w:adjustRightInd w:val="0"/>
        <w:spacing w:line="560" w:lineRule="exact"/>
        <w:ind w:firstLine="640" w:firstLineChars="200"/>
        <w:rPr>
          <w:rFonts w:ascii="方正仿宋_GBK" w:hAnsi="方正仿宋_GBK" w:eastAsia="方正仿宋_GBK" w:cs="方正仿宋_GBK"/>
          <w:color w:val="000000" w:themeColor="text1"/>
          <w:kern w:val="0"/>
          <w:sz w:val="32"/>
          <w:szCs w:val="32"/>
          <w:lang w:val="zh-CN" w:bidi="ar"/>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zh-CN" w:bidi="ar"/>
          <w14:textFill>
            <w14:solidFill>
              <w14:schemeClr w14:val="tx1"/>
            </w14:solidFill>
          </w14:textFill>
        </w:rPr>
        <w:t>严格按照县财政的要去对单位财政资金项目进行绩效管理与绩效自评。</w:t>
      </w:r>
    </w:p>
    <w:p>
      <w:pPr>
        <w:autoSpaceDE w:val="0"/>
        <w:autoSpaceDN w:val="0"/>
        <w:adjustRightInd w:val="0"/>
        <w:spacing w:line="560" w:lineRule="exact"/>
        <w:ind w:firstLine="640" w:firstLineChars="200"/>
        <w:rPr>
          <w:rFonts w:ascii="方正楷体_GBK" w:hAnsi="方正楷体_GBK" w:eastAsia="方正楷体_GBK" w:cs="方正楷体_GBK"/>
          <w:color w:val="000000" w:themeColor="text1"/>
          <w:kern w:val="0"/>
          <w:sz w:val="32"/>
          <w:szCs w:val="32"/>
          <w:lang w:val="zh-CN"/>
          <w14:textFill>
            <w14:solidFill>
              <w14:schemeClr w14:val="tx1"/>
            </w14:solidFill>
          </w14:textFill>
        </w:rPr>
      </w:pPr>
      <w:r>
        <w:rPr>
          <w:rFonts w:hint="eastAsia" w:ascii="方正楷体_GBK" w:hAnsi="方正楷体_GBK" w:eastAsia="方正楷体_GBK" w:cs="方正楷体_GBK"/>
          <w:color w:val="000000" w:themeColor="text1"/>
          <w:kern w:val="0"/>
          <w:sz w:val="32"/>
          <w:szCs w:val="32"/>
          <w:lang w:val="zh-CN" w:bidi="ar"/>
          <w14:textFill>
            <w14:solidFill>
              <w14:schemeClr w14:val="tx1"/>
            </w14:solidFill>
          </w14:textFill>
        </w:rPr>
        <w:t>（二）绩效自评结果</w:t>
      </w:r>
    </w:p>
    <w:p>
      <w:pPr>
        <w:autoSpaceDE w:val="0"/>
        <w:autoSpaceDN w:val="0"/>
        <w:adjustRightInd w:val="0"/>
        <w:spacing w:line="560" w:lineRule="exact"/>
        <w:ind w:firstLine="640" w:firstLineChars="200"/>
        <w:rPr>
          <w:rFonts w:ascii="方正仿宋_GBK" w:hAnsi="方正仿宋_GBK" w:eastAsia="方正仿宋_GBK" w:cs="方正仿宋_GBK"/>
          <w:color w:val="000000" w:themeColor="text1"/>
          <w:kern w:val="0"/>
          <w:sz w:val="32"/>
          <w:szCs w:val="32"/>
          <w:lang w:val="zh-CN" w:bidi="ar"/>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zh-CN" w:bidi="ar"/>
          <w14:textFill>
            <w14:solidFill>
              <w14:schemeClr w14:val="tx1"/>
            </w14:solidFill>
          </w14:textFill>
        </w:rPr>
        <w:t>1.绩效目标自评表</w:t>
      </w:r>
    </w:p>
    <w:p>
      <w:pPr>
        <w:pStyle w:val="12"/>
        <w:tabs>
          <w:tab w:val="center" w:pos="4153"/>
          <w:tab w:val="left" w:pos="7275"/>
        </w:tabs>
        <w:spacing w:line="560" w:lineRule="exact"/>
        <w:ind w:firstLine="0" w:firstLineChars="0"/>
        <w:jc w:val="center"/>
        <w:rPr>
          <w:rFonts w:ascii="Times New Roman" w:hAnsi="Times New Roman" w:eastAsia="方正小标宋_GBK" w:cs="宋体"/>
          <w:color w:val="000000" w:themeColor="text1"/>
          <w:kern w:val="0"/>
          <w:sz w:val="36"/>
          <w:szCs w:val="36"/>
          <w14:textFill>
            <w14:solidFill>
              <w14:schemeClr w14:val="tx1"/>
            </w14:solidFill>
          </w14:textFill>
        </w:rPr>
      </w:pPr>
    </w:p>
    <w:p>
      <w:pPr>
        <w:pStyle w:val="12"/>
        <w:tabs>
          <w:tab w:val="center" w:pos="4153"/>
          <w:tab w:val="left" w:pos="7275"/>
        </w:tabs>
        <w:spacing w:line="560" w:lineRule="exact"/>
        <w:ind w:firstLine="0" w:firstLineChars="0"/>
        <w:jc w:val="center"/>
        <w:rPr>
          <w:rFonts w:ascii="Times New Roman" w:hAnsi="Times New Roman" w:eastAsia="方正小标宋_GBK" w:cs="宋体"/>
          <w:color w:val="000000" w:themeColor="text1"/>
          <w:kern w:val="0"/>
          <w:sz w:val="36"/>
          <w:szCs w:val="36"/>
          <w14:textFill>
            <w14:solidFill>
              <w14:schemeClr w14:val="tx1"/>
            </w14:solidFill>
          </w14:textFill>
        </w:rPr>
      </w:pPr>
    </w:p>
    <w:p>
      <w:pPr>
        <w:pStyle w:val="12"/>
        <w:tabs>
          <w:tab w:val="center" w:pos="4153"/>
          <w:tab w:val="left" w:pos="7275"/>
        </w:tabs>
        <w:spacing w:line="560" w:lineRule="exact"/>
        <w:ind w:firstLine="0" w:firstLineChars="0"/>
        <w:jc w:val="center"/>
        <w:rPr>
          <w:rFonts w:ascii="Times New Roman" w:hAnsi="Times New Roman" w:eastAsia="方正小标宋_GBK" w:cs="宋体"/>
          <w:color w:val="000000" w:themeColor="text1"/>
          <w:kern w:val="0"/>
          <w:sz w:val="36"/>
          <w:szCs w:val="36"/>
          <w14:textFill>
            <w14:solidFill>
              <w14:schemeClr w14:val="tx1"/>
            </w14:solidFill>
          </w14:textFill>
        </w:rPr>
      </w:pPr>
    </w:p>
    <w:p>
      <w:pPr>
        <w:pStyle w:val="12"/>
        <w:tabs>
          <w:tab w:val="center" w:pos="4153"/>
          <w:tab w:val="left" w:pos="7275"/>
        </w:tabs>
        <w:spacing w:line="560" w:lineRule="exact"/>
        <w:ind w:firstLine="0" w:firstLineChars="0"/>
        <w:jc w:val="center"/>
        <w:rPr>
          <w:rFonts w:ascii="Times New Roman" w:hAnsi="Times New Roman" w:eastAsia="方正小标宋_GBK" w:cs="宋体"/>
          <w:color w:val="000000" w:themeColor="text1"/>
          <w:kern w:val="0"/>
          <w:sz w:val="36"/>
          <w:szCs w:val="36"/>
          <w14:textFill>
            <w14:solidFill>
              <w14:schemeClr w14:val="tx1"/>
            </w14:solidFill>
          </w14:textFill>
        </w:rPr>
      </w:pPr>
    </w:p>
    <w:p>
      <w:pPr>
        <w:pStyle w:val="12"/>
        <w:tabs>
          <w:tab w:val="center" w:pos="4153"/>
          <w:tab w:val="left" w:pos="7275"/>
        </w:tabs>
        <w:spacing w:line="560" w:lineRule="exact"/>
        <w:ind w:firstLine="0" w:firstLineChars="0"/>
        <w:jc w:val="center"/>
        <w:rPr>
          <w:rFonts w:ascii="Times New Roman" w:hAnsi="Times New Roman" w:eastAsia="方正小标宋_GBK" w:cs="宋体"/>
          <w:color w:val="000000" w:themeColor="text1"/>
          <w:kern w:val="0"/>
          <w:sz w:val="36"/>
          <w:szCs w:val="36"/>
          <w14:textFill>
            <w14:solidFill>
              <w14:schemeClr w14:val="tx1"/>
            </w14:solidFill>
          </w14:textFill>
        </w:rPr>
      </w:pPr>
    </w:p>
    <w:p>
      <w:pPr>
        <w:pStyle w:val="12"/>
        <w:tabs>
          <w:tab w:val="center" w:pos="4153"/>
          <w:tab w:val="left" w:pos="7275"/>
        </w:tabs>
        <w:spacing w:line="560" w:lineRule="exact"/>
        <w:ind w:firstLine="0" w:firstLineChars="0"/>
        <w:jc w:val="center"/>
        <w:rPr>
          <w:rFonts w:ascii="Times New Roman" w:hAnsi="Times New Roman" w:eastAsia="方正小标宋_GBK" w:cs="宋体"/>
          <w:color w:val="000000" w:themeColor="text1"/>
          <w:kern w:val="0"/>
          <w:sz w:val="36"/>
          <w:szCs w:val="36"/>
          <w14:textFill>
            <w14:solidFill>
              <w14:schemeClr w14:val="tx1"/>
            </w14:solidFill>
          </w14:textFill>
        </w:rPr>
      </w:pPr>
    </w:p>
    <w:p>
      <w:pPr>
        <w:pStyle w:val="12"/>
        <w:tabs>
          <w:tab w:val="center" w:pos="4153"/>
          <w:tab w:val="left" w:pos="7275"/>
        </w:tabs>
        <w:spacing w:line="560" w:lineRule="exact"/>
        <w:ind w:firstLine="0" w:firstLineChars="0"/>
        <w:jc w:val="center"/>
        <w:rPr>
          <w:rFonts w:ascii="Times New Roman" w:hAnsi="Times New Roman" w:eastAsia="方正小标宋_GBK" w:cs="宋体"/>
          <w:color w:val="000000" w:themeColor="text1"/>
          <w:kern w:val="0"/>
          <w:sz w:val="36"/>
          <w:szCs w:val="36"/>
          <w14:textFill>
            <w14:solidFill>
              <w14:schemeClr w14:val="tx1"/>
            </w14:solidFill>
          </w14:textFill>
        </w:rPr>
      </w:pPr>
    </w:p>
    <w:p>
      <w:pPr>
        <w:pStyle w:val="12"/>
        <w:tabs>
          <w:tab w:val="center" w:pos="4153"/>
          <w:tab w:val="left" w:pos="7275"/>
        </w:tabs>
        <w:spacing w:line="560" w:lineRule="exact"/>
        <w:ind w:firstLine="0" w:firstLineChars="0"/>
        <w:jc w:val="center"/>
        <w:rPr>
          <w:rFonts w:ascii="Times New Roman" w:hAnsi="Times New Roman" w:eastAsia="方正小标宋_GBK" w:cs="宋体"/>
          <w:color w:val="000000" w:themeColor="text1"/>
          <w:kern w:val="0"/>
          <w:sz w:val="36"/>
          <w:szCs w:val="36"/>
          <w14:textFill>
            <w14:solidFill>
              <w14:schemeClr w14:val="tx1"/>
            </w14:solidFill>
          </w14:textFill>
        </w:rPr>
      </w:pPr>
    </w:p>
    <w:p>
      <w:pPr>
        <w:pStyle w:val="12"/>
        <w:tabs>
          <w:tab w:val="center" w:pos="4153"/>
          <w:tab w:val="left" w:pos="7275"/>
        </w:tabs>
        <w:spacing w:line="560" w:lineRule="exact"/>
        <w:ind w:firstLine="0" w:firstLineChars="0"/>
        <w:jc w:val="center"/>
        <w:rPr>
          <w:rFonts w:ascii="Times New Roman" w:hAnsi="Times New Roman" w:eastAsia="方正小标宋_GBK" w:cs="宋体"/>
          <w:color w:val="000000" w:themeColor="text1"/>
          <w:kern w:val="0"/>
          <w:sz w:val="36"/>
          <w:szCs w:val="36"/>
          <w14:textFill>
            <w14:solidFill>
              <w14:schemeClr w14:val="tx1"/>
            </w14:solidFill>
          </w14:textFill>
        </w:rPr>
      </w:pPr>
    </w:p>
    <w:p>
      <w:pPr>
        <w:pStyle w:val="12"/>
        <w:tabs>
          <w:tab w:val="center" w:pos="4153"/>
          <w:tab w:val="left" w:pos="7275"/>
        </w:tabs>
        <w:spacing w:line="560" w:lineRule="exact"/>
        <w:ind w:firstLine="0" w:firstLineChars="0"/>
        <w:jc w:val="center"/>
        <w:rPr>
          <w:rFonts w:ascii="Times New Roman" w:hAnsi="Times New Roman" w:eastAsia="方正小标宋_GBK" w:cs="宋体"/>
          <w:color w:val="000000" w:themeColor="text1"/>
          <w:kern w:val="0"/>
          <w:sz w:val="36"/>
          <w:szCs w:val="36"/>
          <w14:textFill>
            <w14:solidFill>
              <w14:schemeClr w14:val="tx1"/>
            </w14:solidFill>
          </w14:textFill>
        </w:rPr>
      </w:pPr>
    </w:p>
    <w:p>
      <w:pPr>
        <w:pStyle w:val="12"/>
        <w:tabs>
          <w:tab w:val="center" w:pos="4153"/>
          <w:tab w:val="left" w:pos="7275"/>
        </w:tabs>
        <w:spacing w:line="560" w:lineRule="exact"/>
        <w:ind w:firstLine="0" w:firstLineChars="0"/>
        <w:jc w:val="center"/>
        <w:rPr>
          <w:rFonts w:ascii="Times New Roman" w:hAnsi="Times New Roman" w:eastAsia="方正仿宋_GBK" w:cs="宋体"/>
          <w:color w:val="000000" w:themeColor="text1"/>
          <w:kern w:val="0"/>
          <w:sz w:val="32"/>
          <w:szCs w:val="32"/>
          <w14:textFill>
            <w14:solidFill>
              <w14:schemeClr w14:val="tx1"/>
            </w14:solidFill>
          </w14:textFill>
        </w:rPr>
      </w:pPr>
      <w:r>
        <w:rPr>
          <w:rFonts w:hint="eastAsia" w:ascii="Times New Roman" w:hAnsi="Times New Roman" w:eastAsia="方正小标宋_GBK" w:cs="宋体"/>
          <w:color w:val="000000" w:themeColor="text1"/>
          <w:kern w:val="0"/>
          <w:sz w:val="36"/>
          <w:szCs w:val="36"/>
          <w14:textFill>
            <w14:solidFill>
              <w14:schemeClr w14:val="tx1"/>
            </w14:solidFill>
          </w14:textFill>
        </w:rPr>
        <w:t>部门整体绩效自评表</w:t>
      </w:r>
    </w:p>
    <w:tbl>
      <w:tblPr>
        <w:tblStyle w:val="5"/>
        <w:tblW w:w="9993" w:type="dxa"/>
        <w:tblInd w:w="-318" w:type="dxa"/>
        <w:tblLayout w:type="fixed"/>
        <w:tblCellMar>
          <w:top w:w="0" w:type="dxa"/>
          <w:left w:w="108" w:type="dxa"/>
          <w:bottom w:w="0" w:type="dxa"/>
          <w:right w:w="108" w:type="dxa"/>
        </w:tblCellMar>
      </w:tblPr>
      <w:tblGrid>
        <w:gridCol w:w="937"/>
        <w:gridCol w:w="729"/>
        <w:gridCol w:w="347"/>
        <w:gridCol w:w="302"/>
        <w:gridCol w:w="134"/>
        <w:gridCol w:w="747"/>
        <w:gridCol w:w="704"/>
        <w:gridCol w:w="312"/>
        <w:gridCol w:w="430"/>
        <w:gridCol w:w="252"/>
        <w:gridCol w:w="451"/>
        <w:gridCol w:w="85"/>
        <w:gridCol w:w="928"/>
        <w:gridCol w:w="1387"/>
        <w:gridCol w:w="88"/>
        <w:gridCol w:w="967"/>
        <w:gridCol w:w="1193"/>
      </w:tblGrid>
      <w:tr>
        <w:tblPrEx>
          <w:tblLayout w:type="fixed"/>
          <w:tblCellMar>
            <w:top w:w="0" w:type="dxa"/>
            <w:left w:w="108" w:type="dxa"/>
            <w:bottom w:w="0" w:type="dxa"/>
            <w:right w:w="108" w:type="dxa"/>
          </w:tblCellMar>
        </w:tblPrEx>
        <w:trPr>
          <w:trHeight w:val="575" w:hRule="atLeast"/>
        </w:trPr>
        <w:tc>
          <w:tcPr>
            <w:tcW w:w="937" w:type="dxa"/>
            <w:vMerge w:val="restart"/>
            <w:tcBorders>
              <w:top w:val="single" w:color="auto" w:sz="4" w:space="0"/>
              <w:left w:val="single" w:color="auto" w:sz="4" w:space="0"/>
              <w:bottom w:val="single" w:color="000000" w:sz="4" w:space="0"/>
              <w:right w:val="single" w:color="auto" w:sz="4" w:space="0"/>
            </w:tcBorders>
            <w:vAlign w:val="center"/>
          </w:tcPr>
          <w:p>
            <w:pPr>
              <w:spacing w:line="300" w:lineRule="exact"/>
              <w:jc w:val="center"/>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主管</w:t>
            </w:r>
          </w:p>
          <w:p>
            <w:pPr>
              <w:spacing w:line="300" w:lineRule="exact"/>
              <w:jc w:val="center"/>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部门</w:t>
            </w:r>
          </w:p>
        </w:tc>
        <w:tc>
          <w:tcPr>
            <w:tcW w:w="1378" w:type="dxa"/>
            <w:gridSpan w:val="3"/>
            <w:vMerge w:val="restart"/>
            <w:tcBorders>
              <w:top w:val="single" w:color="auto" w:sz="4" w:space="0"/>
              <w:left w:val="single" w:color="auto" w:sz="4" w:space="0"/>
              <w:bottom w:val="single" w:color="000000" w:sz="4" w:space="0"/>
              <w:right w:val="single" w:color="000000" w:sz="4" w:space="0"/>
            </w:tcBorders>
            <w:vAlign w:val="center"/>
          </w:tcPr>
          <w:p>
            <w:pPr>
              <w:spacing w:line="300" w:lineRule="exact"/>
              <w:jc w:val="center"/>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县卫生健康委</w:t>
            </w:r>
          </w:p>
        </w:tc>
        <w:tc>
          <w:tcPr>
            <w:tcW w:w="881" w:type="dxa"/>
            <w:gridSpan w:val="2"/>
            <w:vMerge w:val="restart"/>
            <w:tcBorders>
              <w:top w:val="single" w:color="auto" w:sz="4" w:space="0"/>
              <w:left w:val="single" w:color="auto" w:sz="4" w:space="0"/>
              <w:bottom w:val="single" w:color="000000" w:sz="4" w:space="0"/>
              <w:right w:val="single" w:color="auto" w:sz="4" w:space="0"/>
            </w:tcBorders>
            <w:vAlign w:val="center"/>
          </w:tcPr>
          <w:p>
            <w:pPr>
              <w:spacing w:line="300" w:lineRule="exact"/>
              <w:jc w:val="center"/>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财政处室</w:t>
            </w:r>
          </w:p>
        </w:tc>
        <w:tc>
          <w:tcPr>
            <w:tcW w:w="1016" w:type="dxa"/>
            <w:gridSpan w:val="2"/>
            <w:vMerge w:val="restart"/>
            <w:tcBorders>
              <w:top w:val="single" w:color="auto" w:sz="4" w:space="0"/>
              <w:left w:val="single" w:color="auto" w:sz="4" w:space="0"/>
              <w:bottom w:val="single" w:color="000000" w:sz="4" w:space="0"/>
              <w:right w:val="single" w:color="000000" w:sz="4" w:space="0"/>
            </w:tcBorders>
            <w:vAlign w:val="center"/>
          </w:tcPr>
          <w:p>
            <w:pPr>
              <w:spacing w:line="300" w:lineRule="exact"/>
              <w:jc w:val="center"/>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行社科</w:t>
            </w:r>
          </w:p>
        </w:tc>
        <w:tc>
          <w:tcPr>
            <w:tcW w:w="1133"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自评总分（分）</w:t>
            </w:r>
          </w:p>
        </w:tc>
        <w:tc>
          <w:tcPr>
            <w:tcW w:w="4648" w:type="dxa"/>
            <w:gridSpan w:val="6"/>
            <w:tcBorders>
              <w:top w:val="single" w:color="auto" w:sz="4" w:space="0"/>
              <w:left w:val="nil"/>
              <w:bottom w:val="single" w:color="auto" w:sz="4" w:space="0"/>
              <w:right w:val="single" w:color="000000" w:sz="4" w:space="0"/>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9</w:t>
            </w:r>
            <w:r>
              <w:rPr>
                <w:rFonts w:ascii="Times New Roman" w:hAnsi="Times New Roman" w:eastAsia="方正仿宋_GBK" w:cs="宋体"/>
                <w:color w:val="000000" w:themeColor="text1"/>
                <w:kern w:val="0"/>
                <w:sz w:val="24"/>
                <w14:textFill>
                  <w14:solidFill>
                    <w14:schemeClr w14:val="tx1"/>
                  </w14:solidFill>
                </w14:textFill>
              </w:rPr>
              <w:t>8</w:t>
            </w:r>
          </w:p>
        </w:tc>
      </w:tr>
      <w:tr>
        <w:tblPrEx>
          <w:tblLayout w:type="fixed"/>
          <w:tblCellMar>
            <w:top w:w="0" w:type="dxa"/>
            <w:left w:w="108" w:type="dxa"/>
            <w:bottom w:w="0" w:type="dxa"/>
            <w:right w:w="108" w:type="dxa"/>
          </w:tblCellMar>
        </w:tblPrEx>
        <w:trPr>
          <w:trHeight w:val="575" w:hRule="atLeast"/>
        </w:trPr>
        <w:tc>
          <w:tcPr>
            <w:tcW w:w="937"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exact"/>
              <w:jc w:val="center"/>
              <w:rPr>
                <w:rFonts w:ascii="Times New Roman" w:hAnsi="Times New Roman" w:eastAsia="方正仿宋_GBK" w:cs="宋体"/>
                <w:color w:val="000000" w:themeColor="text1"/>
                <w:kern w:val="0"/>
                <w:sz w:val="24"/>
                <w14:textFill>
                  <w14:solidFill>
                    <w14:schemeClr w14:val="tx1"/>
                  </w14:solidFill>
                </w14:textFill>
              </w:rPr>
            </w:pPr>
          </w:p>
        </w:tc>
        <w:tc>
          <w:tcPr>
            <w:tcW w:w="1378" w:type="dxa"/>
            <w:gridSpan w:val="3"/>
            <w:vMerge w:val="continue"/>
            <w:tcBorders>
              <w:top w:val="single" w:color="auto" w:sz="4" w:space="0"/>
              <w:left w:val="single" w:color="auto" w:sz="4" w:space="0"/>
              <w:bottom w:val="single" w:color="000000" w:sz="4" w:space="0"/>
              <w:right w:val="single" w:color="000000" w:sz="4" w:space="0"/>
            </w:tcBorders>
            <w:vAlign w:val="center"/>
          </w:tcPr>
          <w:p>
            <w:pPr>
              <w:spacing w:line="300" w:lineRule="exact"/>
              <w:jc w:val="center"/>
              <w:rPr>
                <w:rFonts w:ascii="Times New Roman" w:hAnsi="Times New Roman" w:eastAsia="方正仿宋_GBK" w:cs="宋体"/>
                <w:color w:val="000000" w:themeColor="text1"/>
                <w:kern w:val="0"/>
                <w:sz w:val="24"/>
                <w14:textFill>
                  <w14:solidFill>
                    <w14:schemeClr w14:val="tx1"/>
                  </w14:solidFill>
                </w14:textFill>
              </w:rPr>
            </w:pPr>
          </w:p>
        </w:tc>
        <w:tc>
          <w:tcPr>
            <w:tcW w:w="881" w:type="dxa"/>
            <w:gridSpan w:val="2"/>
            <w:vMerge w:val="continue"/>
            <w:tcBorders>
              <w:top w:val="single" w:color="auto" w:sz="4" w:space="0"/>
              <w:left w:val="single" w:color="auto" w:sz="4" w:space="0"/>
              <w:bottom w:val="single" w:color="000000" w:sz="4" w:space="0"/>
              <w:right w:val="single" w:color="auto" w:sz="4" w:space="0"/>
            </w:tcBorders>
            <w:vAlign w:val="center"/>
          </w:tcPr>
          <w:p>
            <w:pPr>
              <w:spacing w:line="300" w:lineRule="exact"/>
              <w:jc w:val="center"/>
              <w:rPr>
                <w:rFonts w:ascii="Times New Roman" w:hAnsi="Times New Roman" w:eastAsia="方正仿宋_GBK" w:cs="宋体"/>
                <w:color w:val="000000" w:themeColor="text1"/>
                <w:kern w:val="0"/>
                <w:sz w:val="24"/>
                <w14:textFill>
                  <w14:solidFill>
                    <w14:schemeClr w14:val="tx1"/>
                  </w14:solidFill>
                </w14:textFill>
              </w:rPr>
            </w:pPr>
          </w:p>
        </w:tc>
        <w:tc>
          <w:tcPr>
            <w:tcW w:w="1016" w:type="dxa"/>
            <w:gridSpan w:val="2"/>
            <w:vMerge w:val="continue"/>
            <w:tcBorders>
              <w:top w:val="single" w:color="auto" w:sz="4" w:space="0"/>
              <w:left w:val="single" w:color="auto" w:sz="4" w:space="0"/>
              <w:bottom w:val="single" w:color="000000" w:sz="4" w:space="0"/>
              <w:right w:val="single" w:color="000000" w:sz="4" w:space="0"/>
            </w:tcBorders>
            <w:vAlign w:val="center"/>
          </w:tcPr>
          <w:p>
            <w:pPr>
              <w:spacing w:line="300" w:lineRule="exact"/>
              <w:jc w:val="center"/>
              <w:rPr>
                <w:rFonts w:ascii="Times New Roman" w:hAnsi="Times New Roman" w:eastAsia="方正仿宋_GBK" w:cs="宋体"/>
                <w:color w:val="000000" w:themeColor="text1"/>
                <w:kern w:val="0"/>
                <w:sz w:val="24"/>
                <w14:textFill>
                  <w14:solidFill>
                    <w14:schemeClr w14:val="tx1"/>
                  </w14:solidFill>
                </w14:textFill>
              </w:rPr>
            </w:pPr>
          </w:p>
        </w:tc>
        <w:tc>
          <w:tcPr>
            <w:tcW w:w="1133" w:type="dxa"/>
            <w:gridSpan w:val="3"/>
            <w:tcBorders>
              <w:top w:val="nil"/>
              <w:left w:val="nil"/>
              <w:bottom w:val="single" w:color="auto" w:sz="4" w:space="0"/>
              <w:right w:val="single" w:color="auto" w:sz="4" w:space="0"/>
            </w:tcBorders>
            <w:vAlign w:val="center"/>
          </w:tcPr>
          <w:p>
            <w:pPr>
              <w:spacing w:line="300" w:lineRule="exact"/>
              <w:jc w:val="center"/>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部门</w:t>
            </w:r>
          </w:p>
          <w:p>
            <w:pPr>
              <w:spacing w:line="300" w:lineRule="exact"/>
              <w:jc w:val="center"/>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联系人</w:t>
            </w:r>
          </w:p>
        </w:tc>
        <w:tc>
          <w:tcPr>
            <w:tcW w:w="1013" w:type="dxa"/>
            <w:gridSpan w:val="2"/>
            <w:tcBorders>
              <w:top w:val="nil"/>
              <w:left w:val="nil"/>
              <w:bottom w:val="single" w:color="auto" w:sz="4" w:space="0"/>
              <w:right w:val="single" w:color="auto" w:sz="4" w:space="0"/>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刘杰</w:t>
            </w:r>
          </w:p>
        </w:tc>
        <w:tc>
          <w:tcPr>
            <w:tcW w:w="1387" w:type="dxa"/>
            <w:tcBorders>
              <w:top w:val="nil"/>
              <w:left w:val="nil"/>
              <w:bottom w:val="single" w:color="auto" w:sz="4" w:space="0"/>
              <w:right w:val="single" w:color="auto" w:sz="4" w:space="0"/>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联系电话</w:t>
            </w:r>
          </w:p>
        </w:tc>
        <w:tc>
          <w:tcPr>
            <w:tcW w:w="2248" w:type="dxa"/>
            <w:gridSpan w:val="3"/>
            <w:tcBorders>
              <w:top w:val="single" w:color="auto" w:sz="4" w:space="0"/>
              <w:left w:val="nil"/>
              <w:bottom w:val="single" w:color="auto" w:sz="4" w:space="0"/>
              <w:right w:val="single" w:color="000000" w:sz="4" w:space="0"/>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19922038900</w:t>
            </w:r>
          </w:p>
        </w:tc>
      </w:tr>
      <w:tr>
        <w:tblPrEx>
          <w:tblLayout w:type="fixed"/>
          <w:tblCellMar>
            <w:top w:w="0" w:type="dxa"/>
            <w:left w:w="108" w:type="dxa"/>
            <w:bottom w:w="0" w:type="dxa"/>
            <w:right w:w="108" w:type="dxa"/>
          </w:tblCellMar>
        </w:tblPrEx>
        <w:trPr>
          <w:trHeight w:val="575" w:hRule="atLeast"/>
        </w:trPr>
        <w:tc>
          <w:tcPr>
            <w:tcW w:w="937" w:type="dxa"/>
            <w:vMerge w:val="restart"/>
            <w:tcBorders>
              <w:top w:val="nil"/>
              <w:left w:val="single" w:color="auto" w:sz="4" w:space="0"/>
              <w:bottom w:val="single" w:color="auto" w:sz="4" w:space="0"/>
              <w:right w:val="single" w:color="auto" w:sz="4" w:space="0"/>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部门预算执行情况</w:t>
            </w:r>
          </w:p>
        </w:tc>
        <w:tc>
          <w:tcPr>
            <w:tcW w:w="1076" w:type="dxa"/>
            <w:gridSpan w:val="2"/>
            <w:vMerge w:val="restart"/>
            <w:tcBorders>
              <w:top w:val="nil"/>
              <w:left w:val="nil"/>
              <w:right w:val="nil"/>
            </w:tcBorders>
            <w:vAlign w:val="center"/>
          </w:tcPr>
          <w:p>
            <w:pPr>
              <w:spacing w:line="300" w:lineRule="exact"/>
              <w:jc w:val="center"/>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预算</w:t>
            </w:r>
          </w:p>
          <w:p>
            <w:pPr>
              <w:spacing w:line="300" w:lineRule="exact"/>
              <w:jc w:val="center"/>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资金</w:t>
            </w:r>
          </w:p>
          <w:p>
            <w:pPr>
              <w:spacing w:line="300" w:lineRule="exact"/>
              <w:jc w:val="center"/>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（万元）</w:t>
            </w:r>
          </w:p>
        </w:tc>
        <w:tc>
          <w:tcPr>
            <w:tcW w:w="1183" w:type="dxa"/>
            <w:gridSpan w:val="3"/>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年初</w:t>
            </w:r>
          </w:p>
          <w:p>
            <w:pPr>
              <w:spacing w:line="300" w:lineRule="exact"/>
              <w:jc w:val="center"/>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预算数</w:t>
            </w:r>
          </w:p>
        </w:tc>
        <w:tc>
          <w:tcPr>
            <w:tcW w:w="1698"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全年（调整）</w:t>
            </w:r>
          </w:p>
          <w:p>
            <w:pPr>
              <w:spacing w:line="300" w:lineRule="exact"/>
              <w:jc w:val="center"/>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预算数</w:t>
            </w:r>
          </w:p>
        </w:tc>
        <w:tc>
          <w:tcPr>
            <w:tcW w:w="1464"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全年执行数</w:t>
            </w:r>
          </w:p>
        </w:tc>
        <w:tc>
          <w:tcPr>
            <w:tcW w:w="1387" w:type="dxa"/>
            <w:tcBorders>
              <w:top w:val="nil"/>
              <w:left w:val="nil"/>
              <w:bottom w:val="single" w:color="auto" w:sz="4" w:space="0"/>
              <w:right w:val="single" w:color="auto" w:sz="4" w:space="0"/>
            </w:tcBorders>
            <w:vAlign w:val="center"/>
          </w:tcPr>
          <w:p>
            <w:pPr>
              <w:spacing w:line="300" w:lineRule="exact"/>
              <w:jc w:val="center"/>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执行率</w:t>
            </w:r>
          </w:p>
          <w:p>
            <w:pPr>
              <w:spacing w:line="300" w:lineRule="exact"/>
              <w:jc w:val="center"/>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w:t>
            </w:r>
          </w:p>
        </w:tc>
        <w:tc>
          <w:tcPr>
            <w:tcW w:w="1055" w:type="dxa"/>
            <w:gridSpan w:val="2"/>
            <w:tcBorders>
              <w:top w:val="nil"/>
              <w:left w:val="nil"/>
              <w:bottom w:val="single" w:color="auto" w:sz="4" w:space="0"/>
              <w:right w:val="single" w:color="auto" w:sz="4" w:space="0"/>
            </w:tcBorders>
            <w:vAlign w:val="center"/>
          </w:tcPr>
          <w:p>
            <w:pPr>
              <w:spacing w:line="300" w:lineRule="exact"/>
              <w:jc w:val="center"/>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执行率</w:t>
            </w:r>
          </w:p>
          <w:p>
            <w:pPr>
              <w:spacing w:line="300" w:lineRule="exact"/>
              <w:jc w:val="center"/>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权重</w:t>
            </w:r>
          </w:p>
        </w:tc>
        <w:tc>
          <w:tcPr>
            <w:tcW w:w="1193" w:type="dxa"/>
            <w:tcBorders>
              <w:top w:val="nil"/>
              <w:left w:val="nil"/>
              <w:bottom w:val="single" w:color="auto" w:sz="4" w:space="0"/>
              <w:right w:val="single" w:color="auto" w:sz="4" w:space="0"/>
            </w:tcBorders>
            <w:vAlign w:val="center"/>
          </w:tcPr>
          <w:p>
            <w:pPr>
              <w:spacing w:line="300" w:lineRule="exact"/>
              <w:jc w:val="center"/>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执行率</w:t>
            </w:r>
          </w:p>
          <w:p>
            <w:pPr>
              <w:spacing w:line="300" w:lineRule="exact"/>
              <w:jc w:val="center"/>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得分</w:t>
            </w:r>
          </w:p>
          <w:p>
            <w:pPr>
              <w:spacing w:line="300" w:lineRule="exact"/>
              <w:jc w:val="center"/>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（分）</w:t>
            </w:r>
          </w:p>
        </w:tc>
      </w:tr>
      <w:tr>
        <w:tblPrEx>
          <w:tblLayout w:type="fixed"/>
          <w:tblCellMar>
            <w:top w:w="0" w:type="dxa"/>
            <w:left w:w="108" w:type="dxa"/>
            <w:bottom w:w="0" w:type="dxa"/>
            <w:right w:w="108" w:type="dxa"/>
          </w:tblCellMar>
        </w:tblPrEx>
        <w:trPr>
          <w:trHeight w:val="575" w:hRule="atLeast"/>
        </w:trPr>
        <w:tc>
          <w:tcPr>
            <w:tcW w:w="937" w:type="dxa"/>
            <w:vMerge w:val="continue"/>
            <w:tcBorders>
              <w:top w:val="nil"/>
              <w:left w:val="single" w:color="auto" w:sz="4" w:space="0"/>
              <w:bottom w:val="single" w:color="auto" w:sz="4" w:space="0"/>
              <w:right w:val="single" w:color="auto" w:sz="4" w:space="0"/>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p>
        </w:tc>
        <w:tc>
          <w:tcPr>
            <w:tcW w:w="1076" w:type="dxa"/>
            <w:gridSpan w:val="2"/>
            <w:vMerge w:val="continue"/>
            <w:tcBorders>
              <w:left w:val="nil"/>
              <w:bottom w:val="single" w:color="auto" w:sz="4" w:space="0"/>
              <w:right w:val="nil"/>
            </w:tcBorders>
            <w:vAlign w:val="center"/>
          </w:tcPr>
          <w:p>
            <w:pPr>
              <w:spacing w:line="300" w:lineRule="exact"/>
              <w:jc w:val="center"/>
              <w:rPr>
                <w:rFonts w:ascii="Times New Roman" w:hAnsi="Times New Roman" w:eastAsia="方正仿宋_GBK" w:cs="宋体"/>
                <w:color w:val="000000" w:themeColor="text1"/>
                <w:kern w:val="0"/>
                <w:sz w:val="24"/>
                <w14:textFill>
                  <w14:solidFill>
                    <w14:schemeClr w14:val="tx1"/>
                  </w14:solidFill>
                </w14:textFill>
              </w:rPr>
            </w:pPr>
          </w:p>
        </w:tc>
        <w:tc>
          <w:tcPr>
            <w:tcW w:w="1183" w:type="dxa"/>
            <w:gridSpan w:val="3"/>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403.36</w:t>
            </w:r>
          </w:p>
        </w:tc>
        <w:tc>
          <w:tcPr>
            <w:tcW w:w="1698"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1507.10</w:t>
            </w:r>
          </w:p>
        </w:tc>
        <w:tc>
          <w:tcPr>
            <w:tcW w:w="1464"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1910.46</w:t>
            </w:r>
          </w:p>
        </w:tc>
        <w:tc>
          <w:tcPr>
            <w:tcW w:w="1387" w:type="dxa"/>
            <w:tcBorders>
              <w:top w:val="nil"/>
              <w:left w:val="nil"/>
              <w:bottom w:val="single" w:color="auto" w:sz="4" w:space="0"/>
              <w:right w:val="single" w:color="auto" w:sz="4" w:space="0"/>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100</w:t>
            </w:r>
          </w:p>
        </w:tc>
        <w:tc>
          <w:tcPr>
            <w:tcW w:w="1055" w:type="dxa"/>
            <w:gridSpan w:val="2"/>
            <w:tcBorders>
              <w:top w:val="nil"/>
              <w:left w:val="nil"/>
              <w:bottom w:val="single" w:color="auto" w:sz="4" w:space="0"/>
              <w:right w:val="single" w:color="auto" w:sz="4" w:space="0"/>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20</w:t>
            </w:r>
          </w:p>
        </w:tc>
        <w:tc>
          <w:tcPr>
            <w:tcW w:w="1193" w:type="dxa"/>
            <w:tcBorders>
              <w:top w:val="nil"/>
              <w:left w:val="nil"/>
              <w:bottom w:val="single" w:color="auto" w:sz="4" w:space="0"/>
              <w:right w:val="single" w:color="auto" w:sz="4" w:space="0"/>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20</w:t>
            </w:r>
          </w:p>
        </w:tc>
      </w:tr>
      <w:tr>
        <w:tblPrEx>
          <w:tblLayout w:type="fixed"/>
          <w:tblCellMar>
            <w:top w:w="0" w:type="dxa"/>
            <w:left w:w="108" w:type="dxa"/>
            <w:bottom w:w="0" w:type="dxa"/>
            <w:right w:w="108" w:type="dxa"/>
          </w:tblCellMar>
        </w:tblPrEx>
        <w:trPr>
          <w:trHeight w:val="575" w:hRule="atLeast"/>
        </w:trPr>
        <w:tc>
          <w:tcPr>
            <w:tcW w:w="937" w:type="dxa"/>
            <w:vMerge w:val="restart"/>
            <w:tcBorders>
              <w:top w:val="nil"/>
              <w:left w:val="single" w:color="auto" w:sz="4" w:space="0"/>
              <w:bottom w:val="single" w:color="auto" w:sz="4" w:space="0"/>
              <w:right w:val="single" w:color="auto" w:sz="4" w:space="0"/>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当年绩效目标</w:t>
            </w:r>
          </w:p>
        </w:tc>
        <w:tc>
          <w:tcPr>
            <w:tcW w:w="2259" w:type="dxa"/>
            <w:gridSpan w:val="5"/>
            <w:tcBorders>
              <w:top w:val="single" w:color="auto" w:sz="4" w:space="0"/>
              <w:left w:val="nil"/>
              <w:bottom w:val="single" w:color="auto" w:sz="4" w:space="0"/>
              <w:right w:val="single" w:color="000000" w:sz="4" w:space="0"/>
            </w:tcBorders>
            <w:vAlign w:val="center"/>
          </w:tcPr>
          <w:p>
            <w:pPr>
              <w:spacing w:line="300" w:lineRule="exact"/>
              <w:jc w:val="center"/>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年初绩效目标</w:t>
            </w:r>
          </w:p>
        </w:tc>
        <w:tc>
          <w:tcPr>
            <w:tcW w:w="3162" w:type="dxa"/>
            <w:gridSpan w:val="7"/>
            <w:tcBorders>
              <w:top w:val="single" w:color="auto" w:sz="4" w:space="0"/>
              <w:left w:val="nil"/>
              <w:bottom w:val="single" w:color="auto" w:sz="4" w:space="0"/>
              <w:right w:val="single" w:color="000000" w:sz="4" w:space="0"/>
            </w:tcBorders>
            <w:vAlign w:val="center"/>
          </w:tcPr>
          <w:p>
            <w:pPr>
              <w:spacing w:line="300" w:lineRule="exact"/>
              <w:jc w:val="center"/>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全年（调整）绩效目标</w:t>
            </w:r>
          </w:p>
        </w:tc>
        <w:tc>
          <w:tcPr>
            <w:tcW w:w="3635"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全年目标实际完成情况</w:t>
            </w:r>
          </w:p>
        </w:tc>
      </w:tr>
      <w:tr>
        <w:tblPrEx>
          <w:tblLayout w:type="fixed"/>
          <w:tblCellMar>
            <w:top w:w="0" w:type="dxa"/>
            <w:left w:w="108" w:type="dxa"/>
            <w:bottom w:w="0" w:type="dxa"/>
            <w:right w:w="108" w:type="dxa"/>
          </w:tblCellMar>
        </w:tblPrEx>
        <w:trPr>
          <w:trHeight w:val="712" w:hRule="atLeast"/>
        </w:trPr>
        <w:tc>
          <w:tcPr>
            <w:tcW w:w="937" w:type="dxa"/>
            <w:vMerge w:val="continue"/>
            <w:tcBorders>
              <w:top w:val="nil"/>
              <w:left w:val="single" w:color="auto" w:sz="4" w:space="0"/>
              <w:bottom w:val="single" w:color="auto" w:sz="4" w:space="0"/>
              <w:right w:val="single" w:color="auto" w:sz="4" w:space="0"/>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p>
        </w:tc>
        <w:tc>
          <w:tcPr>
            <w:tcW w:w="2259" w:type="dxa"/>
            <w:gridSpan w:val="5"/>
            <w:tcBorders>
              <w:top w:val="single" w:color="auto" w:sz="4" w:space="0"/>
              <w:left w:val="nil"/>
              <w:bottom w:val="single" w:color="auto" w:sz="4" w:space="0"/>
              <w:right w:val="single" w:color="000000" w:sz="4" w:space="0"/>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完成全年（调整）预算</w:t>
            </w:r>
          </w:p>
        </w:tc>
        <w:tc>
          <w:tcPr>
            <w:tcW w:w="3162" w:type="dxa"/>
            <w:gridSpan w:val="7"/>
            <w:tcBorders>
              <w:top w:val="single" w:color="auto" w:sz="4" w:space="0"/>
              <w:left w:val="nil"/>
              <w:bottom w:val="single" w:color="auto" w:sz="4" w:space="0"/>
              <w:right w:val="single" w:color="000000" w:sz="4" w:space="0"/>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完成</w:t>
            </w:r>
          </w:p>
        </w:tc>
        <w:tc>
          <w:tcPr>
            <w:tcW w:w="3635" w:type="dxa"/>
            <w:gridSpan w:val="4"/>
            <w:tcBorders>
              <w:top w:val="single" w:color="auto" w:sz="4" w:space="0"/>
              <w:left w:val="nil"/>
              <w:bottom w:val="single" w:color="auto" w:sz="4" w:space="0"/>
              <w:right w:val="single" w:color="000000" w:sz="4" w:space="0"/>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全部完成</w:t>
            </w:r>
          </w:p>
        </w:tc>
      </w:tr>
      <w:tr>
        <w:tblPrEx>
          <w:tblLayout w:type="fixed"/>
          <w:tblCellMar>
            <w:top w:w="0" w:type="dxa"/>
            <w:left w:w="108" w:type="dxa"/>
            <w:bottom w:w="0" w:type="dxa"/>
            <w:right w:w="108" w:type="dxa"/>
          </w:tblCellMar>
        </w:tblPrEx>
        <w:trPr>
          <w:trHeight w:val="575" w:hRule="atLeast"/>
        </w:trPr>
        <w:tc>
          <w:tcPr>
            <w:tcW w:w="937" w:type="dxa"/>
            <w:vMerge w:val="restart"/>
            <w:tcBorders>
              <w:top w:val="nil"/>
              <w:left w:val="single" w:color="auto" w:sz="4" w:space="0"/>
              <w:right w:val="single" w:color="auto" w:sz="4" w:space="0"/>
            </w:tcBorders>
            <w:textDirection w:val="tbRlV"/>
            <w:vAlign w:val="center"/>
          </w:tcPr>
          <w:p>
            <w:pPr>
              <w:spacing w:line="300" w:lineRule="exact"/>
              <w:jc w:val="center"/>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绩效指标</w:t>
            </w:r>
          </w:p>
        </w:tc>
        <w:tc>
          <w:tcPr>
            <w:tcW w:w="729" w:type="dxa"/>
            <w:tcBorders>
              <w:top w:val="nil"/>
              <w:left w:val="nil"/>
              <w:bottom w:val="single" w:color="auto" w:sz="4" w:space="0"/>
              <w:right w:val="nil"/>
            </w:tcBorders>
            <w:vAlign w:val="center"/>
          </w:tcPr>
          <w:p>
            <w:pPr>
              <w:spacing w:line="300" w:lineRule="exact"/>
              <w:jc w:val="center"/>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指标</w:t>
            </w:r>
          </w:p>
          <w:p>
            <w:pPr>
              <w:spacing w:line="300" w:lineRule="exact"/>
              <w:jc w:val="center"/>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名称</w:t>
            </w:r>
          </w:p>
        </w:tc>
        <w:tc>
          <w:tcPr>
            <w:tcW w:w="783" w:type="dxa"/>
            <w:gridSpan w:val="3"/>
            <w:tcBorders>
              <w:top w:val="nil"/>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计量</w:t>
            </w:r>
          </w:p>
          <w:p>
            <w:pPr>
              <w:spacing w:line="300" w:lineRule="exact"/>
              <w:jc w:val="center"/>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单位</w:t>
            </w:r>
          </w:p>
        </w:tc>
        <w:tc>
          <w:tcPr>
            <w:tcW w:w="747" w:type="dxa"/>
            <w:tcBorders>
              <w:top w:val="nil"/>
              <w:left w:val="nil"/>
              <w:bottom w:val="single" w:color="auto" w:sz="4" w:space="0"/>
              <w:right w:val="single" w:color="auto" w:sz="4" w:space="0"/>
            </w:tcBorders>
            <w:vAlign w:val="center"/>
          </w:tcPr>
          <w:p>
            <w:pPr>
              <w:spacing w:line="300" w:lineRule="exact"/>
              <w:jc w:val="center"/>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指标</w:t>
            </w:r>
          </w:p>
          <w:p>
            <w:pPr>
              <w:spacing w:line="300" w:lineRule="exact"/>
              <w:jc w:val="center"/>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性质</w:t>
            </w:r>
          </w:p>
        </w:tc>
        <w:tc>
          <w:tcPr>
            <w:tcW w:w="704" w:type="dxa"/>
            <w:tcBorders>
              <w:top w:val="nil"/>
              <w:left w:val="nil"/>
              <w:bottom w:val="single" w:color="auto" w:sz="4" w:space="0"/>
              <w:right w:val="single" w:color="auto" w:sz="4" w:space="0"/>
            </w:tcBorders>
            <w:vAlign w:val="center"/>
          </w:tcPr>
          <w:p>
            <w:pPr>
              <w:spacing w:line="300" w:lineRule="exact"/>
              <w:jc w:val="center"/>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年初</w:t>
            </w:r>
          </w:p>
          <w:p>
            <w:pPr>
              <w:spacing w:line="300" w:lineRule="exact"/>
              <w:jc w:val="center"/>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指标</w:t>
            </w:r>
          </w:p>
          <w:p>
            <w:pPr>
              <w:spacing w:line="300" w:lineRule="exact"/>
              <w:jc w:val="center"/>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值</w:t>
            </w:r>
          </w:p>
        </w:tc>
        <w:tc>
          <w:tcPr>
            <w:tcW w:w="742" w:type="dxa"/>
            <w:gridSpan w:val="2"/>
            <w:tcBorders>
              <w:top w:val="nil"/>
              <w:left w:val="nil"/>
              <w:bottom w:val="single" w:color="auto" w:sz="4" w:space="0"/>
              <w:right w:val="single" w:color="auto" w:sz="4" w:space="0"/>
            </w:tcBorders>
            <w:vAlign w:val="center"/>
          </w:tcPr>
          <w:p>
            <w:pPr>
              <w:spacing w:line="300" w:lineRule="exact"/>
              <w:jc w:val="center"/>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调整</w:t>
            </w:r>
          </w:p>
          <w:p>
            <w:pPr>
              <w:spacing w:line="300" w:lineRule="exact"/>
              <w:jc w:val="center"/>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指标</w:t>
            </w:r>
          </w:p>
          <w:p>
            <w:pPr>
              <w:spacing w:line="300" w:lineRule="exact"/>
              <w:jc w:val="center"/>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值</w:t>
            </w:r>
          </w:p>
        </w:tc>
        <w:tc>
          <w:tcPr>
            <w:tcW w:w="788" w:type="dxa"/>
            <w:gridSpan w:val="3"/>
            <w:tcBorders>
              <w:top w:val="nil"/>
              <w:left w:val="nil"/>
              <w:bottom w:val="single" w:color="auto" w:sz="4" w:space="0"/>
              <w:right w:val="single" w:color="auto" w:sz="4" w:space="0"/>
            </w:tcBorders>
            <w:vAlign w:val="center"/>
          </w:tcPr>
          <w:p>
            <w:pPr>
              <w:spacing w:line="300" w:lineRule="exact"/>
              <w:jc w:val="center"/>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全年</w:t>
            </w:r>
          </w:p>
          <w:p>
            <w:pPr>
              <w:spacing w:line="300" w:lineRule="exact"/>
              <w:jc w:val="center"/>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完成</w:t>
            </w:r>
          </w:p>
          <w:p>
            <w:pPr>
              <w:spacing w:line="300" w:lineRule="exact"/>
              <w:jc w:val="center"/>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值</w:t>
            </w:r>
          </w:p>
        </w:tc>
        <w:tc>
          <w:tcPr>
            <w:tcW w:w="928" w:type="dxa"/>
            <w:tcBorders>
              <w:top w:val="nil"/>
              <w:left w:val="nil"/>
              <w:bottom w:val="single" w:color="auto" w:sz="4" w:space="0"/>
              <w:right w:val="single" w:color="auto" w:sz="4" w:space="0"/>
            </w:tcBorders>
            <w:vAlign w:val="center"/>
          </w:tcPr>
          <w:p>
            <w:pPr>
              <w:spacing w:line="300" w:lineRule="exact"/>
              <w:jc w:val="center"/>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得分</w:t>
            </w:r>
          </w:p>
          <w:p>
            <w:pPr>
              <w:spacing w:line="300" w:lineRule="exact"/>
              <w:jc w:val="center"/>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系数</w:t>
            </w:r>
          </w:p>
          <w:p>
            <w:pPr>
              <w:spacing w:line="300" w:lineRule="exact"/>
              <w:jc w:val="center"/>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w:t>
            </w:r>
          </w:p>
        </w:tc>
        <w:tc>
          <w:tcPr>
            <w:tcW w:w="1475" w:type="dxa"/>
            <w:gridSpan w:val="2"/>
            <w:tcBorders>
              <w:top w:val="nil"/>
              <w:left w:val="nil"/>
              <w:bottom w:val="single" w:color="auto" w:sz="4" w:space="0"/>
              <w:right w:val="single" w:color="auto" w:sz="4" w:space="0"/>
            </w:tcBorders>
            <w:vAlign w:val="center"/>
          </w:tcPr>
          <w:p>
            <w:pPr>
              <w:spacing w:line="300" w:lineRule="exact"/>
              <w:jc w:val="center"/>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指标权重</w:t>
            </w:r>
          </w:p>
          <w:p>
            <w:pPr>
              <w:spacing w:line="300" w:lineRule="exact"/>
              <w:jc w:val="center"/>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（分）</w:t>
            </w:r>
          </w:p>
        </w:tc>
        <w:tc>
          <w:tcPr>
            <w:tcW w:w="967" w:type="dxa"/>
            <w:tcBorders>
              <w:top w:val="nil"/>
              <w:left w:val="nil"/>
              <w:bottom w:val="single" w:color="auto" w:sz="4" w:space="0"/>
              <w:right w:val="single" w:color="auto" w:sz="4" w:space="0"/>
            </w:tcBorders>
            <w:vAlign w:val="center"/>
          </w:tcPr>
          <w:p>
            <w:pPr>
              <w:spacing w:line="300" w:lineRule="exact"/>
              <w:jc w:val="center"/>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指标</w:t>
            </w:r>
          </w:p>
          <w:p>
            <w:pPr>
              <w:spacing w:line="300" w:lineRule="exact"/>
              <w:jc w:val="center"/>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得分</w:t>
            </w:r>
          </w:p>
          <w:p>
            <w:pPr>
              <w:spacing w:line="300" w:lineRule="exact"/>
              <w:jc w:val="center"/>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（分）</w:t>
            </w:r>
          </w:p>
        </w:tc>
        <w:tc>
          <w:tcPr>
            <w:tcW w:w="1193" w:type="dxa"/>
            <w:tcBorders>
              <w:top w:val="nil"/>
              <w:left w:val="nil"/>
              <w:bottom w:val="single" w:color="auto" w:sz="4" w:space="0"/>
              <w:right w:val="single" w:color="auto" w:sz="4" w:space="0"/>
            </w:tcBorders>
            <w:vAlign w:val="center"/>
          </w:tcPr>
          <w:p>
            <w:pPr>
              <w:spacing w:line="300" w:lineRule="exact"/>
              <w:jc w:val="center"/>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是否核心</w:t>
            </w:r>
          </w:p>
          <w:p>
            <w:pPr>
              <w:spacing w:line="300" w:lineRule="exact"/>
              <w:jc w:val="center"/>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指标</w:t>
            </w:r>
          </w:p>
        </w:tc>
      </w:tr>
      <w:tr>
        <w:tblPrEx>
          <w:tblLayout w:type="fixed"/>
          <w:tblCellMar>
            <w:top w:w="0" w:type="dxa"/>
            <w:left w:w="108" w:type="dxa"/>
            <w:bottom w:w="0" w:type="dxa"/>
            <w:right w:w="108" w:type="dxa"/>
          </w:tblCellMar>
        </w:tblPrEx>
        <w:trPr>
          <w:trHeight w:val="500" w:hRule="atLeast"/>
        </w:trPr>
        <w:tc>
          <w:tcPr>
            <w:tcW w:w="937" w:type="dxa"/>
            <w:vMerge w:val="continue"/>
            <w:tcBorders>
              <w:left w:val="single" w:color="auto" w:sz="4" w:space="0"/>
              <w:right w:val="single" w:color="auto" w:sz="4" w:space="0"/>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p>
        </w:tc>
        <w:tc>
          <w:tcPr>
            <w:tcW w:w="729" w:type="dxa"/>
            <w:tcBorders>
              <w:top w:val="nil"/>
              <w:left w:val="nil"/>
              <w:bottom w:val="single" w:color="auto" w:sz="4" w:space="0"/>
              <w:right w:val="nil"/>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新冠肺炎疫情防控</w:t>
            </w:r>
          </w:p>
        </w:tc>
        <w:tc>
          <w:tcPr>
            <w:tcW w:w="783" w:type="dxa"/>
            <w:gridSpan w:val="3"/>
            <w:tcBorders>
              <w:top w:val="nil"/>
              <w:left w:val="single" w:color="auto" w:sz="4" w:space="0"/>
              <w:bottom w:val="single" w:color="auto" w:sz="4" w:space="0"/>
              <w:right w:val="nil"/>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是/否</w:t>
            </w:r>
          </w:p>
        </w:tc>
        <w:tc>
          <w:tcPr>
            <w:tcW w:w="747" w:type="dxa"/>
            <w:tcBorders>
              <w:top w:val="nil"/>
              <w:left w:val="single" w:color="auto" w:sz="4" w:space="0"/>
              <w:bottom w:val="single" w:color="auto" w:sz="4" w:space="0"/>
              <w:right w:val="nil"/>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定性</w:t>
            </w:r>
          </w:p>
        </w:tc>
        <w:tc>
          <w:tcPr>
            <w:tcW w:w="704" w:type="dxa"/>
            <w:tcBorders>
              <w:top w:val="nil"/>
              <w:left w:val="single" w:color="auto" w:sz="4" w:space="0"/>
              <w:bottom w:val="single" w:color="auto" w:sz="4" w:space="0"/>
              <w:right w:val="nil"/>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有效控制</w:t>
            </w:r>
          </w:p>
        </w:tc>
        <w:tc>
          <w:tcPr>
            <w:tcW w:w="742" w:type="dxa"/>
            <w:gridSpan w:val="2"/>
            <w:tcBorders>
              <w:top w:val="nil"/>
              <w:left w:val="single" w:color="auto" w:sz="4" w:space="0"/>
              <w:bottom w:val="single" w:color="auto" w:sz="4" w:space="0"/>
              <w:right w:val="nil"/>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有效控制</w:t>
            </w:r>
          </w:p>
        </w:tc>
        <w:tc>
          <w:tcPr>
            <w:tcW w:w="788" w:type="dxa"/>
            <w:gridSpan w:val="3"/>
            <w:tcBorders>
              <w:top w:val="nil"/>
              <w:left w:val="single" w:color="auto" w:sz="4" w:space="0"/>
              <w:bottom w:val="single" w:color="auto" w:sz="4" w:space="0"/>
              <w:right w:val="nil"/>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有效控制</w:t>
            </w:r>
          </w:p>
        </w:tc>
        <w:tc>
          <w:tcPr>
            <w:tcW w:w="928" w:type="dxa"/>
            <w:tcBorders>
              <w:top w:val="nil"/>
              <w:left w:val="single" w:color="auto" w:sz="4" w:space="0"/>
              <w:bottom w:val="single" w:color="auto" w:sz="4" w:space="0"/>
              <w:right w:val="nil"/>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r>
              <w:rPr>
                <w:rFonts w:ascii="Times New Roman" w:hAnsi="Times New Roman" w:eastAsia="方正仿宋_GBK" w:cs="宋体"/>
                <w:color w:val="000000" w:themeColor="text1"/>
                <w:kern w:val="0"/>
                <w:sz w:val="24"/>
                <w14:textFill>
                  <w14:solidFill>
                    <w14:schemeClr w14:val="tx1"/>
                  </w14:solidFill>
                </w14:textFill>
              </w:rPr>
              <w:t>100</w:t>
            </w:r>
          </w:p>
        </w:tc>
        <w:tc>
          <w:tcPr>
            <w:tcW w:w="1475" w:type="dxa"/>
            <w:gridSpan w:val="2"/>
            <w:tcBorders>
              <w:top w:val="nil"/>
              <w:left w:val="single" w:color="auto" w:sz="4" w:space="0"/>
              <w:bottom w:val="single" w:color="auto" w:sz="4" w:space="0"/>
              <w:right w:val="nil"/>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r>
              <w:rPr>
                <w:rFonts w:ascii="Times New Roman" w:hAnsi="Times New Roman" w:eastAsia="方正仿宋_GBK" w:cs="宋体"/>
                <w:color w:val="000000" w:themeColor="text1"/>
                <w:kern w:val="0"/>
                <w:sz w:val="24"/>
                <w14:textFill>
                  <w14:solidFill>
                    <w14:schemeClr w14:val="tx1"/>
                  </w14:solidFill>
                </w14:textFill>
              </w:rPr>
              <w:t>40</w:t>
            </w:r>
          </w:p>
        </w:tc>
        <w:tc>
          <w:tcPr>
            <w:tcW w:w="967" w:type="dxa"/>
            <w:tcBorders>
              <w:top w:val="nil"/>
              <w:left w:val="single" w:color="auto" w:sz="4" w:space="0"/>
              <w:bottom w:val="single" w:color="auto" w:sz="4" w:space="0"/>
              <w:right w:val="nil"/>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r>
              <w:rPr>
                <w:rFonts w:ascii="Times New Roman" w:hAnsi="Times New Roman" w:eastAsia="方正仿宋_GBK" w:cs="宋体"/>
                <w:color w:val="000000" w:themeColor="text1"/>
                <w:kern w:val="0"/>
                <w:sz w:val="24"/>
                <w14:textFill>
                  <w14:solidFill>
                    <w14:schemeClr w14:val="tx1"/>
                  </w14:solidFill>
                </w14:textFill>
              </w:rPr>
              <w:t>40</w:t>
            </w:r>
          </w:p>
        </w:tc>
        <w:tc>
          <w:tcPr>
            <w:tcW w:w="1193" w:type="dxa"/>
            <w:tcBorders>
              <w:top w:val="nil"/>
              <w:left w:val="single" w:color="auto" w:sz="4" w:space="0"/>
              <w:bottom w:val="single" w:color="auto" w:sz="4" w:space="0"/>
              <w:right w:val="single" w:color="auto" w:sz="4" w:space="0"/>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是</w:t>
            </w:r>
          </w:p>
        </w:tc>
      </w:tr>
      <w:tr>
        <w:tblPrEx>
          <w:tblLayout w:type="fixed"/>
          <w:tblCellMar>
            <w:top w:w="0" w:type="dxa"/>
            <w:left w:w="108" w:type="dxa"/>
            <w:bottom w:w="0" w:type="dxa"/>
            <w:right w:w="108" w:type="dxa"/>
          </w:tblCellMar>
        </w:tblPrEx>
        <w:trPr>
          <w:trHeight w:val="500" w:hRule="atLeast"/>
        </w:trPr>
        <w:tc>
          <w:tcPr>
            <w:tcW w:w="937" w:type="dxa"/>
            <w:vMerge w:val="continue"/>
            <w:tcBorders>
              <w:left w:val="single" w:color="auto" w:sz="4" w:space="0"/>
              <w:right w:val="single" w:color="auto" w:sz="4" w:space="0"/>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p>
        </w:tc>
        <w:tc>
          <w:tcPr>
            <w:tcW w:w="729" w:type="dxa"/>
            <w:tcBorders>
              <w:top w:val="nil"/>
              <w:left w:val="nil"/>
              <w:bottom w:val="single" w:color="auto" w:sz="4" w:space="0"/>
              <w:right w:val="nil"/>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预防接种</w:t>
            </w:r>
          </w:p>
        </w:tc>
        <w:tc>
          <w:tcPr>
            <w:tcW w:w="783" w:type="dxa"/>
            <w:gridSpan w:val="3"/>
            <w:tcBorders>
              <w:top w:val="nil"/>
              <w:left w:val="single" w:color="auto" w:sz="4" w:space="0"/>
              <w:bottom w:val="single" w:color="auto" w:sz="4" w:space="0"/>
              <w:right w:val="nil"/>
            </w:tcBorders>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1</w:t>
            </w:r>
            <w:r>
              <w:rPr>
                <w:rFonts w:ascii="Times New Roman" w:hAnsi="Times New Roman" w:eastAsia="方正仿宋_GBK" w:cs="宋体"/>
                <w:color w:val="000000" w:themeColor="text1"/>
                <w:kern w:val="0"/>
                <w:sz w:val="24"/>
                <w14:textFill>
                  <w14:solidFill>
                    <w14:schemeClr w14:val="tx1"/>
                  </w14:solidFill>
                </w14:textFill>
              </w:rPr>
              <w:t>00</w:t>
            </w:r>
            <w:r>
              <w:rPr>
                <w:rFonts w:hint="eastAsia" w:ascii="Times New Roman" w:hAnsi="Times New Roman" w:eastAsia="方正仿宋_GBK" w:cs="宋体"/>
                <w:color w:val="000000" w:themeColor="text1"/>
                <w:kern w:val="0"/>
                <w:sz w:val="24"/>
                <w14:textFill>
                  <w14:solidFill>
                    <w14:schemeClr w14:val="tx1"/>
                  </w14:solidFill>
                </w14:textFill>
              </w:rPr>
              <w:t>%</w:t>
            </w:r>
          </w:p>
        </w:tc>
        <w:tc>
          <w:tcPr>
            <w:tcW w:w="747" w:type="dxa"/>
            <w:tcBorders>
              <w:top w:val="nil"/>
              <w:left w:val="single" w:color="auto" w:sz="4" w:space="0"/>
              <w:bottom w:val="single" w:color="auto" w:sz="4" w:space="0"/>
              <w:right w:val="nil"/>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定量</w:t>
            </w:r>
          </w:p>
        </w:tc>
        <w:tc>
          <w:tcPr>
            <w:tcW w:w="704" w:type="dxa"/>
            <w:tcBorders>
              <w:top w:val="nil"/>
              <w:left w:val="single" w:color="auto" w:sz="4" w:space="0"/>
              <w:bottom w:val="single" w:color="auto" w:sz="4" w:space="0"/>
              <w:right w:val="nil"/>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9</w:t>
            </w:r>
            <w:r>
              <w:rPr>
                <w:rFonts w:ascii="Times New Roman" w:hAnsi="Times New Roman" w:eastAsia="方正仿宋_GBK" w:cs="宋体"/>
                <w:color w:val="000000" w:themeColor="text1"/>
                <w:kern w:val="0"/>
                <w:sz w:val="24"/>
                <w14:textFill>
                  <w14:solidFill>
                    <w14:schemeClr w14:val="tx1"/>
                  </w14:solidFill>
                </w14:textFill>
              </w:rPr>
              <w:t>5</w:t>
            </w:r>
            <w:r>
              <w:rPr>
                <w:rFonts w:hint="eastAsia" w:ascii="Times New Roman" w:hAnsi="Times New Roman" w:eastAsia="方正仿宋_GBK" w:cs="宋体"/>
                <w:color w:val="000000" w:themeColor="text1"/>
                <w:kern w:val="0"/>
                <w:sz w:val="24"/>
                <w14:textFill>
                  <w14:solidFill>
                    <w14:schemeClr w14:val="tx1"/>
                  </w14:solidFill>
                </w14:textFill>
              </w:rPr>
              <w:t>%</w:t>
            </w:r>
          </w:p>
        </w:tc>
        <w:tc>
          <w:tcPr>
            <w:tcW w:w="742" w:type="dxa"/>
            <w:gridSpan w:val="2"/>
            <w:tcBorders>
              <w:top w:val="nil"/>
              <w:left w:val="single" w:color="auto" w:sz="4" w:space="0"/>
              <w:bottom w:val="single" w:color="auto" w:sz="4" w:space="0"/>
              <w:right w:val="nil"/>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9</w:t>
            </w:r>
            <w:r>
              <w:rPr>
                <w:rFonts w:ascii="Times New Roman" w:hAnsi="Times New Roman" w:eastAsia="方正仿宋_GBK" w:cs="宋体"/>
                <w:color w:val="000000" w:themeColor="text1"/>
                <w:kern w:val="0"/>
                <w:sz w:val="24"/>
                <w14:textFill>
                  <w14:solidFill>
                    <w14:schemeClr w14:val="tx1"/>
                  </w14:solidFill>
                </w14:textFill>
              </w:rPr>
              <w:t>5</w:t>
            </w:r>
            <w:r>
              <w:rPr>
                <w:rFonts w:hint="eastAsia" w:ascii="Times New Roman" w:hAnsi="Times New Roman" w:eastAsia="方正仿宋_GBK" w:cs="宋体"/>
                <w:color w:val="000000" w:themeColor="text1"/>
                <w:kern w:val="0"/>
                <w:sz w:val="24"/>
                <w14:textFill>
                  <w14:solidFill>
                    <w14:schemeClr w14:val="tx1"/>
                  </w14:solidFill>
                </w14:textFill>
              </w:rPr>
              <w:t>%</w:t>
            </w:r>
          </w:p>
        </w:tc>
        <w:tc>
          <w:tcPr>
            <w:tcW w:w="788" w:type="dxa"/>
            <w:gridSpan w:val="3"/>
            <w:tcBorders>
              <w:top w:val="nil"/>
              <w:left w:val="single" w:color="auto" w:sz="4" w:space="0"/>
              <w:bottom w:val="single" w:color="auto" w:sz="4" w:space="0"/>
              <w:right w:val="nil"/>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9</w:t>
            </w:r>
            <w:r>
              <w:rPr>
                <w:rFonts w:ascii="Times New Roman" w:hAnsi="Times New Roman" w:eastAsia="方正仿宋_GBK" w:cs="宋体"/>
                <w:color w:val="000000" w:themeColor="text1"/>
                <w:kern w:val="0"/>
                <w:sz w:val="24"/>
                <w14:textFill>
                  <w14:solidFill>
                    <w14:schemeClr w14:val="tx1"/>
                  </w14:solidFill>
                </w14:textFill>
              </w:rPr>
              <w:t>5</w:t>
            </w:r>
            <w:r>
              <w:rPr>
                <w:rFonts w:hint="eastAsia" w:ascii="Times New Roman" w:hAnsi="Times New Roman" w:eastAsia="方正仿宋_GBK" w:cs="宋体"/>
                <w:color w:val="000000" w:themeColor="text1"/>
                <w:kern w:val="0"/>
                <w:sz w:val="24"/>
                <w14:textFill>
                  <w14:solidFill>
                    <w14:schemeClr w14:val="tx1"/>
                  </w14:solidFill>
                </w14:textFill>
              </w:rPr>
              <w:t>%</w:t>
            </w:r>
          </w:p>
        </w:tc>
        <w:tc>
          <w:tcPr>
            <w:tcW w:w="928" w:type="dxa"/>
            <w:tcBorders>
              <w:top w:val="nil"/>
              <w:left w:val="single" w:color="auto" w:sz="4" w:space="0"/>
              <w:bottom w:val="single" w:color="auto" w:sz="4" w:space="0"/>
              <w:right w:val="nil"/>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r>
              <w:rPr>
                <w:rFonts w:ascii="Times New Roman" w:hAnsi="Times New Roman" w:eastAsia="方正仿宋_GBK" w:cs="宋体"/>
                <w:color w:val="000000" w:themeColor="text1"/>
                <w:kern w:val="0"/>
                <w:sz w:val="24"/>
                <w14:textFill>
                  <w14:solidFill>
                    <w14:schemeClr w14:val="tx1"/>
                  </w14:solidFill>
                </w14:textFill>
              </w:rPr>
              <w:t>100</w:t>
            </w:r>
          </w:p>
        </w:tc>
        <w:tc>
          <w:tcPr>
            <w:tcW w:w="1475" w:type="dxa"/>
            <w:gridSpan w:val="2"/>
            <w:tcBorders>
              <w:top w:val="nil"/>
              <w:left w:val="single" w:color="auto" w:sz="4" w:space="0"/>
              <w:bottom w:val="single" w:color="auto" w:sz="4" w:space="0"/>
              <w:right w:val="nil"/>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2</w:t>
            </w:r>
            <w:r>
              <w:rPr>
                <w:rFonts w:ascii="Times New Roman" w:hAnsi="Times New Roman" w:eastAsia="方正仿宋_GBK" w:cs="宋体"/>
                <w:color w:val="000000" w:themeColor="text1"/>
                <w:kern w:val="0"/>
                <w:sz w:val="24"/>
                <w14:textFill>
                  <w14:solidFill>
                    <w14:schemeClr w14:val="tx1"/>
                  </w14:solidFill>
                </w14:textFill>
              </w:rPr>
              <w:t>0</w:t>
            </w:r>
          </w:p>
        </w:tc>
        <w:tc>
          <w:tcPr>
            <w:tcW w:w="967" w:type="dxa"/>
            <w:tcBorders>
              <w:top w:val="nil"/>
              <w:left w:val="single" w:color="auto" w:sz="4" w:space="0"/>
              <w:bottom w:val="single" w:color="auto" w:sz="4" w:space="0"/>
              <w:right w:val="nil"/>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2</w:t>
            </w:r>
            <w:r>
              <w:rPr>
                <w:rFonts w:ascii="Times New Roman" w:hAnsi="Times New Roman" w:eastAsia="方正仿宋_GBK" w:cs="宋体"/>
                <w:color w:val="000000" w:themeColor="text1"/>
                <w:kern w:val="0"/>
                <w:sz w:val="24"/>
                <w14:textFill>
                  <w14:solidFill>
                    <w14:schemeClr w14:val="tx1"/>
                  </w14:solidFill>
                </w14:textFill>
              </w:rPr>
              <w:t>0</w:t>
            </w:r>
          </w:p>
        </w:tc>
        <w:tc>
          <w:tcPr>
            <w:tcW w:w="1193" w:type="dxa"/>
            <w:tcBorders>
              <w:top w:val="nil"/>
              <w:left w:val="single" w:color="auto" w:sz="4" w:space="0"/>
              <w:bottom w:val="single" w:color="auto" w:sz="4" w:space="0"/>
              <w:right w:val="single" w:color="auto" w:sz="4" w:space="0"/>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是</w:t>
            </w:r>
          </w:p>
        </w:tc>
      </w:tr>
      <w:tr>
        <w:tblPrEx>
          <w:tblLayout w:type="fixed"/>
          <w:tblCellMar>
            <w:top w:w="0" w:type="dxa"/>
            <w:left w:w="108" w:type="dxa"/>
            <w:bottom w:w="0" w:type="dxa"/>
            <w:right w:w="108" w:type="dxa"/>
          </w:tblCellMar>
        </w:tblPrEx>
        <w:trPr>
          <w:trHeight w:val="500" w:hRule="atLeast"/>
        </w:trPr>
        <w:tc>
          <w:tcPr>
            <w:tcW w:w="937" w:type="dxa"/>
            <w:vMerge w:val="continue"/>
            <w:tcBorders>
              <w:left w:val="single" w:color="auto" w:sz="4" w:space="0"/>
              <w:right w:val="single" w:color="auto" w:sz="4" w:space="0"/>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p>
        </w:tc>
        <w:tc>
          <w:tcPr>
            <w:tcW w:w="729" w:type="dxa"/>
            <w:tcBorders>
              <w:top w:val="nil"/>
              <w:left w:val="nil"/>
              <w:bottom w:val="single" w:color="auto" w:sz="4" w:space="0"/>
              <w:right w:val="nil"/>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健康素养</w:t>
            </w:r>
          </w:p>
        </w:tc>
        <w:tc>
          <w:tcPr>
            <w:tcW w:w="783" w:type="dxa"/>
            <w:gridSpan w:val="3"/>
            <w:tcBorders>
              <w:top w:val="nil"/>
              <w:left w:val="single" w:color="auto" w:sz="4" w:space="0"/>
              <w:bottom w:val="single" w:color="auto" w:sz="4" w:space="0"/>
              <w:right w:val="nil"/>
            </w:tcBorders>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是/否</w:t>
            </w:r>
          </w:p>
        </w:tc>
        <w:tc>
          <w:tcPr>
            <w:tcW w:w="747" w:type="dxa"/>
            <w:tcBorders>
              <w:top w:val="nil"/>
              <w:left w:val="single" w:color="auto" w:sz="4" w:space="0"/>
              <w:bottom w:val="single" w:color="auto" w:sz="4" w:space="0"/>
              <w:right w:val="nil"/>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定性</w:t>
            </w:r>
          </w:p>
        </w:tc>
        <w:tc>
          <w:tcPr>
            <w:tcW w:w="704" w:type="dxa"/>
            <w:tcBorders>
              <w:top w:val="nil"/>
              <w:left w:val="single" w:color="auto" w:sz="4" w:space="0"/>
              <w:bottom w:val="single" w:color="auto" w:sz="4" w:space="0"/>
              <w:right w:val="nil"/>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提高</w:t>
            </w:r>
          </w:p>
        </w:tc>
        <w:tc>
          <w:tcPr>
            <w:tcW w:w="742" w:type="dxa"/>
            <w:gridSpan w:val="2"/>
            <w:tcBorders>
              <w:top w:val="nil"/>
              <w:left w:val="single" w:color="auto" w:sz="4" w:space="0"/>
              <w:bottom w:val="single" w:color="auto" w:sz="4" w:space="0"/>
              <w:right w:val="nil"/>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提高</w:t>
            </w:r>
          </w:p>
        </w:tc>
        <w:tc>
          <w:tcPr>
            <w:tcW w:w="788" w:type="dxa"/>
            <w:gridSpan w:val="3"/>
            <w:tcBorders>
              <w:top w:val="nil"/>
              <w:left w:val="single" w:color="auto" w:sz="4" w:space="0"/>
              <w:bottom w:val="single" w:color="auto" w:sz="4" w:space="0"/>
              <w:right w:val="nil"/>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持平</w:t>
            </w:r>
          </w:p>
        </w:tc>
        <w:tc>
          <w:tcPr>
            <w:tcW w:w="928" w:type="dxa"/>
            <w:tcBorders>
              <w:top w:val="nil"/>
              <w:left w:val="single" w:color="auto" w:sz="4" w:space="0"/>
              <w:bottom w:val="single" w:color="auto" w:sz="4" w:space="0"/>
              <w:right w:val="nil"/>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r>
              <w:rPr>
                <w:rFonts w:ascii="Times New Roman" w:hAnsi="Times New Roman" w:eastAsia="方正仿宋_GBK" w:cs="宋体"/>
                <w:color w:val="000000" w:themeColor="text1"/>
                <w:kern w:val="0"/>
                <w:sz w:val="24"/>
                <w14:textFill>
                  <w14:solidFill>
                    <w14:schemeClr w14:val="tx1"/>
                  </w14:solidFill>
                </w14:textFill>
              </w:rPr>
              <w:t>90</w:t>
            </w:r>
          </w:p>
        </w:tc>
        <w:tc>
          <w:tcPr>
            <w:tcW w:w="1475" w:type="dxa"/>
            <w:gridSpan w:val="2"/>
            <w:tcBorders>
              <w:top w:val="nil"/>
              <w:left w:val="single" w:color="auto" w:sz="4" w:space="0"/>
              <w:bottom w:val="single" w:color="auto" w:sz="4" w:space="0"/>
              <w:right w:val="nil"/>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r>
              <w:rPr>
                <w:rFonts w:ascii="Times New Roman" w:hAnsi="Times New Roman" w:eastAsia="方正仿宋_GBK" w:cs="宋体"/>
                <w:color w:val="000000" w:themeColor="text1"/>
                <w:kern w:val="0"/>
                <w:sz w:val="24"/>
                <w14:textFill>
                  <w14:solidFill>
                    <w14:schemeClr w14:val="tx1"/>
                  </w14:solidFill>
                </w14:textFill>
              </w:rPr>
              <w:t>20</w:t>
            </w:r>
          </w:p>
        </w:tc>
        <w:tc>
          <w:tcPr>
            <w:tcW w:w="967" w:type="dxa"/>
            <w:tcBorders>
              <w:top w:val="nil"/>
              <w:left w:val="single" w:color="auto" w:sz="4" w:space="0"/>
              <w:bottom w:val="single" w:color="auto" w:sz="4" w:space="0"/>
              <w:right w:val="nil"/>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r>
              <w:rPr>
                <w:rFonts w:ascii="Times New Roman" w:hAnsi="Times New Roman" w:eastAsia="方正仿宋_GBK" w:cs="宋体"/>
                <w:color w:val="000000" w:themeColor="text1"/>
                <w:kern w:val="0"/>
                <w:sz w:val="24"/>
                <w14:textFill>
                  <w14:solidFill>
                    <w14:schemeClr w14:val="tx1"/>
                  </w14:solidFill>
                </w14:textFill>
              </w:rPr>
              <w:t>18</w:t>
            </w:r>
          </w:p>
        </w:tc>
        <w:tc>
          <w:tcPr>
            <w:tcW w:w="1193" w:type="dxa"/>
            <w:tcBorders>
              <w:top w:val="nil"/>
              <w:left w:val="single" w:color="auto" w:sz="4" w:space="0"/>
              <w:bottom w:val="single" w:color="auto" w:sz="4" w:space="0"/>
              <w:right w:val="single" w:color="auto" w:sz="4" w:space="0"/>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是</w:t>
            </w:r>
          </w:p>
        </w:tc>
      </w:tr>
      <w:tr>
        <w:tblPrEx>
          <w:tblLayout w:type="fixed"/>
          <w:tblCellMar>
            <w:top w:w="0" w:type="dxa"/>
            <w:left w:w="108" w:type="dxa"/>
            <w:bottom w:w="0" w:type="dxa"/>
            <w:right w:w="108" w:type="dxa"/>
          </w:tblCellMar>
        </w:tblPrEx>
        <w:trPr>
          <w:trHeight w:val="500" w:hRule="atLeast"/>
        </w:trPr>
        <w:tc>
          <w:tcPr>
            <w:tcW w:w="937" w:type="dxa"/>
            <w:vMerge w:val="continue"/>
            <w:tcBorders>
              <w:left w:val="single" w:color="auto" w:sz="4" w:space="0"/>
              <w:right w:val="single" w:color="auto" w:sz="4" w:space="0"/>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p>
        </w:tc>
        <w:tc>
          <w:tcPr>
            <w:tcW w:w="729" w:type="dxa"/>
            <w:tcBorders>
              <w:top w:val="nil"/>
              <w:left w:val="nil"/>
              <w:bottom w:val="single" w:color="auto" w:sz="4" w:space="0"/>
              <w:right w:val="nil"/>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p>
        </w:tc>
        <w:tc>
          <w:tcPr>
            <w:tcW w:w="783" w:type="dxa"/>
            <w:gridSpan w:val="3"/>
            <w:tcBorders>
              <w:top w:val="nil"/>
              <w:left w:val="single" w:color="auto" w:sz="4" w:space="0"/>
              <w:bottom w:val="single" w:color="auto" w:sz="4" w:space="0"/>
              <w:right w:val="nil"/>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p>
        </w:tc>
        <w:tc>
          <w:tcPr>
            <w:tcW w:w="747" w:type="dxa"/>
            <w:tcBorders>
              <w:top w:val="nil"/>
              <w:left w:val="single" w:color="auto" w:sz="4" w:space="0"/>
              <w:bottom w:val="single" w:color="auto" w:sz="4" w:space="0"/>
              <w:right w:val="nil"/>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p>
        </w:tc>
        <w:tc>
          <w:tcPr>
            <w:tcW w:w="704" w:type="dxa"/>
            <w:tcBorders>
              <w:top w:val="nil"/>
              <w:left w:val="single" w:color="auto" w:sz="4" w:space="0"/>
              <w:bottom w:val="single" w:color="auto" w:sz="4" w:space="0"/>
              <w:right w:val="nil"/>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p>
        </w:tc>
        <w:tc>
          <w:tcPr>
            <w:tcW w:w="742" w:type="dxa"/>
            <w:gridSpan w:val="2"/>
            <w:tcBorders>
              <w:top w:val="nil"/>
              <w:left w:val="single" w:color="auto" w:sz="4" w:space="0"/>
              <w:bottom w:val="single" w:color="auto" w:sz="4" w:space="0"/>
              <w:right w:val="nil"/>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p>
        </w:tc>
        <w:tc>
          <w:tcPr>
            <w:tcW w:w="788" w:type="dxa"/>
            <w:gridSpan w:val="3"/>
            <w:tcBorders>
              <w:top w:val="nil"/>
              <w:left w:val="single" w:color="auto" w:sz="4" w:space="0"/>
              <w:bottom w:val="single" w:color="auto" w:sz="4" w:space="0"/>
              <w:right w:val="nil"/>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p>
        </w:tc>
        <w:tc>
          <w:tcPr>
            <w:tcW w:w="928" w:type="dxa"/>
            <w:tcBorders>
              <w:top w:val="nil"/>
              <w:left w:val="single" w:color="auto" w:sz="4" w:space="0"/>
              <w:bottom w:val="single" w:color="auto" w:sz="4" w:space="0"/>
              <w:right w:val="nil"/>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p>
        </w:tc>
        <w:tc>
          <w:tcPr>
            <w:tcW w:w="1475" w:type="dxa"/>
            <w:gridSpan w:val="2"/>
            <w:tcBorders>
              <w:top w:val="nil"/>
              <w:left w:val="single" w:color="auto" w:sz="4" w:space="0"/>
              <w:bottom w:val="single" w:color="auto" w:sz="4" w:space="0"/>
              <w:right w:val="nil"/>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p>
        </w:tc>
        <w:tc>
          <w:tcPr>
            <w:tcW w:w="967" w:type="dxa"/>
            <w:tcBorders>
              <w:top w:val="nil"/>
              <w:left w:val="single" w:color="auto" w:sz="4" w:space="0"/>
              <w:bottom w:val="single" w:color="auto" w:sz="4" w:space="0"/>
              <w:right w:val="nil"/>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p>
        </w:tc>
        <w:tc>
          <w:tcPr>
            <w:tcW w:w="1193" w:type="dxa"/>
            <w:tcBorders>
              <w:top w:val="nil"/>
              <w:left w:val="single" w:color="auto" w:sz="4" w:space="0"/>
              <w:bottom w:val="single" w:color="auto" w:sz="4" w:space="0"/>
              <w:right w:val="single" w:color="auto" w:sz="4" w:space="0"/>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p>
        </w:tc>
      </w:tr>
      <w:tr>
        <w:tblPrEx>
          <w:tblLayout w:type="fixed"/>
          <w:tblCellMar>
            <w:top w:w="0" w:type="dxa"/>
            <w:left w:w="108" w:type="dxa"/>
            <w:bottom w:w="0" w:type="dxa"/>
            <w:right w:w="108" w:type="dxa"/>
          </w:tblCellMar>
        </w:tblPrEx>
        <w:trPr>
          <w:trHeight w:val="500" w:hRule="atLeast"/>
        </w:trPr>
        <w:tc>
          <w:tcPr>
            <w:tcW w:w="937" w:type="dxa"/>
            <w:vMerge w:val="continue"/>
            <w:tcBorders>
              <w:left w:val="single" w:color="auto" w:sz="4" w:space="0"/>
              <w:bottom w:val="single" w:color="auto" w:sz="4" w:space="0"/>
              <w:right w:val="single" w:color="auto" w:sz="4" w:space="0"/>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p>
        </w:tc>
        <w:tc>
          <w:tcPr>
            <w:tcW w:w="729" w:type="dxa"/>
            <w:tcBorders>
              <w:top w:val="nil"/>
              <w:left w:val="nil"/>
              <w:bottom w:val="single" w:color="auto" w:sz="4" w:space="0"/>
              <w:right w:val="nil"/>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p>
        </w:tc>
        <w:tc>
          <w:tcPr>
            <w:tcW w:w="783" w:type="dxa"/>
            <w:gridSpan w:val="3"/>
            <w:tcBorders>
              <w:top w:val="nil"/>
              <w:left w:val="single" w:color="auto" w:sz="4" w:space="0"/>
              <w:bottom w:val="single" w:color="auto" w:sz="4" w:space="0"/>
              <w:right w:val="nil"/>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p>
        </w:tc>
        <w:tc>
          <w:tcPr>
            <w:tcW w:w="747" w:type="dxa"/>
            <w:tcBorders>
              <w:top w:val="nil"/>
              <w:left w:val="single" w:color="auto" w:sz="4" w:space="0"/>
              <w:bottom w:val="single" w:color="auto" w:sz="4" w:space="0"/>
              <w:right w:val="nil"/>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p>
        </w:tc>
        <w:tc>
          <w:tcPr>
            <w:tcW w:w="704" w:type="dxa"/>
            <w:tcBorders>
              <w:top w:val="nil"/>
              <w:left w:val="single" w:color="auto" w:sz="4" w:space="0"/>
              <w:bottom w:val="single" w:color="auto" w:sz="4" w:space="0"/>
              <w:right w:val="nil"/>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p>
        </w:tc>
        <w:tc>
          <w:tcPr>
            <w:tcW w:w="742" w:type="dxa"/>
            <w:gridSpan w:val="2"/>
            <w:tcBorders>
              <w:top w:val="nil"/>
              <w:left w:val="single" w:color="auto" w:sz="4" w:space="0"/>
              <w:bottom w:val="single" w:color="auto" w:sz="4" w:space="0"/>
              <w:right w:val="nil"/>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p>
        </w:tc>
        <w:tc>
          <w:tcPr>
            <w:tcW w:w="788" w:type="dxa"/>
            <w:gridSpan w:val="3"/>
            <w:tcBorders>
              <w:top w:val="nil"/>
              <w:left w:val="single" w:color="auto" w:sz="4" w:space="0"/>
              <w:bottom w:val="single" w:color="auto" w:sz="4" w:space="0"/>
              <w:right w:val="nil"/>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p>
        </w:tc>
        <w:tc>
          <w:tcPr>
            <w:tcW w:w="928" w:type="dxa"/>
            <w:tcBorders>
              <w:top w:val="nil"/>
              <w:left w:val="single" w:color="auto" w:sz="4" w:space="0"/>
              <w:bottom w:val="single" w:color="auto" w:sz="4" w:space="0"/>
              <w:right w:val="nil"/>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p>
        </w:tc>
        <w:tc>
          <w:tcPr>
            <w:tcW w:w="1475" w:type="dxa"/>
            <w:gridSpan w:val="2"/>
            <w:tcBorders>
              <w:top w:val="nil"/>
              <w:left w:val="single" w:color="auto" w:sz="4" w:space="0"/>
              <w:bottom w:val="single" w:color="auto" w:sz="4" w:space="0"/>
              <w:right w:val="nil"/>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p>
        </w:tc>
        <w:tc>
          <w:tcPr>
            <w:tcW w:w="967" w:type="dxa"/>
            <w:tcBorders>
              <w:top w:val="nil"/>
              <w:left w:val="single" w:color="auto" w:sz="4" w:space="0"/>
              <w:bottom w:val="single" w:color="auto" w:sz="4" w:space="0"/>
              <w:right w:val="nil"/>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p>
        </w:tc>
        <w:tc>
          <w:tcPr>
            <w:tcW w:w="1193" w:type="dxa"/>
            <w:tcBorders>
              <w:top w:val="nil"/>
              <w:left w:val="single" w:color="auto" w:sz="4" w:space="0"/>
              <w:bottom w:val="single" w:color="auto" w:sz="4" w:space="0"/>
              <w:right w:val="single" w:color="auto" w:sz="4" w:space="0"/>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p>
        </w:tc>
      </w:tr>
      <w:tr>
        <w:tblPrEx>
          <w:tblLayout w:type="fixed"/>
          <w:tblCellMar>
            <w:top w:w="0" w:type="dxa"/>
            <w:left w:w="108" w:type="dxa"/>
            <w:bottom w:w="0" w:type="dxa"/>
            <w:right w:w="108" w:type="dxa"/>
          </w:tblCellMar>
        </w:tblPrEx>
        <w:trPr>
          <w:trHeight w:val="415" w:hRule="atLeast"/>
        </w:trPr>
        <w:tc>
          <w:tcPr>
            <w:tcW w:w="937" w:type="dxa"/>
            <w:tcBorders>
              <w:top w:val="nil"/>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cs="宋体"/>
                <w:color w:val="000000" w:themeColor="text1"/>
                <w:kern w:val="0"/>
                <w:sz w:val="24"/>
                <w14:textFill>
                  <w14:solidFill>
                    <w14:schemeClr w14:val="tx1"/>
                  </w14:solidFill>
                </w14:textFill>
              </w:rPr>
            </w:pPr>
            <w:r>
              <w:rPr>
                <w:rFonts w:hint="eastAsia" w:ascii="Times New Roman" w:hAnsi="Times New Roman" w:eastAsia="方正仿宋_GBK" w:cs="宋体"/>
                <w:color w:val="000000" w:themeColor="text1"/>
                <w:kern w:val="0"/>
                <w:sz w:val="24"/>
                <w14:textFill>
                  <w14:solidFill>
                    <w14:schemeClr w14:val="tx1"/>
                  </w14:solidFill>
                </w14:textFill>
              </w:rPr>
              <w:t>说明</w:t>
            </w:r>
          </w:p>
        </w:tc>
        <w:tc>
          <w:tcPr>
            <w:tcW w:w="9056" w:type="dxa"/>
            <w:gridSpan w:val="16"/>
            <w:tcBorders>
              <w:top w:val="single" w:color="auto" w:sz="4" w:space="0"/>
              <w:left w:val="nil"/>
              <w:bottom w:val="single" w:color="auto" w:sz="4" w:space="0"/>
              <w:right w:val="single" w:color="000000" w:sz="4" w:space="0"/>
            </w:tcBorders>
            <w:vAlign w:val="center"/>
          </w:tcPr>
          <w:p>
            <w:pPr>
              <w:spacing w:line="300" w:lineRule="exact"/>
              <w:rPr>
                <w:rFonts w:ascii="Times New Roman" w:hAnsi="Times New Roman" w:eastAsia="方正仿宋_GBK" w:cs="宋体"/>
                <w:color w:val="000000" w:themeColor="text1"/>
                <w:kern w:val="0"/>
                <w:sz w:val="24"/>
                <w14:textFill>
                  <w14:solidFill>
                    <w14:schemeClr w14:val="tx1"/>
                  </w14:solidFill>
                </w14:textFill>
              </w:rPr>
            </w:pPr>
          </w:p>
        </w:tc>
      </w:tr>
    </w:tbl>
    <w:p>
      <w:pPr>
        <w:pStyle w:val="4"/>
        <w:snapToGrid w:val="0"/>
        <w:spacing w:beforeAutospacing="0" w:afterAutospacing="0" w:line="560" w:lineRule="exact"/>
        <w:ind w:firstLine="640" w:firstLineChars="200"/>
        <w:rPr>
          <w:rFonts w:ascii="Times New Roman" w:hAnsi="Times New Roman" w:eastAsia="方正黑体_GBK"/>
          <w:bCs/>
          <w:color w:val="000000" w:themeColor="text1"/>
          <w:sz w:val="32"/>
          <w:szCs w:val="32"/>
          <w14:textFill>
            <w14:solidFill>
              <w14:schemeClr w14:val="tx1"/>
            </w14:solidFill>
          </w14:textFill>
        </w:rPr>
      </w:pPr>
      <w:r>
        <w:rPr>
          <w:rStyle w:val="8"/>
          <w:rFonts w:eastAsia="方正黑体_GBK"/>
          <w:b w:val="0"/>
          <w:bCs/>
          <w:color w:val="000000" w:themeColor="text1"/>
          <w:sz w:val="32"/>
          <w:szCs w:val="32"/>
          <w:shd w:val="clear" w:color="auto" w:fill="FFFFFF"/>
          <w14:textFill>
            <w14:solidFill>
              <w14:schemeClr w14:val="tx1"/>
            </w14:solidFill>
          </w14:textFill>
        </w:rPr>
        <w:t>六、专业名词解释</w:t>
      </w:r>
    </w:p>
    <w:p>
      <w:pPr>
        <w:pStyle w:val="4"/>
        <w:snapToGrid w:val="0"/>
        <w:spacing w:beforeAutospacing="0" w:afterAutospacing="0" w:line="560" w:lineRule="exact"/>
        <w:ind w:firstLine="640" w:firstLineChars="200"/>
        <w:rPr>
          <w:rFonts w:ascii="Times New Roman" w:hAnsi="Times New Roman" w:eastAsia="方正仿宋_GBK"/>
          <w:bCs/>
          <w:color w:val="000000" w:themeColor="text1"/>
          <w:sz w:val="32"/>
          <w:szCs w:val="32"/>
          <w14:textFill>
            <w14:solidFill>
              <w14:schemeClr w14:val="tx1"/>
            </w14:solidFill>
          </w14:textFill>
        </w:rPr>
      </w:pPr>
      <w:r>
        <w:rPr>
          <w:rStyle w:val="8"/>
          <w:rFonts w:hint="eastAsia" w:ascii="方正楷体_GBK" w:eastAsia="方正楷体_GBK"/>
          <w:b w:val="0"/>
          <w:bCs/>
          <w:color w:val="000000" w:themeColor="text1"/>
          <w:sz w:val="32"/>
          <w:szCs w:val="32"/>
          <w:shd w:val="clear" w:color="auto" w:fill="FFFFFF"/>
          <w14:textFill>
            <w14:solidFill>
              <w14:schemeClr w14:val="tx1"/>
            </w14:solidFill>
          </w14:textFill>
        </w:rPr>
        <w:t>（一）财政拨款收入</w:t>
      </w:r>
      <w:r>
        <w:rPr>
          <w:rFonts w:hint="eastAsia" w:ascii="方正楷体_GBK" w:hAnsi="Times New Roman" w:eastAsia="方正楷体_GBK"/>
          <w:bCs/>
          <w:color w:val="000000" w:themeColor="text1"/>
          <w:sz w:val="32"/>
          <w:szCs w:val="32"/>
          <w:shd w:val="clear" w:color="auto" w:fill="FFFFFF"/>
          <w14:textFill>
            <w14:solidFill>
              <w14:schemeClr w14:val="tx1"/>
            </w14:solidFill>
          </w14:textFill>
        </w:rPr>
        <w:t>：</w:t>
      </w:r>
      <w:r>
        <w:rPr>
          <w:rFonts w:ascii="Times New Roman" w:hAnsi="Times New Roman" w:eastAsia="方正仿宋_GBK"/>
          <w:bCs/>
          <w:color w:val="000000" w:themeColor="text1"/>
          <w:sz w:val="32"/>
          <w:szCs w:val="32"/>
          <w:shd w:val="clear" w:color="auto" w:fill="FFFFFF"/>
          <w14:textFill>
            <w14:solidFill>
              <w14:schemeClr w14:val="tx1"/>
            </w14:solidFill>
          </w14:textFill>
        </w:rPr>
        <w:t>指本年度从本级财政部门取得的财政拨款，包括一般公共预算财政拨款和政府性基金预算财政拨款。</w:t>
      </w:r>
    </w:p>
    <w:p>
      <w:pPr>
        <w:pStyle w:val="4"/>
        <w:snapToGrid w:val="0"/>
        <w:spacing w:beforeAutospacing="0" w:afterAutospacing="0" w:line="560" w:lineRule="exact"/>
        <w:ind w:firstLine="640" w:firstLineChars="200"/>
        <w:rPr>
          <w:rFonts w:ascii="Times New Roman" w:hAnsi="Times New Roman" w:eastAsia="方正仿宋_GBK"/>
          <w:bCs/>
          <w:color w:val="000000" w:themeColor="text1"/>
          <w:sz w:val="32"/>
          <w:szCs w:val="32"/>
          <w14:textFill>
            <w14:solidFill>
              <w14:schemeClr w14:val="tx1"/>
            </w14:solidFill>
          </w14:textFill>
        </w:rPr>
      </w:pPr>
      <w:r>
        <w:rPr>
          <w:rStyle w:val="8"/>
          <w:rFonts w:hint="eastAsia" w:ascii="方正楷体_GBK" w:eastAsia="方正楷体_GBK"/>
          <w:b w:val="0"/>
          <w:bCs/>
          <w:color w:val="000000" w:themeColor="text1"/>
          <w:sz w:val="32"/>
          <w:szCs w:val="32"/>
          <w:shd w:val="clear" w:color="auto" w:fill="FFFFFF"/>
          <w14:textFill>
            <w14:solidFill>
              <w14:schemeClr w14:val="tx1"/>
            </w14:solidFill>
          </w14:textFill>
        </w:rPr>
        <w:t>（二）事业收入</w:t>
      </w:r>
      <w:r>
        <w:rPr>
          <w:rFonts w:hint="eastAsia" w:ascii="方正楷体_GBK" w:hAnsi="Times New Roman" w:eastAsia="方正楷体_GBK"/>
          <w:bCs/>
          <w:color w:val="000000" w:themeColor="text1"/>
          <w:sz w:val="32"/>
          <w:szCs w:val="32"/>
          <w:shd w:val="clear" w:color="auto" w:fill="FFFFFF"/>
          <w14:textFill>
            <w14:solidFill>
              <w14:schemeClr w14:val="tx1"/>
            </w14:solidFill>
          </w14:textFill>
        </w:rPr>
        <w:t>：</w:t>
      </w:r>
      <w:r>
        <w:rPr>
          <w:rFonts w:ascii="Times New Roman" w:hAnsi="Times New Roman" w:eastAsia="方正仿宋_GBK"/>
          <w:bCs/>
          <w:color w:val="000000" w:themeColor="text1"/>
          <w:sz w:val="32"/>
          <w:szCs w:val="32"/>
          <w:shd w:val="clear" w:color="auto" w:fill="FFFFFF"/>
          <w14:textFill>
            <w14:solidFill>
              <w14:schemeClr w14:val="tx1"/>
            </w14:solidFill>
          </w14:textFill>
        </w:rPr>
        <w:t>指事业单位开展专业业务活动及其辅助活动取得的现金流入；事业单位收到的财政专户实际核拨的教育收费等资金在此反映。</w:t>
      </w:r>
    </w:p>
    <w:p>
      <w:pPr>
        <w:pStyle w:val="4"/>
        <w:snapToGrid w:val="0"/>
        <w:spacing w:beforeAutospacing="0" w:afterAutospacing="0" w:line="560" w:lineRule="exact"/>
        <w:ind w:firstLine="640" w:firstLineChars="200"/>
        <w:rPr>
          <w:rFonts w:ascii="Times New Roman" w:hAnsi="Times New Roman" w:eastAsia="方正仿宋_GBK"/>
          <w:bCs/>
          <w:color w:val="000000" w:themeColor="text1"/>
          <w:sz w:val="32"/>
          <w:szCs w:val="32"/>
          <w14:textFill>
            <w14:solidFill>
              <w14:schemeClr w14:val="tx1"/>
            </w14:solidFill>
          </w14:textFill>
        </w:rPr>
      </w:pPr>
      <w:r>
        <w:rPr>
          <w:rStyle w:val="8"/>
          <w:rFonts w:hint="eastAsia" w:ascii="方正楷体_GBK" w:eastAsia="方正楷体_GBK"/>
          <w:b w:val="0"/>
          <w:bCs/>
          <w:color w:val="000000" w:themeColor="text1"/>
          <w:sz w:val="32"/>
          <w:szCs w:val="32"/>
          <w:shd w:val="clear" w:color="auto" w:fill="FFFFFF"/>
          <w14:textFill>
            <w14:solidFill>
              <w14:schemeClr w14:val="tx1"/>
            </w14:solidFill>
          </w14:textFill>
        </w:rPr>
        <w:t>（三）经营收入</w:t>
      </w:r>
      <w:r>
        <w:rPr>
          <w:rFonts w:hint="eastAsia" w:ascii="方正楷体_GBK" w:hAnsi="Times New Roman" w:eastAsia="方正楷体_GBK"/>
          <w:bCs/>
          <w:color w:val="000000" w:themeColor="text1"/>
          <w:sz w:val="32"/>
          <w:szCs w:val="32"/>
          <w:shd w:val="clear" w:color="auto" w:fill="FFFFFF"/>
          <w14:textFill>
            <w14:solidFill>
              <w14:schemeClr w14:val="tx1"/>
            </w14:solidFill>
          </w14:textFill>
        </w:rPr>
        <w:t>：</w:t>
      </w:r>
      <w:r>
        <w:rPr>
          <w:rFonts w:ascii="Times New Roman" w:hAnsi="Times New Roman" w:eastAsia="方正仿宋_GBK"/>
          <w:bCs/>
          <w:color w:val="000000" w:themeColor="text1"/>
          <w:sz w:val="32"/>
          <w:szCs w:val="32"/>
          <w:shd w:val="clear" w:color="auto" w:fill="FFFFFF"/>
          <w14:textFill>
            <w14:solidFill>
              <w14:schemeClr w14:val="tx1"/>
            </w14:solidFill>
          </w14:textFill>
        </w:rPr>
        <w:t>指事业单位在专业业务活动及其辅助活动之外开展非独立核算经营活动取得的现金流入。</w:t>
      </w:r>
    </w:p>
    <w:p>
      <w:pPr>
        <w:pStyle w:val="4"/>
        <w:snapToGrid w:val="0"/>
        <w:spacing w:beforeAutospacing="0" w:afterAutospacing="0" w:line="560" w:lineRule="exact"/>
        <w:ind w:firstLine="640" w:firstLineChars="200"/>
        <w:rPr>
          <w:rFonts w:ascii="Times New Roman" w:hAnsi="Times New Roman" w:eastAsia="方正仿宋_GBK"/>
          <w:bCs/>
          <w:color w:val="000000" w:themeColor="text1"/>
          <w:sz w:val="32"/>
          <w:szCs w:val="32"/>
          <w14:textFill>
            <w14:solidFill>
              <w14:schemeClr w14:val="tx1"/>
            </w14:solidFill>
          </w14:textFill>
        </w:rPr>
      </w:pPr>
      <w:r>
        <w:rPr>
          <w:rStyle w:val="8"/>
          <w:rFonts w:hint="eastAsia" w:ascii="方正楷体_GBK" w:eastAsia="方正楷体_GBK"/>
          <w:b w:val="0"/>
          <w:bCs/>
          <w:color w:val="000000" w:themeColor="text1"/>
          <w:sz w:val="32"/>
          <w:szCs w:val="32"/>
          <w:shd w:val="clear" w:color="auto" w:fill="FFFFFF"/>
          <w14:textFill>
            <w14:solidFill>
              <w14:schemeClr w14:val="tx1"/>
            </w14:solidFill>
          </w14:textFill>
        </w:rPr>
        <w:t>（四）其他收入</w:t>
      </w:r>
      <w:r>
        <w:rPr>
          <w:rFonts w:hint="eastAsia" w:ascii="方正楷体_GBK" w:hAnsi="Times New Roman" w:eastAsia="方正楷体_GBK"/>
          <w:bCs/>
          <w:color w:val="000000" w:themeColor="text1"/>
          <w:sz w:val="32"/>
          <w:szCs w:val="32"/>
          <w:shd w:val="clear" w:color="auto" w:fill="FFFFFF"/>
          <w14:textFill>
            <w14:solidFill>
              <w14:schemeClr w14:val="tx1"/>
            </w14:solidFill>
          </w14:textFill>
        </w:rPr>
        <w:t>：</w:t>
      </w:r>
      <w:r>
        <w:rPr>
          <w:rFonts w:ascii="Times New Roman" w:hAnsi="Times New Roman" w:eastAsia="方正仿宋_GBK"/>
          <w:bCs/>
          <w:color w:val="000000" w:themeColor="text1"/>
          <w:sz w:val="32"/>
          <w:szCs w:val="32"/>
          <w:shd w:val="clear" w:color="auto" w:fill="FFFFFF"/>
          <w14:textFill>
            <w14:solidFill>
              <w14:schemeClr w14:val="tx1"/>
            </w14:solidFill>
          </w14:textFill>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snapToGrid w:val="0"/>
        <w:spacing w:beforeAutospacing="0" w:afterAutospacing="0" w:line="560" w:lineRule="exact"/>
        <w:ind w:firstLine="640" w:firstLineChars="200"/>
        <w:rPr>
          <w:rFonts w:ascii="Times New Roman" w:hAnsi="Times New Roman" w:eastAsia="方正仿宋_GBK"/>
          <w:bCs/>
          <w:color w:val="000000" w:themeColor="text1"/>
          <w:sz w:val="32"/>
          <w:szCs w:val="32"/>
          <w14:textFill>
            <w14:solidFill>
              <w14:schemeClr w14:val="tx1"/>
            </w14:solidFill>
          </w14:textFill>
        </w:rPr>
      </w:pPr>
      <w:r>
        <w:rPr>
          <w:rStyle w:val="8"/>
          <w:rFonts w:hint="eastAsia" w:ascii="方正楷体_GBK" w:eastAsia="方正楷体_GBK"/>
          <w:b w:val="0"/>
          <w:bCs/>
          <w:color w:val="000000" w:themeColor="text1"/>
          <w:sz w:val="32"/>
          <w:szCs w:val="32"/>
          <w:shd w:val="clear" w:color="auto" w:fill="FFFFFF"/>
          <w14:textFill>
            <w14:solidFill>
              <w14:schemeClr w14:val="tx1"/>
            </w14:solidFill>
          </w14:textFill>
        </w:rPr>
        <w:t>（五）用事业基金弥补收支差额</w:t>
      </w:r>
      <w:r>
        <w:rPr>
          <w:rFonts w:hint="eastAsia" w:ascii="方正楷体_GBK" w:hAnsi="Times New Roman" w:eastAsia="方正楷体_GBK"/>
          <w:bCs/>
          <w:color w:val="000000" w:themeColor="text1"/>
          <w:sz w:val="32"/>
          <w:szCs w:val="32"/>
          <w:shd w:val="clear" w:color="auto" w:fill="FFFFFF"/>
          <w14:textFill>
            <w14:solidFill>
              <w14:schemeClr w14:val="tx1"/>
            </w14:solidFill>
          </w14:textFill>
        </w:rPr>
        <w:t>：</w:t>
      </w:r>
      <w:r>
        <w:rPr>
          <w:rFonts w:ascii="Times New Roman" w:hAnsi="Times New Roman" w:eastAsia="方正仿宋_GBK"/>
          <w:bCs/>
          <w:color w:val="000000" w:themeColor="text1"/>
          <w:sz w:val="32"/>
          <w:szCs w:val="32"/>
          <w:shd w:val="clear" w:color="auto" w:fill="FFFFFF"/>
          <w14:textFill>
            <w14:solidFill>
              <w14:schemeClr w14:val="tx1"/>
            </w14:solidFill>
          </w14:textFill>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4"/>
        <w:snapToGrid w:val="0"/>
        <w:spacing w:beforeAutospacing="0" w:afterAutospacing="0" w:line="560" w:lineRule="exact"/>
        <w:ind w:firstLine="640" w:firstLineChars="200"/>
        <w:rPr>
          <w:rFonts w:ascii="Times New Roman" w:hAnsi="Times New Roman" w:eastAsia="方正仿宋_GBK"/>
          <w:bCs/>
          <w:color w:val="000000" w:themeColor="text1"/>
          <w:sz w:val="32"/>
          <w:szCs w:val="32"/>
          <w14:textFill>
            <w14:solidFill>
              <w14:schemeClr w14:val="tx1"/>
            </w14:solidFill>
          </w14:textFill>
        </w:rPr>
      </w:pPr>
      <w:r>
        <w:rPr>
          <w:rStyle w:val="8"/>
          <w:rFonts w:hint="eastAsia" w:ascii="方正楷体_GBK" w:eastAsia="方正楷体_GBK"/>
          <w:b w:val="0"/>
          <w:bCs/>
          <w:color w:val="000000" w:themeColor="text1"/>
          <w:sz w:val="32"/>
          <w:szCs w:val="32"/>
          <w:shd w:val="clear" w:color="auto" w:fill="FFFFFF"/>
          <w14:textFill>
            <w14:solidFill>
              <w14:schemeClr w14:val="tx1"/>
            </w14:solidFill>
          </w14:textFill>
        </w:rPr>
        <w:t>（六）年初结转和结余</w:t>
      </w:r>
      <w:r>
        <w:rPr>
          <w:rFonts w:hint="eastAsia" w:ascii="方正楷体_GBK" w:hAnsi="Times New Roman" w:eastAsia="方正楷体_GBK"/>
          <w:bCs/>
          <w:color w:val="000000" w:themeColor="text1"/>
          <w:sz w:val="32"/>
          <w:szCs w:val="32"/>
          <w:shd w:val="clear" w:color="auto" w:fill="FFFFFF"/>
          <w14:textFill>
            <w14:solidFill>
              <w14:schemeClr w14:val="tx1"/>
            </w14:solidFill>
          </w14:textFill>
        </w:rPr>
        <w:t>：</w:t>
      </w:r>
      <w:r>
        <w:rPr>
          <w:rFonts w:ascii="Times New Roman" w:hAnsi="Times New Roman" w:eastAsia="方正仿宋_GBK"/>
          <w:bCs/>
          <w:color w:val="000000" w:themeColor="text1"/>
          <w:sz w:val="32"/>
          <w:szCs w:val="32"/>
          <w:shd w:val="clear" w:color="auto" w:fill="FFFFFF"/>
          <w14:textFill>
            <w14:solidFill>
              <w14:schemeClr w14:val="tx1"/>
            </w14:solidFill>
          </w14:textFill>
        </w:rPr>
        <w:t>指单位上年结转本年使用的基本支出结转、项目支出结转和结余、经营结余。</w:t>
      </w:r>
    </w:p>
    <w:p>
      <w:pPr>
        <w:pStyle w:val="4"/>
        <w:snapToGrid w:val="0"/>
        <w:spacing w:beforeAutospacing="0" w:afterAutospacing="0" w:line="560" w:lineRule="exact"/>
        <w:ind w:firstLine="640" w:firstLineChars="200"/>
        <w:rPr>
          <w:rFonts w:ascii="Times New Roman" w:hAnsi="Times New Roman" w:eastAsia="方正仿宋_GBK"/>
          <w:bCs/>
          <w:color w:val="000000" w:themeColor="text1"/>
          <w:sz w:val="32"/>
          <w:szCs w:val="32"/>
          <w14:textFill>
            <w14:solidFill>
              <w14:schemeClr w14:val="tx1"/>
            </w14:solidFill>
          </w14:textFill>
        </w:rPr>
      </w:pPr>
      <w:r>
        <w:rPr>
          <w:rStyle w:val="8"/>
          <w:rFonts w:hint="eastAsia" w:ascii="方正楷体_GBK" w:eastAsia="方正楷体_GBK"/>
          <w:b w:val="0"/>
          <w:bCs/>
          <w:color w:val="000000" w:themeColor="text1"/>
          <w:sz w:val="32"/>
          <w:szCs w:val="32"/>
          <w:shd w:val="clear" w:color="auto" w:fill="FFFFFF"/>
          <w14:textFill>
            <w14:solidFill>
              <w14:schemeClr w14:val="tx1"/>
            </w14:solidFill>
          </w14:textFill>
        </w:rPr>
        <w:t>（七）结余分配</w:t>
      </w:r>
      <w:r>
        <w:rPr>
          <w:rFonts w:hint="eastAsia" w:ascii="方正楷体_GBK" w:hAnsi="Times New Roman" w:eastAsia="方正楷体_GBK"/>
          <w:bCs/>
          <w:color w:val="000000" w:themeColor="text1"/>
          <w:sz w:val="32"/>
          <w:szCs w:val="32"/>
          <w:shd w:val="clear" w:color="auto" w:fill="FFFFFF"/>
          <w14:textFill>
            <w14:solidFill>
              <w14:schemeClr w14:val="tx1"/>
            </w14:solidFill>
          </w14:textFill>
        </w:rPr>
        <w:t>：</w:t>
      </w:r>
      <w:r>
        <w:rPr>
          <w:rFonts w:ascii="Times New Roman" w:hAnsi="Times New Roman" w:eastAsia="方正仿宋_GBK"/>
          <w:bCs/>
          <w:color w:val="000000" w:themeColor="text1"/>
          <w:sz w:val="32"/>
          <w:szCs w:val="32"/>
          <w:shd w:val="clear" w:color="auto" w:fill="FFFFFF"/>
          <w14:textFill>
            <w14:solidFill>
              <w14:schemeClr w14:val="tx1"/>
            </w14:solidFill>
          </w14:textFill>
        </w:rPr>
        <w:t>指单位按照国家有关规定，缴纳所得税、提取专用基金、转入事业基金等当年结余的分配情况。</w:t>
      </w:r>
    </w:p>
    <w:p>
      <w:pPr>
        <w:pStyle w:val="4"/>
        <w:snapToGrid w:val="0"/>
        <w:spacing w:beforeAutospacing="0" w:afterAutospacing="0" w:line="560" w:lineRule="exact"/>
        <w:ind w:firstLine="640" w:firstLineChars="200"/>
        <w:rPr>
          <w:rFonts w:ascii="Times New Roman" w:hAnsi="Times New Roman" w:eastAsia="方正仿宋_GBK"/>
          <w:bCs/>
          <w:color w:val="000000" w:themeColor="text1"/>
          <w:sz w:val="32"/>
          <w:szCs w:val="32"/>
          <w14:textFill>
            <w14:solidFill>
              <w14:schemeClr w14:val="tx1"/>
            </w14:solidFill>
          </w14:textFill>
        </w:rPr>
      </w:pPr>
      <w:r>
        <w:rPr>
          <w:rStyle w:val="8"/>
          <w:rFonts w:hint="eastAsia" w:ascii="方正楷体_GBK" w:eastAsia="方正楷体_GBK"/>
          <w:b w:val="0"/>
          <w:bCs/>
          <w:color w:val="000000" w:themeColor="text1"/>
          <w:sz w:val="32"/>
          <w:szCs w:val="32"/>
          <w:shd w:val="clear" w:color="auto" w:fill="FFFFFF"/>
          <w14:textFill>
            <w14:solidFill>
              <w14:schemeClr w14:val="tx1"/>
            </w14:solidFill>
          </w14:textFill>
        </w:rPr>
        <w:t>（八）年末结转和结余</w:t>
      </w:r>
      <w:r>
        <w:rPr>
          <w:rFonts w:hint="eastAsia" w:ascii="方正楷体_GBK" w:hAnsi="Times New Roman" w:eastAsia="方正楷体_GBK"/>
          <w:bCs/>
          <w:color w:val="000000" w:themeColor="text1"/>
          <w:sz w:val="32"/>
          <w:szCs w:val="32"/>
          <w:shd w:val="clear" w:color="auto" w:fill="FFFFFF"/>
          <w14:textFill>
            <w14:solidFill>
              <w14:schemeClr w14:val="tx1"/>
            </w14:solidFill>
          </w14:textFill>
        </w:rPr>
        <w:t>：</w:t>
      </w:r>
      <w:r>
        <w:rPr>
          <w:rFonts w:ascii="Times New Roman" w:hAnsi="Times New Roman" w:eastAsia="方正仿宋_GBK"/>
          <w:bCs/>
          <w:color w:val="000000" w:themeColor="text1"/>
          <w:sz w:val="32"/>
          <w:szCs w:val="32"/>
          <w:shd w:val="clear" w:color="auto" w:fill="FFFFFF"/>
          <w14:textFill>
            <w14:solidFill>
              <w14:schemeClr w14:val="tx1"/>
            </w14:solidFill>
          </w14:textFill>
        </w:rPr>
        <w:t>指单位结转下年的基本支出结转、项目支出结转和结余、经营结余。</w:t>
      </w:r>
    </w:p>
    <w:p>
      <w:pPr>
        <w:pStyle w:val="4"/>
        <w:snapToGrid w:val="0"/>
        <w:spacing w:beforeAutospacing="0" w:afterAutospacing="0" w:line="560" w:lineRule="exact"/>
        <w:ind w:firstLine="640" w:firstLineChars="200"/>
        <w:rPr>
          <w:rFonts w:ascii="Times New Roman" w:hAnsi="Times New Roman" w:eastAsia="方正仿宋_GBK"/>
          <w:bCs/>
          <w:color w:val="000000" w:themeColor="text1"/>
          <w:sz w:val="32"/>
          <w:szCs w:val="32"/>
          <w14:textFill>
            <w14:solidFill>
              <w14:schemeClr w14:val="tx1"/>
            </w14:solidFill>
          </w14:textFill>
        </w:rPr>
      </w:pPr>
      <w:r>
        <w:rPr>
          <w:rStyle w:val="8"/>
          <w:rFonts w:hint="eastAsia" w:ascii="方正楷体_GBK" w:eastAsia="方正楷体_GBK"/>
          <w:b w:val="0"/>
          <w:bCs/>
          <w:color w:val="000000" w:themeColor="text1"/>
          <w:sz w:val="32"/>
          <w:szCs w:val="32"/>
          <w:shd w:val="clear" w:color="auto" w:fill="FFFFFF"/>
          <w14:textFill>
            <w14:solidFill>
              <w14:schemeClr w14:val="tx1"/>
            </w14:solidFill>
          </w14:textFill>
        </w:rPr>
        <w:t>（九）基本支出</w:t>
      </w:r>
      <w:r>
        <w:rPr>
          <w:rFonts w:hint="eastAsia" w:ascii="方正楷体_GBK" w:hAnsi="Times New Roman" w:eastAsia="方正楷体_GBK"/>
          <w:bCs/>
          <w:color w:val="000000" w:themeColor="text1"/>
          <w:sz w:val="32"/>
          <w:szCs w:val="32"/>
          <w:shd w:val="clear" w:color="auto" w:fill="FFFFFF"/>
          <w14:textFill>
            <w14:solidFill>
              <w14:schemeClr w14:val="tx1"/>
            </w14:solidFill>
          </w14:textFill>
        </w:rPr>
        <w:t>：</w:t>
      </w:r>
      <w:r>
        <w:rPr>
          <w:rFonts w:ascii="Times New Roman" w:hAnsi="Times New Roman" w:eastAsia="方正仿宋_GBK"/>
          <w:bCs/>
          <w:color w:val="000000" w:themeColor="text1"/>
          <w:sz w:val="32"/>
          <w:szCs w:val="32"/>
          <w:shd w:val="clear" w:color="auto" w:fill="FFFFFF"/>
          <w14:textFill>
            <w14:solidFill>
              <w14:schemeClr w14:val="tx1"/>
            </w14:solidFill>
          </w14:textFill>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4"/>
        <w:snapToGrid w:val="0"/>
        <w:spacing w:beforeAutospacing="0" w:afterAutospacing="0" w:line="560" w:lineRule="exact"/>
        <w:ind w:firstLine="640" w:firstLineChars="200"/>
        <w:rPr>
          <w:rFonts w:ascii="Times New Roman" w:hAnsi="Times New Roman" w:eastAsia="方正仿宋_GBK"/>
          <w:bCs/>
          <w:color w:val="000000" w:themeColor="text1"/>
          <w:sz w:val="32"/>
          <w:szCs w:val="32"/>
          <w14:textFill>
            <w14:solidFill>
              <w14:schemeClr w14:val="tx1"/>
            </w14:solidFill>
          </w14:textFill>
        </w:rPr>
      </w:pPr>
      <w:r>
        <w:rPr>
          <w:rStyle w:val="8"/>
          <w:rFonts w:hint="eastAsia" w:ascii="方正楷体_GBK" w:eastAsia="方正楷体_GBK"/>
          <w:b w:val="0"/>
          <w:bCs/>
          <w:color w:val="000000" w:themeColor="text1"/>
          <w:sz w:val="32"/>
          <w:szCs w:val="32"/>
          <w:shd w:val="clear" w:color="auto" w:fill="FFFFFF"/>
          <w14:textFill>
            <w14:solidFill>
              <w14:schemeClr w14:val="tx1"/>
            </w14:solidFill>
          </w14:textFill>
        </w:rPr>
        <w:t>（十）项目支出</w:t>
      </w:r>
      <w:r>
        <w:rPr>
          <w:rFonts w:hint="eastAsia" w:ascii="方正楷体_GBK" w:hAnsi="Times New Roman" w:eastAsia="方正楷体_GBK"/>
          <w:bCs/>
          <w:color w:val="000000" w:themeColor="text1"/>
          <w:sz w:val="32"/>
          <w:szCs w:val="32"/>
          <w:shd w:val="clear" w:color="auto" w:fill="FFFFFF"/>
          <w14:textFill>
            <w14:solidFill>
              <w14:schemeClr w14:val="tx1"/>
            </w14:solidFill>
          </w14:textFill>
        </w:rPr>
        <w:t>：</w:t>
      </w:r>
      <w:r>
        <w:rPr>
          <w:rFonts w:ascii="Times New Roman" w:hAnsi="Times New Roman" w:eastAsia="方正仿宋_GBK"/>
          <w:bCs/>
          <w:color w:val="000000" w:themeColor="text1"/>
          <w:sz w:val="32"/>
          <w:szCs w:val="32"/>
          <w:shd w:val="clear" w:color="auto" w:fill="FFFFFF"/>
          <w14:textFill>
            <w14:solidFill>
              <w14:schemeClr w14:val="tx1"/>
            </w14:solidFill>
          </w14:textFill>
        </w:rPr>
        <w:t>指在基本支出之外为完成特定行政任务和事业发展目标所发生的支出。</w:t>
      </w:r>
    </w:p>
    <w:p>
      <w:pPr>
        <w:pStyle w:val="4"/>
        <w:snapToGrid w:val="0"/>
        <w:spacing w:beforeAutospacing="0" w:afterAutospacing="0" w:line="560" w:lineRule="exact"/>
        <w:ind w:firstLine="640" w:firstLineChars="200"/>
        <w:rPr>
          <w:rFonts w:ascii="Times New Roman" w:hAnsi="Times New Roman" w:eastAsia="方正仿宋_GBK"/>
          <w:bCs/>
          <w:color w:val="000000" w:themeColor="text1"/>
          <w:sz w:val="32"/>
          <w:szCs w:val="32"/>
          <w14:textFill>
            <w14:solidFill>
              <w14:schemeClr w14:val="tx1"/>
            </w14:solidFill>
          </w14:textFill>
        </w:rPr>
      </w:pPr>
      <w:r>
        <w:rPr>
          <w:rStyle w:val="8"/>
          <w:rFonts w:hint="eastAsia" w:ascii="方正楷体_GBK" w:eastAsia="方正楷体_GBK"/>
          <w:b w:val="0"/>
          <w:bCs/>
          <w:color w:val="000000" w:themeColor="text1"/>
          <w:sz w:val="32"/>
          <w:szCs w:val="32"/>
          <w:shd w:val="clear" w:color="auto" w:fill="FFFFFF"/>
          <w14:textFill>
            <w14:solidFill>
              <w14:schemeClr w14:val="tx1"/>
            </w14:solidFill>
          </w14:textFill>
        </w:rPr>
        <w:t>（十一）经营支出</w:t>
      </w:r>
      <w:r>
        <w:rPr>
          <w:rFonts w:hint="eastAsia" w:ascii="方正楷体_GBK" w:hAnsi="Times New Roman" w:eastAsia="方正楷体_GBK"/>
          <w:bCs/>
          <w:color w:val="000000" w:themeColor="text1"/>
          <w:sz w:val="32"/>
          <w:szCs w:val="32"/>
          <w:shd w:val="clear" w:color="auto" w:fill="FFFFFF"/>
          <w14:textFill>
            <w14:solidFill>
              <w14:schemeClr w14:val="tx1"/>
            </w14:solidFill>
          </w14:textFill>
        </w:rPr>
        <w:t>：</w:t>
      </w:r>
      <w:r>
        <w:rPr>
          <w:rFonts w:ascii="Times New Roman" w:hAnsi="Times New Roman" w:eastAsia="方正仿宋_GBK"/>
          <w:bCs/>
          <w:color w:val="000000" w:themeColor="text1"/>
          <w:sz w:val="32"/>
          <w:szCs w:val="32"/>
          <w:shd w:val="clear" w:color="auto" w:fill="FFFFFF"/>
          <w14:textFill>
            <w14:solidFill>
              <w14:schemeClr w14:val="tx1"/>
            </w14:solidFill>
          </w14:textFill>
        </w:rPr>
        <w:t>指事业单位在专业业务活动及其辅助活动之外开展非独立核算经营活动发生的支出。</w:t>
      </w:r>
    </w:p>
    <w:p>
      <w:pPr>
        <w:pStyle w:val="4"/>
        <w:snapToGrid w:val="0"/>
        <w:spacing w:beforeAutospacing="0" w:afterAutospacing="0" w:line="560" w:lineRule="exact"/>
        <w:ind w:firstLine="640" w:firstLineChars="200"/>
        <w:rPr>
          <w:rFonts w:ascii="Times New Roman" w:hAnsi="Times New Roman" w:eastAsia="方正仿宋_GBK"/>
          <w:bCs/>
          <w:color w:val="000000" w:themeColor="text1"/>
          <w:sz w:val="32"/>
          <w:szCs w:val="32"/>
          <w14:textFill>
            <w14:solidFill>
              <w14:schemeClr w14:val="tx1"/>
            </w14:solidFill>
          </w14:textFill>
        </w:rPr>
      </w:pPr>
      <w:r>
        <w:rPr>
          <w:rStyle w:val="8"/>
          <w:rFonts w:hint="eastAsia" w:ascii="方正楷体_GBK" w:eastAsia="方正楷体_GBK"/>
          <w:b w:val="0"/>
          <w:bCs/>
          <w:color w:val="000000" w:themeColor="text1"/>
          <w:sz w:val="32"/>
          <w:szCs w:val="32"/>
          <w:shd w:val="clear" w:color="auto" w:fill="FFFFFF"/>
          <w14:textFill>
            <w14:solidFill>
              <w14:schemeClr w14:val="tx1"/>
            </w14:solidFill>
          </w14:textFill>
        </w:rPr>
        <w:t>（十二）“三公”经费</w:t>
      </w:r>
      <w:r>
        <w:rPr>
          <w:rFonts w:hint="eastAsia" w:ascii="方正楷体_GBK" w:hAnsi="Times New Roman" w:eastAsia="方正楷体_GBK"/>
          <w:bCs/>
          <w:color w:val="000000" w:themeColor="text1"/>
          <w:sz w:val="32"/>
          <w:szCs w:val="32"/>
          <w:shd w:val="clear" w:color="auto" w:fill="FFFFFF"/>
          <w14:textFill>
            <w14:solidFill>
              <w14:schemeClr w14:val="tx1"/>
            </w14:solidFill>
          </w14:textFill>
        </w:rPr>
        <w:t>：</w:t>
      </w:r>
      <w:r>
        <w:rPr>
          <w:rFonts w:ascii="Times New Roman" w:hAnsi="Times New Roman" w:eastAsia="方正仿宋_GBK"/>
          <w:bCs/>
          <w:color w:val="000000" w:themeColor="text1"/>
          <w:sz w:val="32"/>
          <w:szCs w:val="32"/>
          <w:shd w:val="clear" w:color="auto" w:fill="FFFFFF"/>
          <w14:textFill>
            <w14:solidFill>
              <w14:schemeClr w14:val="tx1"/>
            </w14:solidFill>
          </w14:textFill>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snapToGrid w:val="0"/>
        <w:spacing w:beforeAutospacing="0" w:afterAutospacing="0" w:line="560" w:lineRule="exact"/>
        <w:ind w:firstLine="640" w:firstLineChars="200"/>
        <w:rPr>
          <w:rFonts w:ascii="Times New Roman" w:hAnsi="Times New Roman" w:eastAsia="方正仿宋_GBK"/>
          <w:bCs/>
          <w:color w:val="000000" w:themeColor="text1"/>
          <w:sz w:val="32"/>
          <w:szCs w:val="32"/>
          <w14:textFill>
            <w14:solidFill>
              <w14:schemeClr w14:val="tx1"/>
            </w14:solidFill>
          </w14:textFill>
        </w:rPr>
      </w:pPr>
      <w:r>
        <w:rPr>
          <w:rStyle w:val="8"/>
          <w:rFonts w:hint="eastAsia" w:ascii="方正楷体_GBK" w:eastAsia="方正楷体_GBK"/>
          <w:b w:val="0"/>
          <w:bCs/>
          <w:color w:val="000000" w:themeColor="text1"/>
          <w:sz w:val="32"/>
          <w:szCs w:val="32"/>
          <w:shd w:val="clear" w:color="auto" w:fill="FFFFFF"/>
          <w14:textFill>
            <w14:solidFill>
              <w14:schemeClr w14:val="tx1"/>
            </w14:solidFill>
          </w14:textFill>
        </w:rPr>
        <w:t>（十三）机关运行经费</w:t>
      </w:r>
      <w:r>
        <w:rPr>
          <w:rFonts w:hint="eastAsia" w:ascii="方正楷体_GBK" w:hAnsi="Times New Roman" w:eastAsia="方正楷体_GBK"/>
          <w:bCs/>
          <w:color w:val="000000" w:themeColor="text1"/>
          <w:sz w:val="32"/>
          <w:szCs w:val="32"/>
          <w:shd w:val="clear" w:color="auto" w:fill="FFFFFF"/>
          <w14:textFill>
            <w14:solidFill>
              <w14:schemeClr w14:val="tx1"/>
            </w14:solidFill>
          </w14:textFill>
        </w:rPr>
        <w:t>：</w:t>
      </w:r>
      <w:r>
        <w:rPr>
          <w:rFonts w:ascii="Times New Roman" w:hAnsi="Times New Roman" w:eastAsia="方正仿宋_GBK"/>
          <w:bCs/>
          <w:color w:val="000000" w:themeColor="text1"/>
          <w:sz w:val="32"/>
          <w:szCs w:val="32"/>
          <w:shd w:val="clear" w:color="auto" w:fill="FFFFFF"/>
          <w14:textFill>
            <w14:solidFill>
              <w14:schemeClr w14:val="tx1"/>
            </w14:solidFill>
          </w14:textFill>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4"/>
        <w:snapToGrid w:val="0"/>
        <w:spacing w:beforeAutospacing="0" w:afterAutospacing="0" w:line="560" w:lineRule="exact"/>
        <w:ind w:firstLine="640" w:firstLineChars="200"/>
        <w:rPr>
          <w:rFonts w:ascii="Times New Roman" w:hAnsi="Times New Roman" w:eastAsia="方正仿宋_GBK"/>
          <w:bCs/>
          <w:color w:val="000000" w:themeColor="text1"/>
          <w:sz w:val="32"/>
          <w:szCs w:val="32"/>
          <w14:textFill>
            <w14:solidFill>
              <w14:schemeClr w14:val="tx1"/>
            </w14:solidFill>
          </w14:textFill>
        </w:rPr>
      </w:pPr>
      <w:r>
        <w:rPr>
          <w:rStyle w:val="8"/>
          <w:rFonts w:hint="eastAsia" w:ascii="方正楷体_GBK" w:eastAsia="方正楷体_GBK"/>
          <w:b w:val="0"/>
          <w:bCs/>
          <w:color w:val="000000" w:themeColor="text1"/>
          <w:sz w:val="32"/>
          <w:szCs w:val="32"/>
          <w:shd w:val="clear" w:color="auto" w:fill="FFFFFF"/>
          <w14:textFill>
            <w14:solidFill>
              <w14:schemeClr w14:val="tx1"/>
            </w14:solidFill>
          </w14:textFill>
        </w:rPr>
        <w:t>（十四）工资福利支出（支出经济分类科目类级）</w:t>
      </w:r>
      <w:r>
        <w:rPr>
          <w:rFonts w:hint="eastAsia" w:ascii="方正楷体_GBK" w:hAnsi="Times New Roman" w:eastAsia="方正楷体_GBK"/>
          <w:bCs/>
          <w:color w:val="000000" w:themeColor="text1"/>
          <w:sz w:val="32"/>
          <w:szCs w:val="32"/>
          <w:shd w:val="clear" w:color="auto" w:fill="FFFFFF"/>
          <w14:textFill>
            <w14:solidFill>
              <w14:schemeClr w14:val="tx1"/>
            </w14:solidFill>
          </w14:textFill>
        </w:rPr>
        <w:t>：</w:t>
      </w:r>
      <w:r>
        <w:rPr>
          <w:rFonts w:ascii="Times New Roman" w:hAnsi="Times New Roman" w:eastAsia="方正仿宋_GBK"/>
          <w:bCs/>
          <w:color w:val="000000" w:themeColor="text1"/>
          <w:sz w:val="32"/>
          <w:szCs w:val="32"/>
          <w:shd w:val="clear" w:color="auto" w:fill="FFFFFF"/>
          <w14:textFill>
            <w14:solidFill>
              <w14:schemeClr w14:val="tx1"/>
            </w14:solidFill>
          </w14:textFill>
        </w:rPr>
        <w:t>反映单位开支的在职职工和编制外长期聘用人员的各类劳动报酬，以及为上述人员缴纳的各项社会保险费等。</w:t>
      </w:r>
    </w:p>
    <w:p>
      <w:pPr>
        <w:pStyle w:val="4"/>
        <w:snapToGrid w:val="0"/>
        <w:spacing w:beforeAutospacing="0" w:afterAutospacing="0" w:line="560" w:lineRule="exact"/>
        <w:ind w:firstLine="640" w:firstLineChars="200"/>
        <w:rPr>
          <w:rFonts w:ascii="Times New Roman" w:hAnsi="Times New Roman" w:eastAsia="方正仿宋_GBK"/>
          <w:bCs/>
          <w:color w:val="000000" w:themeColor="text1"/>
          <w:sz w:val="32"/>
          <w:szCs w:val="32"/>
          <w14:textFill>
            <w14:solidFill>
              <w14:schemeClr w14:val="tx1"/>
            </w14:solidFill>
          </w14:textFill>
        </w:rPr>
      </w:pPr>
      <w:r>
        <w:rPr>
          <w:rStyle w:val="8"/>
          <w:rFonts w:hint="eastAsia" w:ascii="方正楷体_GBK" w:eastAsia="方正楷体_GBK"/>
          <w:b w:val="0"/>
          <w:bCs/>
          <w:color w:val="000000" w:themeColor="text1"/>
          <w:sz w:val="32"/>
          <w:szCs w:val="32"/>
          <w:shd w:val="clear" w:color="auto" w:fill="FFFFFF"/>
          <w14:textFill>
            <w14:solidFill>
              <w14:schemeClr w14:val="tx1"/>
            </w14:solidFill>
          </w14:textFill>
        </w:rPr>
        <w:t>（十五）商品和服务支出（支出经济分类科目类级）</w:t>
      </w:r>
      <w:r>
        <w:rPr>
          <w:rFonts w:hint="eastAsia" w:ascii="方正楷体_GBK" w:hAnsi="Times New Roman" w:eastAsia="方正楷体_GBK"/>
          <w:bCs/>
          <w:color w:val="000000" w:themeColor="text1"/>
          <w:sz w:val="32"/>
          <w:szCs w:val="32"/>
          <w:shd w:val="clear" w:color="auto" w:fill="FFFFFF"/>
          <w14:textFill>
            <w14:solidFill>
              <w14:schemeClr w14:val="tx1"/>
            </w14:solidFill>
          </w14:textFill>
        </w:rPr>
        <w:t>：</w:t>
      </w:r>
      <w:r>
        <w:rPr>
          <w:rFonts w:ascii="Times New Roman" w:hAnsi="Times New Roman" w:eastAsia="方正仿宋_GBK"/>
          <w:bCs/>
          <w:color w:val="000000" w:themeColor="text1"/>
          <w:sz w:val="32"/>
          <w:szCs w:val="32"/>
          <w:shd w:val="clear" w:color="auto" w:fill="FFFFFF"/>
          <w14:textFill>
            <w14:solidFill>
              <w14:schemeClr w14:val="tx1"/>
            </w14:solidFill>
          </w14:textFill>
        </w:rPr>
        <w:t>反映单位购买商品和服务的支出（不包括用于购置固定资产的支出、战略性和应急储备支出）。</w:t>
      </w:r>
    </w:p>
    <w:p>
      <w:pPr>
        <w:pStyle w:val="4"/>
        <w:snapToGrid w:val="0"/>
        <w:spacing w:beforeAutospacing="0" w:afterAutospacing="0" w:line="560" w:lineRule="exact"/>
        <w:ind w:firstLine="640" w:firstLineChars="200"/>
        <w:rPr>
          <w:rFonts w:ascii="Times New Roman" w:hAnsi="Times New Roman" w:eastAsia="方正仿宋_GBK"/>
          <w:bCs/>
          <w:color w:val="000000" w:themeColor="text1"/>
          <w:sz w:val="32"/>
          <w:szCs w:val="32"/>
          <w14:textFill>
            <w14:solidFill>
              <w14:schemeClr w14:val="tx1"/>
            </w14:solidFill>
          </w14:textFill>
        </w:rPr>
      </w:pPr>
      <w:r>
        <w:rPr>
          <w:rStyle w:val="8"/>
          <w:rFonts w:hint="eastAsia" w:ascii="方正楷体_GBK" w:eastAsia="方正楷体_GBK"/>
          <w:b w:val="0"/>
          <w:bCs/>
          <w:color w:val="000000" w:themeColor="text1"/>
          <w:sz w:val="32"/>
          <w:szCs w:val="32"/>
          <w:shd w:val="clear" w:color="auto" w:fill="FFFFFF"/>
          <w14:textFill>
            <w14:solidFill>
              <w14:schemeClr w14:val="tx1"/>
            </w14:solidFill>
          </w14:textFill>
        </w:rPr>
        <w:t>（十六）对个人和家庭的补助（支出经济分类科目类级）</w:t>
      </w:r>
      <w:r>
        <w:rPr>
          <w:rFonts w:hint="eastAsia" w:ascii="方正楷体_GBK" w:hAnsi="Times New Roman" w:eastAsia="方正楷体_GBK"/>
          <w:bCs/>
          <w:color w:val="000000" w:themeColor="text1"/>
          <w:sz w:val="32"/>
          <w:szCs w:val="32"/>
          <w:shd w:val="clear" w:color="auto" w:fill="FFFFFF"/>
          <w14:textFill>
            <w14:solidFill>
              <w14:schemeClr w14:val="tx1"/>
            </w14:solidFill>
          </w14:textFill>
        </w:rPr>
        <w:t>：</w:t>
      </w:r>
      <w:r>
        <w:rPr>
          <w:rFonts w:ascii="Times New Roman" w:hAnsi="Times New Roman" w:eastAsia="方正仿宋_GBK"/>
          <w:bCs/>
          <w:color w:val="000000" w:themeColor="text1"/>
          <w:sz w:val="32"/>
          <w:szCs w:val="32"/>
          <w:shd w:val="clear" w:color="auto" w:fill="FFFFFF"/>
          <w14:textFill>
            <w14:solidFill>
              <w14:schemeClr w14:val="tx1"/>
            </w14:solidFill>
          </w14:textFill>
        </w:rPr>
        <w:t>反映用于对个人和家庭的补助支出。</w:t>
      </w:r>
    </w:p>
    <w:p>
      <w:pPr>
        <w:pStyle w:val="4"/>
        <w:snapToGrid w:val="0"/>
        <w:spacing w:beforeAutospacing="0" w:afterAutospacing="0" w:line="560" w:lineRule="exact"/>
        <w:ind w:firstLine="640" w:firstLineChars="200"/>
        <w:rPr>
          <w:rFonts w:ascii="Times New Roman" w:hAnsi="Times New Roman" w:eastAsia="方正仿宋_GBK"/>
          <w:bCs/>
          <w:color w:val="000000" w:themeColor="text1"/>
          <w:sz w:val="32"/>
          <w:szCs w:val="32"/>
          <w14:textFill>
            <w14:solidFill>
              <w14:schemeClr w14:val="tx1"/>
            </w14:solidFill>
          </w14:textFill>
        </w:rPr>
      </w:pPr>
      <w:r>
        <w:rPr>
          <w:rStyle w:val="8"/>
          <w:rFonts w:hint="eastAsia" w:ascii="方正楷体_GBK" w:eastAsia="方正楷体_GBK"/>
          <w:b w:val="0"/>
          <w:bCs/>
          <w:color w:val="000000" w:themeColor="text1"/>
          <w:sz w:val="32"/>
          <w:szCs w:val="32"/>
          <w:shd w:val="clear" w:color="auto" w:fill="FFFFFF"/>
          <w14:textFill>
            <w14:solidFill>
              <w14:schemeClr w14:val="tx1"/>
            </w14:solidFill>
          </w14:textFill>
        </w:rPr>
        <w:t>（十七）其他资本性支出（支出经济分类科目类级）</w:t>
      </w:r>
      <w:r>
        <w:rPr>
          <w:rFonts w:hint="eastAsia" w:ascii="方正楷体_GBK" w:hAnsi="Times New Roman" w:eastAsia="方正楷体_GBK"/>
          <w:bCs/>
          <w:color w:val="000000" w:themeColor="text1"/>
          <w:sz w:val="32"/>
          <w:szCs w:val="32"/>
          <w:shd w:val="clear" w:color="auto" w:fill="FFFFFF"/>
          <w14:textFill>
            <w14:solidFill>
              <w14:schemeClr w14:val="tx1"/>
            </w14:solidFill>
          </w14:textFill>
        </w:rPr>
        <w:t>：</w:t>
      </w:r>
      <w:r>
        <w:rPr>
          <w:rFonts w:ascii="Times New Roman" w:hAnsi="Times New Roman" w:eastAsia="方正仿宋_GBK"/>
          <w:bCs/>
          <w:color w:val="000000" w:themeColor="text1"/>
          <w:sz w:val="32"/>
          <w:szCs w:val="32"/>
          <w:shd w:val="clear" w:color="auto" w:fill="FFFFFF"/>
          <w14:textFill>
            <w14:solidFill>
              <w14:schemeClr w14:val="tx1"/>
            </w14:solidFill>
          </w14:textFill>
        </w:rPr>
        <w:t>反映非各级发展与改革部门集中安排的用于购置固定资产、战略性和应急性储备、土地和无形资产，以及构建基础设施、大型修缮和财政支持企业更新改造所发生的支出。</w:t>
      </w:r>
    </w:p>
    <w:p>
      <w:pPr>
        <w:pStyle w:val="4"/>
        <w:snapToGrid w:val="0"/>
        <w:spacing w:beforeAutospacing="0" w:afterAutospacing="0" w:line="560" w:lineRule="exact"/>
        <w:ind w:firstLine="640" w:firstLineChars="200"/>
        <w:rPr>
          <w:rFonts w:ascii="Times New Roman" w:hAnsi="Times New Roman" w:eastAsia="方正黑体_GBK"/>
          <w:bCs/>
          <w:color w:val="000000" w:themeColor="text1"/>
          <w:sz w:val="32"/>
          <w:szCs w:val="32"/>
          <w14:textFill>
            <w14:solidFill>
              <w14:schemeClr w14:val="tx1"/>
            </w14:solidFill>
          </w14:textFill>
        </w:rPr>
      </w:pPr>
      <w:r>
        <w:rPr>
          <w:rStyle w:val="8"/>
          <w:rFonts w:eastAsia="方正黑体_GBK"/>
          <w:b w:val="0"/>
          <w:bCs/>
          <w:color w:val="000000" w:themeColor="text1"/>
          <w:sz w:val="32"/>
          <w:szCs w:val="32"/>
          <w:shd w:val="clear" w:color="auto" w:fill="FFFFFF"/>
          <w14:textFill>
            <w14:solidFill>
              <w14:schemeClr w14:val="tx1"/>
            </w14:solidFill>
          </w14:textFill>
        </w:rPr>
        <w:t>七、决算公开联系方式及信息反馈渠道</w:t>
      </w:r>
    </w:p>
    <w:p>
      <w:pPr>
        <w:pStyle w:val="4"/>
        <w:snapToGrid w:val="0"/>
        <w:spacing w:beforeAutospacing="0" w:afterAutospacing="0" w:line="560" w:lineRule="exact"/>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shd w:val="clear" w:color="auto" w:fill="FFFFFF"/>
          <w14:textFill>
            <w14:solidFill>
              <w14:schemeClr w14:val="tx1"/>
            </w14:solidFill>
          </w14:textFill>
        </w:rPr>
        <w:t xml:space="preserve"> </w:t>
      </w:r>
      <w:r>
        <w:rPr>
          <w:rFonts w:ascii="Times New Roman" w:hAnsi="Times New Roman" w:eastAsia="方正仿宋_GBK"/>
          <w:bCs/>
          <w:color w:val="000000" w:themeColor="text1"/>
          <w:sz w:val="32"/>
          <w:szCs w:val="32"/>
          <w:shd w:val="clear" w:color="auto" w:fill="FFFFFF"/>
          <w14:textFill>
            <w14:solidFill>
              <w14:schemeClr w14:val="tx1"/>
            </w14:solidFill>
          </w14:textFill>
        </w:rPr>
        <w:t xml:space="preserve">   本单位决算公开信息反馈和联系方式：联系人：刘杰    联系电话：023-59222756</w:t>
      </w:r>
    </w:p>
    <w:p>
      <w:pPr>
        <w:spacing w:line="560" w:lineRule="exact"/>
        <w:rPr>
          <w:rFonts w:ascii="Times New Roman" w:hAnsi="Times New Roman" w:eastAsia="方正仿宋_GBK" w:cs="Times New Roman"/>
          <w:bCs/>
          <w:color w:val="000000" w:themeColor="text1"/>
          <w14:textFill>
            <w14:solidFill>
              <w14:schemeClr w14:val="tx1"/>
            </w14:solidFill>
          </w14:textFill>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450FC7"/>
    <w:rsid w:val="00002E78"/>
    <w:rsid w:val="000567D2"/>
    <w:rsid w:val="00142EB8"/>
    <w:rsid w:val="002102A4"/>
    <w:rsid w:val="00252F65"/>
    <w:rsid w:val="002A3F65"/>
    <w:rsid w:val="002C6EEC"/>
    <w:rsid w:val="003940F4"/>
    <w:rsid w:val="003D5270"/>
    <w:rsid w:val="004765EB"/>
    <w:rsid w:val="00512D7D"/>
    <w:rsid w:val="005B78C0"/>
    <w:rsid w:val="0060567C"/>
    <w:rsid w:val="00627652"/>
    <w:rsid w:val="006D7ACA"/>
    <w:rsid w:val="007324BB"/>
    <w:rsid w:val="00792D0E"/>
    <w:rsid w:val="008A0ECD"/>
    <w:rsid w:val="009E3A7F"/>
    <w:rsid w:val="00A92115"/>
    <w:rsid w:val="00B67EA5"/>
    <w:rsid w:val="00B82C34"/>
    <w:rsid w:val="00CF6705"/>
    <w:rsid w:val="00D14FA0"/>
    <w:rsid w:val="00D15B93"/>
    <w:rsid w:val="00E0529A"/>
    <w:rsid w:val="00F7689C"/>
    <w:rsid w:val="00F76F24"/>
    <w:rsid w:val="07716FEC"/>
    <w:rsid w:val="092E3988"/>
    <w:rsid w:val="3F950241"/>
    <w:rsid w:val="481E6D61"/>
    <w:rsid w:val="4F450F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rFonts w:ascii="宋体" w:hAnsi="宋体" w:eastAsia="宋体" w:cs="Times New Roman"/>
      <w:kern w:val="0"/>
      <w:sz w:val="24"/>
    </w:rPr>
  </w:style>
  <w:style w:type="character" w:styleId="7">
    <w:name w:val="Strong"/>
    <w:basedOn w:val="6"/>
    <w:qFormat/>
    <w:uiPriority w:val="22"/>
    <w:rPr>
      <w:b/>
      <w:bCs/>
    </w:rPr>
  </w:style>
  <w:style w:type="character" w:customStyle="1" w:styleId="8">
    <w:name w:val="15"/>
    <w:basedOn w:val="6"/>
    <w:uiPriority w:val="0"/>
    <w:rPr>
      <w:rFonts w:hint="default" w:ascii="Times New Roman" w:hAnsi="Times New Roman" w:cs="Times New Roman"/>
      <w:b/>
    </w:rPr>
  </w:style>
  <w:style w:type="character" w:customStyle="1" w:styleId="9">
    <w:name w:val="10"/>
    <w:basedOn w:val="6"/>
    <w:qFormat/>
    <w:uiPriority w:val="0"/>
    <w:rPr>
      <w:rFonts w:hint="default" w:ascii="Times New Roman" w:hAnsi="Times New Roman" w:cs="Times New Roman"/>
    </w:rPr>
  </w:style>
  <w:style w:type="character" w:customStyle="1" w:styleId="10">
    <w:name w:val="页眉 Char"/>
    <w:basedOn w:val="6"/>
    <w:link w:val="3"/>
    <w:qFormat/>
    <w:uiPriority w:val="0"/>
    <w:rPr>
      <w:rFonts w:asciiTheme="minorHAnsi" w:hAnsiTheme="minorHAnsi" w:eastAsiaTheme="minorEastAsia" w:cstheme="minorBidi"/>
      <w:kern w:val="2"/>
      <w:sz w:val="18"/>
      <w:szCs w:val="18"/>
    </w:rPr>
  </w:style>
  <w:style w:type="character" w:customStyle="1" w:styleId="11">
    <w:name w:val="页脚 Char"/>
    <w:basedOn w:val="6"/>
    <w:link w:val="2"/>
    <w:qFormat/>
    <w:uiPriority w:val="0"/>
    <w:rPr>
      <w:rFonts w:asciiTheme="minorHAnsi" w:hAnsiTheme="minorHAnsi" w:eastAsiaTheme="minorEastAsia" w:cstheme="minorBidi"/>
      <w:kern w:val="2"/>
      <w:sz w:val="18"/>
      <w:szCs w:val="18"/>
    </w:rPr>
  </w:style>
  <w:style w:type="paragraph" w:styleId="12">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658</Words>
  <Characters>3753</Characters>
  <Lines>31</Lines>
  <Paragraphs>8</Paragraphs>
  <TotalTime>2</TotalTime>
  <ScaleCrop>false</ScaleCrop>
  <LinksUpToDate>false</LinksUpToDate>
  <CharactersWithSpaces>4403</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2021-10-13T02:23:00Z</dcterms:created>
  <dc:creator>Administrator</dc:creator>
  <cp:lastModifiedBy>Administrator</cp:lastModifiedBy>
  <dcterms:modified xsi:type="dcterms:W3CDTF">2021-10-13T02:24:49Z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