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Times New Roman" w:hAnsi="Times New Roman" w:eastAsia="方正小标宋_GBK" w:cs="Times New Roman"/>
          <w:sz w:val="44"/>
          <w:szCs w:val="44"/>
        </w:rPr>
      </w:pPr>
      <w:bookmarkStart w:id="0" w:name="_GoBack"/>
      <w:bookmarkEnd w:id="0"/>
      <w:r>
        <w:rPr>
          <w:rFonts w:ascii="Times New Roman" w:hAnsi="Times New Roman" w:eastAsia="方正小标宋_GBK" w:cs="Times New Roman"/>
          <w:sz w:val="44"/>
          <w:szCs w:val="44"/>
        </w:rPr>
        <w:t>重庆市中国共产党城口县委员会组织部</w:t>
      </w:r>
    </w:p>
    <w:p>
      <w:pPr>
        <w:pStyle w:val="4"/>
        <w:shd w:val="clear" w:color="auto" w:fill="FFFFFF"/>
        <w:spacing w:before="0" w:beforeAutospacing="0" w:after="0" w:afterAutospacing="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2019年度部门决算情况说明</w:t>
      </w:r>
    </w:p>
    <w:p>
      <w:pPr>
        <w:pStyle w:val="4"/>
        <w:shd w:val="clear" w:color="auto" w:fill="FFFFFF"/>
        <w:spacing w:before="0" w:beforeAutospacing="0" w:after="0" w:afterAutospacing="0"/>
        <w:ind w:firstLine="640" w:firstLineChars="200"/>
        <w:jc w:val="both"/>
        <w:rPr>
          <w:rFonts w:ascii="Times New Roman" w:hAnsi="Times New Roman" w:cs="Times New Roman"/>
          <w:sz w:val="32"/>
          <w:szCs w:val="32"/>
          <w:shd w:val="clear" w:color="auto" w:fill="FFFF00"/>
        </w:rPr>
      </w:pPr>
    </w:p>
    <w:p>
      <w:pPr>
        <w:pStyle w:val="4"/>
        <w:shd w:val="clear" w:color="auto" w:fill="FFFFFF"/>
        <w:spacing w:before="0" w:beforeAutospacing="0" w:after="0" w:afterAutospacing="0"/>
        <w:ind w:firstLine="627" w:firstLineChars="196"/>
        <w:jc w:val="both"/>
        <w:rPr>
          <w:rFonts w:ascii="Times New Roman" w:hAnsi="Times New Roman" w:cs="Times New Roman"/>
          <w:sz w:val="32"/>
          <w:szCs w:val="32"/>
        </w:rPr>
      </w:pPr>
      <w:r>
        <w:rPr>
          <w:rStyle w:val="7"/>
          <w:rFonts w:ascii="Times New Roman" w:hAnsi="Times New Roman" w:eastAsia="方正黑体_GBK" w:cs="Times New Roman"/>
          <w:b w:val="0"/>
          <w:sz w:val="32"/>
          <w:szCs w:val="32"/>
        </w:rPr>
        <w:t>一、部门基本情况</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楷体_GBK" w:cs="Times New Roman"/>
          <w:bCs/>
          <w:sz w:val="32"/>
          <w:szCs w:val="32"/>
        </w:rPr>
        <w:t>（一）职能职责。</w:t>
      </w:r>
      <w:r>
        <w:rPr>
          <w:rFonts w:ascii="Times New Roman" w:hAnsi="Times New Roman" w:eastAsia="方正仿宋_GBK" w:cs="Times New Roman"/>
          <w:color w:val="000000"/>
          <w:sz w:val="32"/>
          <w:szCs w:val="32"/>
        </w:rPr>
        <w:t>中共城口县委组织部是主管全县组织工作、干部工作和人才工作的县委工作部门。主要有以下职能：</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贯彻执行党的组织路线、方针、政策，制定、实施全县党的建设工作意见，指导全县基层党组织建设和各级党组织换届工作；负责对各系统党的建设工作的指导、协调和宏观管理。指导全县党员发展、教育和管理工作；承担全县党费收缴、管理和使用工作；承办县委党建工作领导小组办公室日常工作。</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2.贯彻执行党的干部工作路线方针政策；研究制定和实施全县干部队伍建设、领导班子建设的意见和规划；负责县管领导班子和领导干部考核工作。</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3.按照市委及市委组织部对干部监督工作的总体要求，提出全县干部监督工作意见，督促、检查全县各级党政领导班子贯彻执行《党政领导干部选拔任用工作条例》及相关政策落实情况。</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4.负责全县人才工作的牵头抓总、宏观指导、综合协调和督导检查；研究拟订落实人才队伍建设规划、政策措施；统筹推进全县人才队伍建设；承担县委人才工作领导小组日常工作职责。</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5.主管全县干部教育培训工作，负责全县干部教育培训工作的整体规划、宏观指导、协调服务和督促检查。指导县委党校建设；统筹、指导、协调、检查全县各乡镇、街道、各部门的干部教育培训工作。</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6.统一管理全县公务员录用调配、考核奖惩、培训和工资福利等事务，贯彻落实公务员管理政策和法律法规，指导全县公务员队伍建设和绩效管理。</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7.负责全县干部人事档案管理和宏观指导。</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8.加强组织系统自身建设；负责全县组织、干部信息管理工作和办公自动化建设。</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9.负责对全县老干部工作的宏观管理，负责关心下一代工作委员会日常工作。</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10.负责县委直属机关工作委员会、县委非公有制经济组织和社会组织党的建设工作。</w:t>
      </w:r>
    </w:p>
    <w:p>
      <w:pPr>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11.统一归口管理县委机构编制委员会办公室。</w:t>
      </w:r>
    </w:p>
    <w:p>
      <w:pPr>
        <w:ind w:firstLine="473" w:firstLineChars="148"/>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（二）机构设置。</w:t>
      </w:r>
      <w:r>
        <w:rPr>
          <w:rFonts w:ascii="Times New Roman" w:hAnsi="Times New Roman" w:eastAsia="方正仿宋_GBK" w:cs="Times New Roman"/>
          <w:color w:val="000000"/>
          <w:sz w:val="32"/>
          <w:szCs w:val="32"/>
        </w:rPr>
        <w:t>中共城口县委组织部是主管全县组织工作、干部工作和人才工作的县委工作部门，为正科级。挂中共城口县委直属机关工作委员会、中共城口县委老干部局、城口县公务员局三块牌子。中共城口县委非公有制经济组织和社会组织工作委员会与中共城口县委组织部合署办公。</w:t>
      </w:r>
      <w:r>
        <w:rPr>
          <w:rFonts w:ascii="Times New Roman" w:hAnsi="Times New Roman" w:eastAsia="方正仿宋_GBK" w:cs="Times New Roman"/>
          <w:sz w:val="32"/>
          <w:szCs w:val="32"/>
        </w:rPr>
        <w:t>内设办公室（信息调研科）、组织一科、组织二科、非公党建科、机关工委综合科、干部科、公务员管理科、人才科、干部教育科、干部监督科（信访工作科）、老干部管理科等11个科室，下属县委组织部党员教育中心和城口县老干部活动中心2个参公事业单位、城口县考核中心和城口县干部人事档案管理服务中心2个事业单位，我部总编制人数36个，其中：行政编制17名，机关后勤事业编制1名，参公编制12人，事业编制6人，</w:t>
      </w:r>
      <w:r>
        <w:rPr>
          <w:rFonts w:ascii="Times New Roman" w:hAnsi="Times New Roman" w:eastAsia="方正仿宋_GBK" w:cs="Times New Roman"/>
          <w:sz w:val="32"/>
          <w:szCs w:val="32"/>
          <w:lang w:val="zh-CN"/>
        </w:rPr>
        <w:t>2019年年末</w:t>
      </w:r>
      <w:r>
        <w:rPr>
          <w:rFonts w:ascii="Times New Roman" w:hAnsi="Times New Roman" w:eastAsia="方正仿宋_GBK" w:cs="Times New Roman"/>
          <w:sz w:val="32"/>
          <w:szCs w:val="32"/>
        </w:rPr>
        <w:t>财政供养人员共28人。</w:t>
      </w:r>
    </w:p>
    <w:p>
      <w:pPr>
        <w:ind w:firstLine="636" w:firstLineChars="198"/>
        <w:jc w:val="both"/>
        <w:rPr>
          <w:rFonts w:ascii="Times New Roman" w:hAnsi="Times New Roman" w:eastAsia="方正仿宋_GBK" w:cs="Times New Roman"/>
          <w:sz w:val="32"/>
          <w:szCs w:val="32"/>
        </w:rPr>
      </w:pPr>
      <w:r>
        <w:rPr>
          <w:rStyle w:val="7"/>
          <w:rFonts w:ascii="Times New Roman" w:hAnsi="Times New Roman" w:cs="Times New Roman"/>
          <w:sz w:val="32"/>
          <w:szCs w:val="32"/>
        </w:rPr>
        <w:t> </w:t>
      </w:r>
      <w:r>
        <w:rPr>
          <w:rFonts w:ascii="Times New Roman" w:hAnsi="Times New Roman" w:eastAsia="方正楷体_GBK" w:cs="Times New Roman"/>
          <w:sz w:val="32"/>
          <w:szCs w:val="32"/>
        </w:rPr>
        <w:t>（三）单位构成。</w:t>
      </w:r>
      <w:r>
        <w:rPr>
          <w:rFonts w:ascii="Times New Roman" w:hAnsi="Times New Roman" w:eastAsia="方正仿宋_GBK" w:cs="Times New Roman"/>
          <w:sz w:val="32"/>
          <w:szCs w:val="32"/>
        </w:rPr>
        <w:t>从预算单位构成看，</w:t>
      </w:r>
      <w:r>
        <w:rPr>
          <w:rFonts w:ascii="Times New Roman" w:hAnsi="Times New Roman" w:eastAsia="方正仿宋_GBK" w:cs="Times New Roman"/>
          <w:color w:val="000000"/>
          <w:sz w:val="32"/>
          <w:szCs w:val="32"/>
        </w:rPr>
        <w:t>县委组织部</w:t>
      </w:r>
      <w:r>
        <w:rPr>
          <w:rFonts w:ascii="Times New Roman" w:hAnsi="Times New Roman" w:eastAsia="方正仿宋_GBK" w:cs="Times New Roman"/>
          <w:sz w:val="32"/>
          <w:szCs w:val="32"/>
        </w:rPr>
        <w:t>是独立核算的全额财政拨款的行政机关单位，为一级预算单位，下属县委组织部党员教育中心和城口县老干部活动中心2个参公事业单位、城口县考核中心和城口县干部人事档案管理服务中心2个事业单位，机关与下属事业单位预算资金统筹安排使用。</w:t>
      </w:r>
    </w:p>
    <w:p>
      <w:pPr>
        <w:ind w:firstLine="482" w:firstLineChars="150"/>
        <w:jc w:val="both"/>
        <w:rPr>
          <w:rFonts w:ascii="Times New Roman" w:hAnsi="Times New Roman" w:eastAsia="方正仿宋_GBK" w:cs="Times New Roman"/>
          <w:sz w:val="32"/>
          <w:szCs w:val="32"/>
        </w:rPr>
      </w:pPr>
      <w:r>
        <w:rPr>
          <w:rStyle w:val="7"/>
          <w:rFonts w:ascii="Times New Roman" w:hAnsi="Times New Roman" w:cs="Times New Roman"/>
          <w:sz w:val="32"/>
          <w:szCs w:val="32"/>
        </w:rPr>
        <w:t> </w:t>
      </w:r>
      <w:r>
        <w:rPr>
          <w:rStyle w:val="7"/>
          <w:rFonts w:ascii="Times New Roman" w:hAnsi="Times New Roman" w:eastAsia="方正楷体_GBK" w:cs="Times New Roman"/>
          <w:b w:val="0"/>
          <w:sz w:val="32"/>
          <w:szCs w:val="32"/>
        </w:rPr>
        <w:t>（四）机构改革情况。</w:t>
      </w:r>
      <w:r>
        <w:rPr>
          <w:rFonts w:ascii="Times New Roman" w:hAnsi="Times New Roman" w:eastAsia="方正仿宋_GBK" w:cs="Times New Roman"/>
          <w:sz w:val="32"/>
          <w:szCs w:val="32"/>
        </w:rPr>
        <w:t>中共城口县委组织部是主管全县组织工作、干部工作和人才工作的县委工作部门。挂中共城口县委直属机关工作委员会、中共城口县委老干部局、城口县公务员局三块牌子。中共城口县委非公有制经济组织和社会组织工作委员会与中共城口县委组织部合署办公。职责上新增统一管理全县公务员录用调配、考核奖惩、培训等事务，贯彻落实公务员管理政策和法律法规，指导全县公务员队伍建设和绩效管理。负责关心下一代工作委员会日常工作，统一归口管理县委机构编制委员会办公室。2019年不涉及财政财务调整情况，2019年将关工委相关经费预算划转至县委组织部统筹安排。</w:t>
      </w:r>
    </w:p>
    <w:p>
      <w:pPr>
        <w:pStyle w:val="4"/>
        <w:shd w:val="clear" w:color="auto" w:fill="FFFFFF"/>
        <w:spacing w:before="0" w:beforeAutospacing="0" w:after="0" w:afterAutospacing="0"/>
        <w:ind w:firstLine="640" w:firstLineChars="200"/>
        <w:jc w:val="both"/>
        <w:rPr>
          <w:rFonts w:ascii="Times New Roman" w:hAnsi="Times New Roman" w:eastAsia="方正黑体_GBK" w:cs="Times New Roman"/>
          <w:b/>
          <w:sz w:val="32"/>
          <w:szCs w:val="32"/>
        </w:rPr>
      </w:pPr>
      <w:r>
        <w:rPr>
          <w:rStyle w:val="7"/>
          <w:rFonts w:ascii="Times New Roman" w:hAnsi="Times New Roman" w:eastAsia="方正黑体_GBK" w:cs="Times New Roman"/>
          <w:b w:val="0"/>
          <w:sz w:val="32"/>
          <w:szCs w:val="32"/>
        </w:rPr>
        <w:t>二、部门决算情况说明</w:t>
      </w:r>
    </w:p>
    <w:p>
      <w:pPr>
        <w:pStyle w:val="4"/>
        <w:shd w:val="clear" w:color="auto" w:fill="FFFFFF"/>
        <w:spacing w:before="0" w:beforeAutospacing="0" w:after="0" w:afterAutospacing="0"/>
        <w:ind w:firstLine="640" w:firstLineChars="200"/>
        <w:jc w:val="both"/>
        <w:rPr>
          <w:rFonts w:ascii="Times New Roman" w:hAnsi="Times New Roman" w:eastAsia="方正楷体_GBK" w:cs="Times New Roman"/>
          <w:b/>
          <w:sz w:val="32"/>
          <w:szCs w:val="32"/>
        </w:rPr>
      </w:pPr>
      <w:r>
        <w:rPr>
          <w:rStyle w:val="7"/>
          <w:rFonts w:ascii="Times New Roman" w:hAnsi="Times New Roman" w:eastAsia="方正楷体_GBK" w:cs="Times New Roman"/>
          <w:b w:val="0"/>
          <w:sz w:val="32"/>
          <w:szCs w:val="32"/>
        </w:rPr>
        <w:t>（一）收入支出决算总体情况说明</w:t>
      </w:r>
    </w:p>
    <w:p>
      <w:pPr>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1.总体情况。</w:t>
      </w:r>
      <w:r>
        <w:rPr>
          <w:rFonts w:ascii="Times New Roman" w:hAnsi="Times New Roman" w:eastAsia="方正仿宋_GBK" w:cs="Times New Roman"/>
          <w:sz w:val="32"/>
          <w:szCs w:val="32"/>
        </w:rPr>
        <w:t>2019年度收入总计1034.10万元，其中，年初结转和结余34.58万元；支出总计1034.10万元，其中年末结转和结余35.17万元。与2018年决算数相比，收入支出增加53.20万元，增长5.42%，主要原因是2019年人员工资调标，机关事业单位基本养老保险和职业年金缴费增加，人员经费和日常公用经费支出同比增加，增加2019年全县村（社区）干部人身意外伤害保险。</w:t>
      </w:r>
    </w:p>
    <w:p>
      <w:pPr>
        <w:pStyle w:val="4"/>
        <w:shd w:val="clear" w:color="auto" w:fill="FFFFFF"/>
        <w:spacing w:before="0" w:beforeAutospacing="0" w:after="0" w:afterAutospacing="0"/>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2.收入情况。</w:t>
      </w:r>
      <w:r>
        <w:rPr>
          <w:rFonts w:ascii="Times New Roman" w:hAnsi="Times New Roman" w:eastAsia="方正仿宋_GBK" w:cs="Times New Roman"/>
          <w:sz w:val="32"/>
          <w:szCs w:val="32"/>
        </w:rPr>
        <w:t>2019年度收入合计999.51万元，较上年决算数增加48.04万元，增长5.05%，主要原因是增加人员工资、日常公用经费、全县村（社区）干部人身意外伤害保险。其中：财政拨款收入998.57万元，占99.91%；其他收入0.95万元，占0.10%；年初结转和结余34.58万元。</w:t>
      </w:r>
    </w:p>
    <w:p>
      <w:pPr>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3.支出情况。</w:t>
      </w:r>
      <w:r>
        <w:rPr>
          <w:rFonts w:ascii="Times New Roman" w:hAnsi="Times New Roman" w:eastAsia="方正仿宋_GBK" w:cs="Times New Roman"/>
          <w:sz w:val="32"/>
          <w:szCs w:val="32"/>
        </w:rPr>
        <w:t>2019年度支出合计998.92万元，较上年决算数增加52.60万元，增长5.56%，主要原因是人员工资和保险费等相关收入增加支出相应增加。其中：基本支出751.89万元，占75.27%；项目支出247.04万元，占24.73%。</w:t>
      </w:r>
    </w:p>
    <w:p>
      <w:pPr>
        <w:pStyle w:val="4"/>
        <w:shd w:val="clear" w:color="auto" w:fill="FFFFFF"/>
        <w:spacing w:before="0" w:beforeAutospacing="0" w:after="0" w:afterAutospacing="0"/>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bCs w:val="0"/>
          <w:sz w:val="32"/>
          <w:szCs w:val="32"/>
        </w:rPr>
        <w:t>4.结转</w:t>
      </w:r>
      <w:r>
        <w:rPr>
          <w:rStyle w:val="7"/>
          <w:rFonts w:ascii="Times New Roman" w:hAnsi="Times New Roman" w:eastAsia="方正仿宋_GBK" w:cs="Times New Roman"/>
          <w:sz w:val="32"/>
          <w:szCs w:val="32"/>
        </w:rPr>
        <w:t>结余</w:t>
      </w:r>
      <w:r>
        <w:rPr>
          <w:rStyle w:val="7"/>
          <w:rFonts w:ascii="Times New Roman" w:hAnsi="Times New Roman" w:eastAsia="方正仿宋_GBK" w:cs="Times New Roman"/>
          <w:bCs w:val="0"/>
          <w:sz w:val="32"/>
          <w:szCs w:val="32"/>
        </w:rPr>
        <w:t>情况。</w:t>
      </w:r>
      <w:r>
        <w:rPr>
          <w:rFonts w:ascii="Times New Roman" w:hAnsi="Times New Roman" w:eastAsia="方正仿宋_GBK" w:cs="Times New Roman"/>
          <w:sz w:val="32"/>
          <w:szCs w:val="32"/>
        </w:rPr>
        <w:t>2019年度年末结转和结余35.17万元，较上年决算数增加0.59万元，增长1.71%，主要原因是其他资金收入</w:t>
      </w:r>
      <w:r>
        <w:rPr>
          <w:rFonts w:hint="eastAsia" w:ascii="Times New Roman" w:hAnsi="Times New Roman" w:eastAsia="方正仿宋_GBK" w:cs="Times New Roman"/>
          <w:sz w:val="32"/>
          <w:szCs w:val="32"/>
        </w:rPr>
        <w:t>开支比例较小</w:t>
      </w:r>
      <w:r>
        <w:rPr>
          <w:rFonts w:ascii="Times New Roman" w:hAnsi="Times New Roman" w:eastAsia="方正仿宋_GBK" w:cs="Times New Roman"/>
          <w:sz w:val="32"/>
          <w:szCs w:val="32"/>
        </w:rPr>
        <w:t>。</w:t>
      </w:r>
    </w:p>
    <w:p>
      <w:pPr>
        <w:pStyle w:val="4"/>
        <w:shd w:val="clear" w:color="auto" w:fill="FFFFFF"/>
        <w:spacing w:before="0" w:beforeAutospacing="0" w:after="0" w:afterAutospacing="0"/>
        <w:ind w:firstLine="640" w:firstLineChars="200"/>
        <w:jc w:val="both"/>
        <w:rPr>
          <w:rStyle w:val="7"/>
          <w:rFonts w:hint="eastAsia" w:ascii="Times New Roman" w:hAnsi="Times New Roman" w:eastAsia="方正楷体_GBK" w:cs="Times New Roman"/>
          <w:sz w:val="32"/>
          <w:szCs w:val="32"/>
        </w:rPr>
      </w:pPr>
      <w:r>
        <w:rPr>
          <w:rStyle w:val="7"/>
          <w:rFonts w:ascii="Times New Roman" w:hAnsi="Times New Roman" w:eastAsia="方正楷体_GBK" w:cs="Times New Roman"/>
          <w:b w:val="0"/>
          <w:sz w:val="32"/>
          <w:szCs w:val="32"/>
        </w:rPr>
        <w:t>（二）财政拨款收入支出决算总体情况说明</w:t>
      </w:r>
    </w:p>
    <w:p>
      <w:pPr>
        <w:pStyle w:val="4"/>
        <w:shd w:val="clear" w:color="auto" w:fill="FFFFFF"/>
        <w:spacing w:before="0" w:beforeAutospacing="0" w:after="0" w:afterAutospacing="0"/>
        <w:ind w:firstLine="640" w:firstLineChars="200"/>
        <w:jc w:val="both"/>
        <w:rPr>
          <w:rFonts w:ascii="Times New Roman" w:hAnsi="Times New Roman" w:eastAsia="方正楷体_GBK" w:cs="Times New Roman"/>
          <w:b/>
          <w:bCs/>
          <w:sz w:val="32"/>
          <w:szCs w:val="32"/>
        </w:rPr>
      </w:pPr>
      <w:r>
        <w:rPr>
          <w:rFonts w:ascii="Times New Roman" w:hAnsi="Times New Roman" w:eastAsia="方正仿宋_GBK" w:cs="Times New Roman"/>
          <w:sz w:val="32"/>
          <w:szCs w:val="32"/>
        </w:rPr>
        <w:t>2019年度财政拨款收、支总计998.57万元。与2018年相比，财政拨款收、支总计各增加99.10万元，增长11.02%。主要原因是</w:t>
      </w:r>
      <w:r>
        <w:rPr>
          <w:rFonts w:hint="eastAsia" w:ascii="Times New Roman" w:hAnsi="Times New Roman" w:eastAsia="方正仿宋_GBK" w:cs="Times New Roman"/>
          <w:sz w:val="32"/>
          <w:szCs w:val="32"/>
        </w:rPr>
        <w:t>年中追加人员经费和养老保险、医疗保险，</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不忘初心、牢记使命</w:t>
      </w:r>
      <w:r>
        <w:rPr>
          <w:rFonts w:ascii="Times New Roman" w:hAnsi="Times New Roman" w:eastAsia="方正仿宋_GBK" w:cs="Times New Roman"/>
          <w:sz w:val="32"/>
          <w:szCs w:val="32"/>
        </w:rPr>
        <w:t>”主题教育专项经费</w:t>
      </w:r>
      <w:r>
        <w:rPr>
          <w:rFonts w:hint="eastAsia" w:ascii="Times New Roman" w:hAnsi="Times New Roman" w:eastAsia="方正仿宋_GBK" w:cs="Times New Roman"/>
          <w:sz w:val="32"/>
          <w:szCs w:val="32"/>
        </w:rPr>
        <w:t>10万元，</w:t>
      </w:r>
      <w:r>
        <w:rPr>
          <w:rFonts w:ascii="Times New Roman" w:hAnsi="Times New Roman" w:eastAsia="方正仿宋_GBK" w:cs="Times New Roman"/>
          <w:sz w:val="32"/>
          <w:szCs w:val="32"/>
        </w:rPr>
        <w:t>驻乡工作队工作保障经费8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47</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非公经济组织和社会组织部党组织建设</w:t>
      </w:r>
      <w:r>
        <w:rPr>
          <w:rFonts w:hint="eastAsia" w:ascii="Times New Roman" w:hAnsi="Times New Roman" w:eastAsia="方正仿宋_GBK" w:cs="Times New Roman"/>
          <w:sz w:val="32"/>
          <w:szCs w:val="32"/>
        </w:rPr>
        <w:t>经费5万元，</w:t>
      </w:r>
      <w:r>
        <w:rPr>
          <w:rFonts w:ascii="Times New Roman" w:hAnsi="Times New Roman" w:eastAsia="方正仿宋_GBK" w:cs="Times New Roman"/>
          <w:sz w:val="32"/>
          <w:szCs w:val="32"/>
        </w:rPr>
        <w:t>全县村（社区）干部人身意外伤害保险39</w:t>
      </w:r>
      <w:r>
        <w:rPr>
          <w:rFonts w:hint="eastAsia" w:ascii="Times New Roman" w:hAnsi="Times New Roman" w:eastAsia="方正仿宋_GBK" w:cs="Times New Roman"/>
          <w:sz w:val="32"/>
          <w:szCs w:val="32"/>
        </w:rPr>
        <w:t>.38万元，</w:t>
      </w:r>
      <w:r>
        <w:rPr>
          <w:rFonts w:ascii="Times New Roman" w:hAnsi="Times New Roman" w:eastAsia="方正仿宋_GBK" w:cs="Times New Roman"/>
          <w:sz w:val="32"/>
          <w:szCs w:val="32"/>
        </w:rPr>
        <w:t>下达2018年干部教育培训和人才工作下差经费预算61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w:t>
      </w:r>
    </w:p>
    <w:p>
      <w:pPr>
        <w:pStyle w:val="4"/>
        <w:shd w:val="clear" w:color="auto" w:fill="FFFFFF"/>
        <w:spacing w:before="0" w:beforeAutospacing="0" w:after="0" w:afterAutospacing="0"/>
        <w:ind w:firstLine="640" w:firstLineChars="200"/>
        <w:jc w:val="both"/>
        <w:rPr>
          <w:rFonts w:ascii="Times New Roman" w:hAnsi="Times New Roman" w:cs="Times New Roman"/>
          <w:sz w:val="32"/>
          <w:szCs w:val="32"/>
        </w:rPr>
      </w:pPr>
      <w:r>
        <w:rPr>
          <w:rStyle w:val="7"/>
          <w:rFonts w:ascii="Times New Roman" w:hAnsi="Times New Roman" w:eastAsia="方正楷体_GBK" w:cs="Times New Roman"/>
          <w:b w:val="0"/>
          <w:sz w:val="32"/>
          <w:szCs w:val="32"/>
        </w:rPr>
        <w:t>（三）一般公共预算财政拨款支出决算情况说明</w:t>
      </w:r>
    </w:p>
    <w:p>
      <w:pPr>
        <w:pStyle w:val="4"/>
        <w:shd w:val="clear" w:color="auto" w:fill="FFFFFF"/>
        <w:spacing w:before="0" w:beforeAutospacing="0" w:after="0" w:afterAutospacing="0"/>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1.收入情况。</w:t>
      </w:r>
      <w:r>
        <w:rPr>
          <w:rFonts w:ascii="Times New Roman" w:hAnsi="Times New Roman" w:eastAsia="方正仿宋_GBK" w:cs="Times New Roman"/>
          <w:sz w:val="32"/>
          <w:szCs w:val="32"/>
        </w:rPr>
        <w:t>2019年度一般公共预算财政拨款收入998.57万元，较上年决算数增加114.13万元，增长12.90%。主要原因是是</w:t>
      </w:r>
      <w:r>
        <w:rPr>
          <w:rFonts w:hint="eastAsia" w:ascii="Times New Roman" w:hAnsi="Times New Roman" w:eastAsia="方正仿宋_GBK" w:cs="Times New Roman"/>
          <w:sz w:val="32"/>
          <w:szCs w:val="32"/>
        </w:rPr>
        <w:t>年中追加人员经费和养老保险、医疗保险，</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不忘初心、牢记使命</w:t>
      </w:r>
      <w:r>
        <w:rPr>
          <w:rFonts w:ascii="Times New Roman" w:hAnsi="Times New Roman" w:eastAsia="方正仿宋_GBK" w:cs="Times New Roman"/>
          <w:sz w:val="32"/>
          <w:szCs w:val="32"/>
        </w:rPr>
        <w:t>”主题教育专项经费</w:t>
      </w:r>
      <w:r>
        <w:rPr>
          <w:rFonts w:hint="eastAsia" w:ascii="Times New Roman" w:hAnsi="Times New Roman" w:eastAsia="方正仿宋_GBK" w:cs="Times New Roman"/>
          <w:sz w:val="32"/>
          <w:szCs w:val="32"/>
        </w:rPr>
        <w:t>10万元，</w:t>
      </w:r>
      <w:r>
        <w:rPr>
          <w:rFonts w:ascii="Times New Roman" w:hAnsi="Times New Roman" w:eastAsia="方正仿宋_GBK" w:cs="Times New Roman"/>
          <w:sz w:val="32"/>
          <w:szCs w:val="32"/>
        </w:rPr>
        <w:t>驻乡工作队工作保障经费8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47</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非公经济组织和社会组织部党组织建设</w:t>
      </w:r>
      <w:r>
        <w:rPr>
          <w:rFonts w:hint="eastAsia" w:ascii="Times New Roman" w:hAnsi="Times New Roman" w:eastAsia="方正仿宋_GBK" w:cs="Times New Roman"/>
          <w:sz w:val="32"/>
          <w:szCs w:val="32"/>
        </w:rPr>
        <w:t>经费5万元，</w:t>
      </w:r>
      <w:r>
        <w:rPr>
          <w:rFonts w:ascii="Times New Roman" w:hAnsi="Times New Roman" w:eastAsia="方正仿宋_GBK" w:cs="Times New Roman"/>
          <w:sz w:val="32"/>
          <w:szCs w:val="32"/>
        </w:rPr>
        <w:t>全县村（社区）干部人身意外伤害保险39</w:t>
      </w:r>
      <w:r>
        <w:rPr>
          <w:rFonts w:hint="eastAsia" w:ascii="Times New Roman" w:hAnsi="Times New Roman" w:eastAsia="方正仿宋_GBK" w:cs="Times New Roman"/>
          <w:sz w:val="32"/>
          <w:szCs w:val="32"/>
        </w:rPr>
        <w:t>.38万元，</w:t>
      </w:r>
      <w:r>
        <w:rPr>
          <w:rFonts w:ascii="Times New Roman" w:hAnsi="Times New Roman" w:eastAsia="方正仿宋_GBK" w:cs="Times New Roman"/>
          <w:sz w:val="32"/>
          <w:szCs w:val="32"/>
        </w:rPr>
        <w:t>下达2018年干部教育培训和人才工作下差经费预算61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。较年初预算数增加560.50万元，增长127.95%。主要原因是</w:t>
      </w:r>
      <w:r>
        <w:rPr>
          <w:rFonts w:hint="eastAsia" w:ascii="Times New Roman" w:hAnsi="Times New Roman" w:eastAsia="方正仿宋_GBK" w:cs="Times New Roman"/>
          <w:sz w:val="32"/>
          <w:szCs w:val="32"/>
        </w:rPr>
        <w:t>年中追加人员经费、养老保险、医疗保险及公用经费增加，以及下达</w:t>
      </w:r>
      <w:r>
        <w:rPr>
          <w:rFonts w:ascii="Times New Roman" w:hAnsi="Times New Roman" w:eastAsia="方正仿宋_GBK" w:cs="Times New Roman"/>
          <w:sz w:val="32"/>
          <w:szCs w:val="32"/>
        </w:rPr>
        <w:t>2018年机关在职人员目标绩效奖、事业单位在职人员超额绩效工资</w:t>
      </w:r>
      <w:r>
        <w:rPr>
          <w:rFonts w:hint="eastAsia" w:ascii="Times New Roman" w:hAnsi="Times New Roman" w:eastAsia="方正仿宋_GBK" w:cs="Times New Roman"/>
          <w:sz w:val="32"/>
          <w:szCs w:val="32"/>
        </w:rPr>
        <w:t>46万元，</w:t>
      </w:r>
      <w:r>
        <w:rPr>
          <w:rFonts w:ascii="Times New Roman" w:hAnsi="Times New Roman" w:eastAsia="方正仿宋_GBK"/>
          <w:sz w:val="32"/>
          <w:szCs w:val="32"/>
        </w:rPr>
        <w:t>201</w:t>
      </w:r>
      <w:r>
        <w:rPr>
          <w:rFonts w:hint="eastAsia" w:ascii="Times New Roman" w:hAnsi="Times New Roman" w:eastAsia="方正仿宋_GBK"/>
          <w:sz w:val="32"/>
          <w:szCs w:val="32"/>
        </w:rPr>
        <w:t>9</w:t>
      </w:r>
      <w:r>
        <w:rPr>
          <w:rFonts w:ascii="Times New Roman" w:hAnsi="Times New Roman" w:eastAsia="方正仿宋_GBK"/>
          <w:sz w:val="32"/>
          <w:szCs w:val="32"/>
        </w:rPr>
        <w:t>年度行政单位人员平时考核奖、事业单位人员超额绩效</w:t>
      </w:r>
      <w:r>
        <w:rPr>
          <w:rFonts w:hint="eastAsia" w:ascii="Times New Roman" w:hAnsi="Times New Roman" w:eastAsia="方正仿宋_GBK"/>
          <w:sz w:val="32"/>
          <w:szCs w:val="32"/>
        </w:rPr>
        <w:t>56.68</w:t>
      </w:r>
      <w:r>
        <w:rPr>
          <w:rFonts w:ascii="Times New Roman" w:hAnsi="Times New Roman" w:eastAsia="方正仿宋_GBK"/>
          <w:sz w:val="32"/>
          <w:szCs w:val="32"/>
        </w:rPr>
        <w:t>万元，2019 年离退休老干部活动经费</w:t>
      </w:r>
      <w:r>
        <w:rPr>
          <w:rFonts w:hint="eastAsia" w:ascii="Times New Roman" w:hAnsi="Times New Roman" w:eastAsia="方正仿宋_GBK"/>
          <w:sz w:val="32"/>
          <w:szCs w:val="32"/>
        </w:rPr>
        <w:t>17.27万元，2019年离退休人员健康休养费13.6万元，</w:t>
      </w:r>
      <w:r>
        <w:rPr>
          <w:rFonts w:ascii="Times New Roman" w:hAnsi="Times New Roman" w:eastAsia="方正仿宋_GBK" w:cs="Times New Roman"/>
          <w:sz w:val="32"/>
          <w:szCs w:val="32"/>
        </w:rPr>
        <w:t>驻乡工作队工作保障经费8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47</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全县村（社区）干部人身意外伤害保险39</w:t>
      </w:r>
      <w:r>
        <w:rPr>
          <w:rFonts w:hint="eastAsia" w:ascii="Times New Roman" w:hAnsi="Times New Roman" w:eastAsia="方正仿宋_GBK" w:cs="Times New Roman"/>
          <w:sz w:val="32"/>
          <w:szCs w:val="32"/>
        </w:rPr>
        <w:t>.38万元，</w:t>
      </w:r>
      <w:r>
        <w:rPr>
          <w:rFonts w:ascii="Times New Roman" w:hAnsi="Times New Roman" w:eastAsia="方正仿宋_GBK" w:cs="Times New Roman"/>
          <w:sz w:val="32"/>
          <w:szCs w:val="32"/>
        </w:rPr>
        <w:t>2018年干部教育培训和人才工作下差经费61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2018年度村（社区）党组织抓党建促脱贫攻坚工作考核奖励经费</w:t>
      </w:r>
      <w:r>
        <w:rPr>
          <w:rFonts w:hint="eastAsia" w:ascii="Times New Roman" w:hAnsi="Times New Roman" w:eastAsia="方正仿宋_GBK" w:cs="Times New Roman"/>
          <w:sz w:val="32"/>
          <w:szCs w:val="32"/>
        </w:rPr>
        <w:t>195万元</w:t>
      </w:r>
      <w:r>
        <w:rPr>
          <w:rFonts w:ascii="Times New Roman" w:hAnsi="Times New Roman" w:eastAsia="方正仿宋_GBK" w:cs="Times New Roman"/>
          <w:sz w:val="32"/>
          <w:szCs w:val="32"/>
        </w:rPr>
        <w:t>。</w:t>
      </w:r>
    </w:p>
    <w:p>
      <w:pPr>
        <w:ind w:firstLine="643" w:firstLineChars="200"/>
        <w:jc w:val="both"/>
        <w:rPr>
          <w:rFonts w:ascii="Times New Roman" w:hAnsi="Times New Roman" w:eastAsia="方正仿宋_GBK"/>
          <w:sz w:val="32"/>
          <w:szCs w:val="32"/>
        </w:rPr>
      </w:pPr>
      <w:r>
        <w:rPr>
          <w:rStyle w:val="7"/>
          <w:rFonts w:ascii="Times New Roman" w:hAnsi="Times New Roman" w:eastAsia="方正仿宋_GBK" w:cs="Times New Roman"/>
          <w:sz w:val="32"/>
          <w:szCs w:val="32"/>
        </w:rPr>
        <w:t>2.支出情况。</w:t>
      </w:r>
      <w:r>
        <w:rPr>
          <w:rFonts w:ascii="Times New Roman" w:hAnsi="Times New Roman" w:eastAsia="方正仿宋_GBK" w:cs="Times New Roman"/>
          <w:sz w:val="32"/>
          <w:szCs w:val="32"/>
        </w:rPr>
        <w:t>2019年度一般公共预算财政拨款支出998.57万元，较上年决算数增加99.10万元，增长11.02%。主要原因是</w:t>
      </w:r>
      <w:r>
        <w:rPr>
          <w:rFonts w:ascii="Times New Roman" w:hAnsi="Times New Roman" w:eastAsia="方正仿宋_GBK"/>
          <w:sz w:val="32"/>
          <w:szCs w:val="32"/>
        </w:rPr>
        <w:t>年中追加安排的专项经费按进度和相关要求实现支出，年度决算支出总数增加</w:t>
      </w:r>
      <w:r>
        <w:rPr>
          <w:rFonts w:ascii="Times New Roman" w:hAnsi="Times New Roman" w:eastAsia="方正仿宋_GBK" w:cs="Times New Roman"/>
          <w:sz w:val="32"/>
          <w:szCs w:val="32"/>
        </w:rPr>
        <w:t>。较年初预算数增加560.50万元，增长127.95%。主要原因是</w:t>
      </w:r>
      <w:r>
        <w:rPr>
          <w:rFonts w:hint="eastAsia" w:ascii="Times New Roman" w:hAnsi="Times New Roman" w:eastAsia="方正仿宋_GBK" w:cs="Times New Roman"/>
          <w:sz w:val="32"/>
          <w:szCs w:val="32"/>
        </w:rPr>
        <w:t>年中追加人员经费、养老保险、医疗保险及公用经费增加，以及下达</w:t>
      </w:r>
      <w:r>
        <w:rPr>
          <w:rFonts w:ascii="Times New Roman" w:hAnsi="Times New Roman" w:eastAsia="方正仿宋_GBK" w:cs="Times New Roman"/>
          <w:sz w:val="32"/>
          <w:szCs w:val="32"/>
        </w:rPr>
        <w:t>2018年机关在职人员目标绩效奖、事业单位在职人员超额绩效工资</w:t>
      </w:r>
      <w:r>
        <w:rPr>
          <w:rFonts w:hint="eastAsia" w:ascii="Times New Roman" w:hAnsi="Times New Roman" w:eastAsia="方正仿宋_GBK" w:cs="Times New Roman"/>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9</w:t>
      </w:r>
      <w:r>
        <w:rPr>
          <w:rFonts w:ascii="Times New Roman" w:hAnsi="Times New Roman" w:eastAsia="方正仿宋_GBK"/>
          <w:sz w:val="32"/>
          <w:szCs w:val="32"/>
        </w:rPr>
        <w:t>年度行政单位人员平时考核奖、事业单位人员超额绩效</w:t>
      </w:r>
      <w:r>
        <w:rPr>
          <w:rFonts w:hint="eastAsia" w:ascii="Times New Roman" w:hAnsi="Times New Roman" w:eastAsia="方正仿宋_GBK"/>
          <w:sz w:val="32"/>
          <w:szCs w:val="32"/>
        </w:rPr>
        <w:t>，</w:t>
      </w:r>
      <w:r>
        <w:rPr>
          <w:rFonts w:ascii="Times New Roman" w:hAnsi="Times New Roman" w:eastAsia="方正仿宋_GBK"/>
          <w:sz w:val="32"/>
          <w:szCs w:val="32"/>
        </w:rPr>
        <w:t>2019 年离退休老干部活动经费</w:t>
      </w:r>
      <w:r>
        <w:rPr>
          <w:rFonts w:hint="eastAsia" w:ascii="Times New Roman" w:hAnsi="Times New Roman" w:eastAsia="方正仿宋_GBK"/>
          <w:sz w:val="32"/>
          <w:szCs w:val="32"/>
        </w:rPr>
        <w:t>，2019年离退休人员健康休养费，</w:t>
      </w:r>
      <w:r>
        <w:rPr>
          <w:rFonts w:ascii="Times New Roman" w:hAnsi="Times New Roman" w:eastAsia="方正仿宋_GBK" w:cs="Times New Roman"/>
          <w:sz w:val="32"/>
          <w:szCs w:val="32"/>
        </w:rPr>
        <w:t>驻乡工作队工作保障经费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全县村（社区）干部人身意外伤害保险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2018年干部教育培训和人才工作下差经费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2018年度村（社区）党组织抓党建促脱贫攻坚工作考核奖励经费</w:t>
      </w:r>
      <w:r>
        <w:rPr>
          <w:rFonts w:hint="eastAsia" w:ascii="Times New Roman" w:hAnsi="Times New Roman" w:eastAsia="方正仿宋_GBK" w:cs="Times New Roman"/>
          <w:sz w:val="32"/>
          <w:szCs w:val="32"/>
        </w:rPr>
        <w:t>等专项经费，</w:t>
      </w:r>
      <w:r>
        <w:rPr>
          <w:rFonts w:ascii="Times New Roman" w:hAnsi="Times New Roman" w:eastAsia="方正仿宋_GBK"/>
          <w:sz w:val="32"/>
          <w:szCs w:val="32"/>
        </w:rPr>
        <w:t>年终支出比年初预算数相应增加。</w:t>
      </w:r>
    </w:p>
    <w:p>
      <w:pPr>
        <w:pStyle w:val="4"/>
        <w:shd w:val="clear" w:color="auto" w:fill="FFFFFF"/>
        <w:spacing w:before="0" w:beforeAutospacing="0" w:after="0" w:afterAutospacing="0"/>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3.结转结余情况。</w:t>
      </w:r>
      <w:r>
        <w:rPr>
          <w:rFonts w:ascii="Times New Roman" w:hAnsi="Times New Roman" w:eastAsia="方正仿宋_GBK" w:cs="Times New Roman"/>
          <w:sz w:val="32"/>
          <w:szCs w:val="32"/>
        </w:rPr>
        <w:t>2019年度年末</w:t>
      </w:r>
      <w:r>
        <w:rPr>
          <w:rFonts w:hint="eastAsia" w:ascii="Times New Roman" w:hAnsi="Times New Roman" w:eastAsia="方正仿宋_GBK" w:cs="Times New Roman"/>
          <w:sz w:val="32"/>
          <w:szCs w:val="32"/>
        </w:rPr>
        <w:t>无</w:t>
      </w:r>
      <w:r>
        <w:rPr>
          <w:rFonts w:ascii="Times New Roman" w:hAnsi="Times New Roman" w:eastAsia="方正仿宋_GBK" w:cs="Times New Roman"/>
          <w:sz w:val="32"/>
          <w:szCs w:val="32"/>
        </w:rPr>
        <w:t>一般公共预算财政拨款结转和结余。</w:t>
      </w:r>
    </w:p>
    <w:p>
      <w:pPr>
        <w:pStyle w:val="4"/>
        <w:shd w:val="clear" w:color="auto" w:fill="FFFFFF"/>
        <w:spacing w:before="0" w:beforeAutospacing="0" w:after="0" w:afterAutospacing="0"/>
        <w:ind w:firstLine="643" w:firstLineChars="200"/>
        <w:jc w:val="both"/>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4.比较情况。</w:t>
      </w:r>
      <w:r>
        <w:rPr>
          <w:rFonts w:ascii="Times New Roman" w:hAnsi="Times New Roman" w:eastAsia="方正仿宋_GBK" w:cs="Times New Roman"/>
          <w:sz w:val="32"/>
          <w:szCs w:val="32"/>
        </w:rPr>
        <w:t>本部门2019年度一般公共预算财政拨款支出主要用于以下几个方面：</w:t>
      </w:r>
    </w:p>
    <w:p>
      <w:pPr>
        <w:ind w:firstLine="640" w:firstLineChars="200"/>
        <w:jc w:val="both"/>
        <w:rPr>
          <w:rFonts w:ascii="Times New Roman" w:hAnsi="Times New Roman" w:eastAsia="方正仿宋_GBK"/>
          <w:sz w:val="32"/>
          <w:szCs w:val="32"/>
        </w:rPr>
      </w:pPr>
      <w:r>
        <w:rPr>
          <w:rFonts w:ascii="Times New Roman" w:hAnsi="Times New Roman" w:eastAsia="方正仿宋_GBK" w:cs="Times New Roman"/>
          <w:sz w:val="32"/>
          <w:szCs w:val="32"/>
        </w:rPr>
        <w:t>（1）一般公共服务支出638.05万元，占63.90%，较年初预算数增加285.47万元，增长80.97%，主要原因是</w:t>
      </w:r>
      <w:r>
        <w:rPr>
          <w:rFonts w:ascii="Times New Roman" w:hAnsi="Times New Roman" w:eastAsia="方正仿宋_GBK"/>
          <w:sz w:val="32"/>
          <w:szCs w:val="32"/>
        </w:rPr>
        <w:t>年中追加行政运行、一般行政管理事务、</w:t>
      </w:r>
      <w:r>
        <w:rPr>
          <w:rFonts w:hint="eastAsia" w:ascii="Times New Roman" w:hAnsi="Times New Roman" w:eastAsia="方正仿宋_GBK"/>
          <w:sz w:val="32"/>
          <w:szCs w:val="32"/>
        </w:rPr>
        <w:t>公务员事务、</w:t>
      </w:r>
      <w:r>
        <w:rPr>
          <w:rFonts w:ascii="Times New Roman" w:hAnsi="Times New Roman" w:eastAsia="方正仿宋_GBK"/>
          <w:sz w:val="32"/>
          <w:szCs w:val="32"/>
        </w:rPr>
        <w:t>事业运行、其他组织事务等支出经费</w:t>
      </w:r>
      <w:r>
        <w:rPr>
          <w:rFonts w:hint="eastAsia" w:ascii="Times New Roman" w:hAnsi="Times New Roman" w:eastAsia="方正仿宋_GBK"/>
          <w:sz w:val="32"/>
          <w:szCs w:val="32"/>
        </w:rPr>
        <w:t>。</w:t>
      </w:r>
    </w:p>
    <w:p>
      <w:pPr>
        <w:pStyle w:val="4"/>
        <w:shd w:val="clear" w:color="auto" w:fill="FFFFFF"/>
        <w:spacing w:before="0" w:beforeAutospacing="0" w:after="0" w:afterAutospacing="0"/>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）社会保障与就业支出70.32万元，占7.04%，较年初预算数增加24.18万元，增长52.41%，主要原因是</w:t>
      </w:r>
      <w:r>
        <w:rPr>
          <w:rFonts w:ascii="Times New Roman" w:hAnsi="Times New Roman" w:eastAsia="方正仿宋_GBK"/>
          <w:sz w:val="32"/>
          <w:szCs w:val="32"/>
        </w:rPr>
        <w:t>增加</w:t>
      </w:r>
      <w:r>
        <w:rPr>
          <w:rFonts w:hint="eastAsia" w:ascii="Times New Roman" w:hAnsi="Times New Roman" w:eastAsia="方正仿宋_GBK"/>
          <w:sz w:val="32"/>
          <w:szCs w:val="32"/>
        </w:rPr>
        <w:t>机关事业单位</w:t>
      </w:r>
      <w:r>
        <w:rPr>
          <w:rFonts w:ascii="Times New Roman" w:hAnsi="Times New Roman" w:eastAsia="方正仿宋_GBK"/>
          <w:sz w:val="32"/>
          <w:szCs w:val="32"/>
        </w:rPr>
        <w:t>养老保险</w:t>
      </w:r>
      <w:r>
        <w:rPr>
          <w:rFonts w:hint="eastAsia" w:ascii="Times New Roman" w:hAnsi="Times New Roman" w:eastAsia="方正仿宋_GBK"/>
          <w:sz w:val="32"/>
          <w:szCs w:val="32"/>
        </w:rPr>
        <w:t>、</w:t>
      </w:r>
      <w:r>
        <w:rPr>
          <w:rFonts w:ascii="Times New Roman" w:hAnsi="Times New Roman" w:eastAsia="方正仿宋_GBK"/>
          <w:sz w:val="32"/>
          <w:szCs w:val="32"/>
        </w:rPr>
        <w:t>职业年金</w:t>
      </w:r>
      <w:r>
        <w:rPr>
          <w:rFonts w:hint="eastAsia" w:ascii="Times New Roman" w:hAnsi="Times New Roman" w:eastAsia="方正仿宋_GBK"/>
          <w:sz w:val="32"/>
          <w:szCs w:val="32"/>
        </w:rPr>
        <w:t>和其他行政事业单位离退休支出</w:t>
      </w:r>
      <w:r>
        <w:rPr>
          <w:rFonts w:ascii="Times New Roman" w:hAnsi="Times New Roman" w:eastAsia="方正仿宋_GBK" w:cs="Times New Roman"/>
          <w:sz w:val="32"/>
          <w:szCs w:val="32"/>
        </w:rPr>
        <w:t>。</w:t>
      </w:r>
    </w:p>
    <w:p>
      <w:pPr>
        <w:pStyle w:val="4"/>
        <w:shd w:val="clear" w:color="auto" w:fill="FFFFFF"/>
        <w:spacing w:before="0" w:beforeAutospacing="0" w:after="0" w:afterAutospacing="0"/>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）卫生健康支出22.58万元，占2.26%，较年初预算数增加3.73万元，增长19.79%，主要原因是</w:t>
      </w:r>
      <w:r>
        <w:rPr>
          <w:rFonts w:ascii="Times New Roman" w:hAnsi="Times New Roman" w:eastAsia="方正仿宋_GBK"/>
          <w:sz w:val="32"/>
          <w:szCs w:val="32"/>
        </w:rPr>
        <w:t>年中追加</w:t>
      </w:r>
      <w:r>
        <w:rPr>
          <w:rFonts w:hint="eastAsia" w:ascii="Times New Roman" w:hAnsi="Times New Roman" w:eastAsia="方正仿宋_GBK"/>
          <w:sz w:val="32"/>
          <w:szCs w:val="32"/>
        </w:rPr>
        <w:t>行政单位医疗和</w:t>
      </w:r>
      <w:r>
        <w:rPr>
          <w:rFonts w:ascii="Times New Roman" w:hAnsi="Times New Roman" w:eastAsia="方正仿宋_GBK"/>
          <w:sz w:val="32"/>
          <w:szCs w:val="32"/>
        </w:rPr>
        <w:t>其他行政事业单位医疗支出</w:t>
      </w:r>
      <w:r>
        <w:rPr>
          <w:rFonts w:ascii="Times New Roman" w:hAnsi="Times New Roman" w:eastAsia="方正仿宋_GBK" w:cs="Times New Roman"/>
          <w:sz w:val="32"/>
          <w:szCs w:val="32"/>
        </w:rPr>
        <w:t>。</w:t>
      </w:r>
    </w:p>
    <w:p>
      <w:pPr>
        <w:pStyle w:val="4"/>
        <w:shd w:val="clear" w:color="auto" w:fill="FFFFFF"/>
        <w:spacing w:before="0" w:beforeAutospacing="0" w:after="0" w:afterAutospacing="0"/>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）农林水支出242.85万元，占24.32%，较年初预算数增加242.85万元，增长</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%，用于201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年村（社区）党组织抓党建促脱贫攻坚工作考核奖励经费</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全县村（社区）干部人身意外伤害保险</w:t>
      </w:r>
      <w:r>
        <w:rPr>
          <w:rFonts w:hint="eastAsia" w:ascii="Times New Roman" w:hAnsi="Times New Roman" w:eastAsia="方正仿宋_GBK" w:cs="Times New Roman"/>
          <w:sz w:val="32"/>
          <w:szCs w:val="32"/>
        </w:rPr>
        <w:t>。</w:t>
      </w:r>
    </w:p>
    <w:p>
      <w:pPr>
        <w:pStyle w:val="4"/>
        <w:shd w:val="clear" w:color="auto" w:fill="FFFFFF"/>
        <w:spacing w:before="0" w:beforeAutospacing="0" w:after="0" w:afterAutospacing="0"/>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）住房保障支出24.77万元，占2.48%，较年初预算数增加4.26万元，增长20.77%，主要原因是人员变动</w:t>
      </w:r>
      <w:r>
        <w:rPr>
          <w:rFonts w:hint="eastAsia" w:ascii="Times New Roman" w:hAnsi="Times New Roman" w:eastAsia="方正仿宋_GBK" w:cs="Times New Roman"/>
          <w:sz w:val="32"/>
          <w:szCs w:val="32"/>
        </w:rPr>
        <w:t>增加住房公积金相关经费</w:t>
      </w:r>
      <w:r>
        <w:rPr>
          <w:rFonts w:ascii="Times New Roman" w:hAnsi="Times New Roman" w:eastAsia="方正仿宋_GBK" w:cs="Times New Roman"/>
          <w:sz w:val="32"/>
          <w:szCs w:val="32"/>
        </w:rPr>
        <w:t>。</w:t>
      </w:r>
    </w:p>
    <w:p>
      <w:pPr>
        <w:pStyle w:val="4"/>
        <w:shd w:val="clear" w:color="auto" w:fill="FFFFFF"/>
        <w:spacing w:before="0" w:beforeAutospacing="0" w:after="0" w:afterAutospacing="0"/>
        <w:ind w:firstLine="640" w:firstLineChars="200"/>
        <w:jc w:val="both"/>
        <w:rPr>
          <w:rStyle w:val="7"/>
          <w:rFonts w:ascii="Times New Roman" w:hAnsi="Times New Roman" w:eastAsia="方正楷体_GBK" w:cs="Times New Roman"/>
          <w:sz w:val="32"/>
          <w:szCs w:val="32"/>
        </w:rPr>
      </w:pPr>
      <w:r>
        <w:rPr>
          <w:rStyle w:val="7"/>
          <w:rFonts w:ascii="Times New Roman" w:hAnsi="Times New Roman" w:eastAsia="方正楷体_GBK" w:cs="Times New Roman"/>
          <w:b w:val="0"/>
          <w:sz w:val="32"/>
          <w:szCs w:val="32"/>
        </w:rPr>
        <w:t>（四）一般公共预算财政拨款基本支出决算情况说明</w:t>
      </w:r>
    </w:p>
    <w:p>
      <w:pPr>
        <w:ind w:firstLine="640" w:firstLineChars="200"/>
        <w:jc w:val="both"/>
        <w:rPr>
          <w:rFonts w:ascii="Times New Roman" w:hAnsi="Times New Roman" w:eastAsia="方正仿宋_GBK"/>
          <w:sz w:val="32"/>
          <w:szCs w:val="32"/>
        </w:rPr>
      </w:pPr>
      <w:r>
        <w:rPr>
          <w:rFonts w:ascii="Times New Roman" w:hAnsi="Times New Roman" w:eastAsia="方正仿宋_GBK" w:cs="Times New Roman"/>
          <w:sz w:val="32"/>
          <w:szCs w:val="32"/>
        </w:rPr>
        <w:t>2019年度一般公共财政拨款基本支出751.53万元。其中：人员经费446.34万元，较上年决算数增加95.79万元，增长27.33%，主要原因</w:t>
      </w:r>
      <w:r>
        <w:rPr>
          <w:rFonts w:ascii="Times New Roman" w:hAnsi="Times New Roman" w:eastAsia="方正仿宋_GBK"/>
          <w:sz w:val="32"/>
          <w:szCs w:val="32"/>
        </w:rPr>
        <w:t>是财政供养人员</w:t>
      </w:r>
      <w:r>
        <w:rPr>
          <w:rFonts w:hint="eastAsia" w:ascii="Times New Roman" w:hAnsi="Times New Roman" w:eastAsia="方正仿宋_GBK"/>
          <w:sz w:val="32"/>
          <w:szCs w:val="32"/>
        </w:rPr>
        <w:t>增加5人</w:t>
      </w:r>
      <w:r>
        <w:rPr>
          <w:rFonts w:ascii="Times New Roman" w:hAnsi="Times New Roman" w:eastAsia="方正仿宋_GBK" w:cs="Times New Roman"/>
          <w:sz w:val="32"/>
          <w:szCs w:val="32"/>
        </w:rPr>
        <w:t>。人员经费用途主要包括</w:t>
      </w:r>
      <w:r>
        <w:rPr>
          <w:rFonts w:ascii="Times New Roman" w:hAnsi="Times New Roman" w:eastAsia="方正仿宋_GBK"/>
          <w:sz w:val="32"/>
          <w:szCs w:val="32"/>
        </w:rPr>
        <w:t>基本工资、津贴补贴、奖金、社会保障缴费等相应开支</w:t>
      </w:r>
      <w:r>
        <w:rPr>
          <w:rFonts w:hint="eastAsia" w:ascii="Times New Roman" w:hAnsi="Times New Roman" w:eastAsia="方正仿宋_GBK"/>
          <w:sz w:val="32"/>
          <w:szCs w:val="32"/>
        </w:rPr>
        <w:t>增加</w:t>
      </w:r>
      <w:r>
        <w:rPr>
          <w:rFonts w:ascii="Times New Roman" w:hAnsi="Times New Roman" w:eastAsia="方正仿宋_GBK" w:cs="Times New Roman"/>
          <w:sz w:val="32"/>
          <w:szCs w:val="32"/>
        </w:rPr>
        <w:t>。公用经费305.20万元，较上年决算数增加229.31万元，增长302.16%，主要原因是</w:t>
      </w:r>
      <w:r>
        <w:rPr>
          <w:rFonts w:hint="eastAsia"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eastAsia="zh-CN"/>
        </w:rPr>
        <w:t>不忘初心、牢记使命</w:t>
      </w:r>
      <w:r>
        <w:rPr>
          <w:rFonts w:hint="eastAsia" w:ascii="Times New Roman" w:hAnsi="Times New Roman" w:eastAsia="方正仿宋_GBK" w:cs="Times New Roman"/>
          <w:sz w:val="32"/>
          <w:szCs w:val="32"/>
        </w:rPr>
        <w:t>”、人才工作、</w:t>
      </w:r>
      <w:r>
        <w:rPr>
          <w:rFonts w:ascii="Times New Roman" w:hAnsi="Times New Roman" w:eastAsia="方正仿宋_GBK"/>
          <w:sz w:val="32"/>
          <w:szCs w:val="32"/>
        </w:rPr>
        <w:t>干部教育</w:t>
      </w:r>
      <w:r>
        <w:rPr>
          <w:rFonts w:hint="eastAsia" w:ascii="Times New Roman" w:hAnsi="Times New Roman" w:eastAsia="方正仿宋_GBK"/>
          <w:sz w:val="32"/>
          <w:szCs w:val="32"/>
        </w:rPr>
        <w:t>工作</w:t>
      </w:r>
      <w:r>
        <w:rPr>
          <w:rFonts w:ascii="Times New Roman" w:hAnsi="Times New Roman" w:eastAsia="方正仿宋_GBK"/>
          <w:sz w:val="32"/>
          <w:szCs w:val="32"/>
        </w:rPr>
        <w:t>、老干部</w:t>
      </w:r>
      <w:r>
        <w:rPr>
          <w:rFonts w:hint="eastAsia" w:ascii="Times New Roman" w:hAnsi="Times New Roman" w:eastAsia="方正仿宋_GBK"/>
          <w:sz w:val="32"/>
          <w:szCs w:val="32"/>
        </w:rPr>
        <w:t>工作</w:t>
      </w:r>
      <w:r>
        <w:rPr>
          <w:rFonts w:ascii="Times New Roman" w:hAnsi="Times New Roman" w:eastAsia="方正仿宋_GBK"/>
          <w:sz w:val="32"/>
          <w:szCs w:val="32"/>
        </w:rPr>
        <w:t>、考核工作等专项经费</w:t>
      </w:r>
      <w:r>
        <w:rPr>
          <w:rFonts w:ascii="Times New Roman" w:hAnsi="Times New Roman" w:eastAsia="方正仿宋_GBK" w:cs="Times New Roman"/>
          <w:sz w:val="32"/>
          <w:szCs w:val="32"/>
        </w:rPr>
        <w:t>。公用经费用途主要包括</w:t>
      </w:r>
      <w:r>
        <w:rPr>
          <w:rFonts w:ascii="Times New Roman" w:hAnsi="Times New Roman" w:eastAsia="方正仿宋_GBK"/>
          <w:sz w:val="32"/>
          <w:szCs w:val="32"/>
        </w:rPr>
        <w:t>办公费、培训费、差旅费、公务接待费、公务用车运行维护费等相应开支。</w:t>
      </w:r>
    </w:p>
    <w:p>
      <w:pPr>
        <w:pStyle w:val="4"/>
        <w:shd w:val="clear" w:color="auto" w:fill="FFFFFF"/>
        <w:spacing w:before="0" w:beforeAutospacing="0" w:after="0" w:afterAutospacing="0"/>
        <w:ind w:firstLine="480" w:firstLineChars="150"/>
        <w:jc w:val="both"/>
        <w:rPr>
          <w:rStyle w:val="7"/>
          <w:rFonts w:ascii="Times New Roman" w:hAnsi="Times New Roman" w:cs="Times New Roman"/>
          <w:b w:val="0"/>
          <w:bCs w:val="0"/>
          <w:sz w:val="32"/>
          <w:szCs w:val="32"/>
        </w:rPr>
      </w:pPr>
      <w:r>
        <w:rPr>
          <w:rStyle w:val="7"/>
          <w:rFonts w:ascii="Times New Roman" w:hAnsi="Times New Roman" w:eastAsia="方正楷体_GBK" w:cs="Times New Roman"/>
          <w:b w:val="0"/>
          <w:sz w:val="32"/>
          <w:szCs w:val="32"/>
        </w:rPr>
        <w:t>（五）政府性基金预算收支决算情况说明</w:t>
      </w:r>
    </w:p>
    <w:p>
      <w:pPr>
        <w:pStyle w:val="4"/>
        <w:shd w:val="clear" w:color="auto" w:fill="FFFFFF"/>
        <w:spacing w:before="0" w:beforeAutospacing="0" w:after="0" w:afterAutospacing="0"/>
        <w:ind w:firstLine="627" w:firstLineChars="196"/>
        <w:jc w:val="both"/>
        <w:rPr>
          <w:rFonts w:ascii="方正仿宋_GBK" w:hAnsi="Times New Roman" w:eastAsia="方正仿宋_GBK"/>
          <w:sz w:val="32"/>
          <w:szCs w:val="32"/>
        </w:rPr>
      </w:pPr>
      <w:r>
        <w:rPr>
          <w:rFonts w:ascii="Times New Roman" w:hAnsi="Times New Roman" w:eastAsia="方正仿宋_GBK" w:cs="Times New Roman"/>
          <w:bCs/>
          <w:sz w:val="32"/>
          <w:szCs w:val="32"/>
        </w:rPr>
        <w:t>本部门2019年</w:t>
      </w:r>
      <w:r>
        <w:rPr>
          <w:rFonts w:hint="eastAsia" w:ascii="方正仿宋_GBK" w:eastAsia="方正仿宋_GBK"/>
          <w:bCs/>
          <w:sz w:val="32"/>
          <w:szCs w:val="32"/>
        </w:rPr>
        <w:t>度无政府性基金预算财政拨款收支。</w:t>
      </w:r>
    </w:p>
    <w:p>
      <w:pPr>
        <w:pStyle w:val="4"/>
        <w:shd w:val="clear" w:color="auto" w:fill="FFFFFF"/>
        <w:spacing w:before="0" w:beforeAutospacing="0" w:after="0" w:afterAutospacing="0"/>
        <w:ind w:firstLine="643" w:firstLineChars="200"/>
        <w:jc w:val="both"/>
        <w:rPr>
          <w:rFonts w:ascii="方正黑体_GBK" w:hAnsi="Times New Roman" w:eastAsia="方正黑体_GBK" w:cs="Times New Roman"/>
          <w:b/>
          <w:sz w:val="32"/>
          <w:szCs w:val="32"/>
        </w:rPr>
      </w:pPr>
      <w:r>
        <w:rPr>
          <w:rStyle w:val="7"/>
          <w:rFonts w:ascii="Times New Roman" w:hAnsi="Times New Roman" w:cs="Times New Roman"/>
          <w:sz w:val="32"/>
          <w:szCs w:val="32"/>
        </w:rPr>
        <w:t xml:space="preserve">  </w:t>
      </w:r>
      <w:r>
        <w:rPr>
          <w:rStyle w:val="7"/>
          <w:rFonts w:hint="eastAsia" w:ascii="方正黑体_GBK" w:hAnsi="Times New Roman" w:eastAsia="方正黑体_GBK" w:cs="Times New Roman"/>
          <w:b w:val="0"/>
          <w:sz w:val="32"/>
          <w:szCs w:val="32"/>
        </w:rPr>
        <w:t>三、“三公”经费情况说明</w:t>
      </w:r>
    </w:p>
    <w:p>
      <w:pPr>
        <w:pStyle w:val="4"/>
        <w:shd w:val="clear" w:color="auto" w:fill="FFFFFF"/>
        <w:spacing w:before="0" w:beforeAutospacing="0" w:after="0" w:afterAutospacing="0"/>
        <w:ind w:firstLine="640" w:firstLineChars="200"/>
        <w:jc w:val="both"/>
        <w:rPr>
          <w:rStyle w:val="7"/>
          <w:rFonts w:ascii="Times New Roman" w:hAnsi="Times New Roman" w:eastAsia="方正楷体_GBK" w:cs="Times New Roman"/>
          <w:sz w:val="32"/>
          <w:szCs w:val="32"/>
        </w:rPr>
      </w:pPr>
      <w:r>
        <w:rPr>
          <w:rStyle w:val="7"/>
          <w:rFonts w:ascii="Times New Roman" w:hAnsi="Times New Roman" w:eastAsia="方正楷体_GBK" w:cs="Times New Roman"/>
          <w:b w:val="0"/>
          <w:sz w:val="32"/>
          <w:szCs w:val="32"/>
        </w:rPr>
        <w:t>  （一）“三公”经费支出总体情况说明</w:t>
      </w:r>
    </w:p>
    <w:p>
      <w:pPr>
        <w:ind w:firstLine="640" w:firstLineChars="200"/>
        <w:jc w:val="both"/>
        <w:rPr>
          <w:rFonts w:ascii="Times New Roman" w:hAnsi="Times New Roman" w:eastAsia="方正仿宋_GBK"/>
          <w:sz w:val="32"/>
          <w:szCs w:val="32"/>
        </w:rPr>
      </w:pPr>
      <w:r>
        <w:rPr>
          <w:rFonts w:ascii="Times New Roman" w:hAnsi="Times New Roman" w:cs="Times New Roman"/>
          <w:sz w:val="32"/>
          <w:szCs w:val="32"/>
        </w:rPr>
        <w:t> </w:t>
      </w:r>
      <w:r>
        <w:rPr>
          <w:rFonts w:ascii="Times New Roman" w:hAnsi="Times New Roman" w:eastAsia="方正仿宋_GBK"/>
          <w:sz w:val="32"/>
          <w:szCs w:val="32"/>
        </w:rPr>
        <w:t>2019年度“三公”经费支出共计49.40万元，较年初预算数减少4.55万元，下降8.43%，主要原因是</w:t>
      </w:r>
      <w:r>
        <w:rPr>
          <w:rFonts w:hint="eastAsia" w:ascii="Times New Roman" w:hAnsi="Times New Roman" w:eastAsia="方正仿宋_GBK"/>
          <w:sz w:val="32"/>
          <w:szCs w:val="32"/>
        </w:rPr>
        <w:t>进一步规范财务管理，严格控制三公经费支出。</w:t>
      </w:r>
      <w:r>
        <w:rPr>
          <w:rFonts w:ascii="Times New Roman" w:hAnsi="Times New Roman" w:eastAsia="方正仿宋_GBK"/>
          <w:sz w:val="32"/>
          <w:szCs w:val="32"/>
        </w:rPr>
        <w:t>较上年支出数减少4.55万元，下降8.43%，主要原因是</w:t>
      </w:r>
      <w:r>
        <w:rPr>
          <w:rFonts w:hint="eastAsia" w:ascii="Times New Roman" w:hAnsi="Times New Roman" w:eastAsia="方正仿宋_GBK"/>
          <w:sz w:val="32"/>
          <w:szCs w:val="32"/>
        </w:rPr>
        <w:t>一是</w:t>
      </w:r>
      <w:r>
        <w:rPr>
          <w:rFonts w:ascii="Times New Roman" w:hAnsi="Times New Roman" w:eastAsia="方正仿宋_GBK"/>
          <w:sz w:val="32"/>
          <w:szCs w:val="32"/>
        </w:rPr>
        <w:t>认真贯彻落实中央八项规定精神和厉行节约要求，按照只减不增的要求从严控制部机关</w:t>
      </w:r>
      <w:r>
        <w:rPr>
          <w:rFonts w:hint="eastAsia" w:ascii="Times New Roman" w:hAnsi="Times New Roman" w:eastAsia="方正仿宋_GBK"/>
          <w:sz w:val="32"/>
          <w:szCs w:val="32"/>
        </w:rPr>
        <w:t>“</w:t>
      </w:r>
      <w:r>
        <w:rPr>
          <w:rFonts w:ascii="Times New Roman" w:hAnsi="Times New Roman" w:eastAsia="方正仿宋_GBK"/>
          <w:sz w:val="32"/>
          <w:szCs w:val="32"/>
        </w:rPr>
        <w:t>三公</w:t>
      </w:r>
      <w:r>
        <w:rPr>
          <w:rFonts w:hint="eastAsia" w:ascii="Times New Roman" w:hAnsi="Times New Roman" w:eastAsia="方正仿宋_GBK"/>
          <w:sz w:val="32"/>
          <w:szCs w:val="32"/>
        </w:rPr>
        <w:t>”</w:t>
      </w:r>
      <w:r>
        <w:rPr>
          <w:rFonts w:ascii="Times New Roman" w:hAnsi="Times New Roman" w:eastAsia="方正仿宋_GBK"/>
          <w:sz w:val="32"/>
          <w:szCs w:val="32"/>
        </w:rPr>
        <w:t>经费，全年实际支出较预算和决算数均有所下降。</w:t>
      </w:r>
      <w:r>
        <w:rPr>
          <w:rFonts w:hint="eastAsia" w:ascii="Times New Roman" w:hAnsi="Times New Roman" w:eastAsia="方正仿宋_GBK"/>
          <w:sz w:val="32"/>
          <w:szCs w:val="32"/>
        </w:rPr>
        <w:t>二是严格落实公车使用规定，</w:t>
      </w:r>
      <w:r>
        <w:rPr>
          <w:rFonts w:ascii="Times New Roman" w:hAnsi="Times New Roman" w:eastAsia="方正仿宋_GBK"/>
          <w:sz w:val="32"/>
          <w:szCs w:val="32"/>
        </w:rPr>
        <w:t>严禁公车私用，公务用车运行维护成本有所下降。</w:t>
      </w:r>
      <w:r>
        <w:rPr>
          <w:rFonts w:hint="eastAsia" w:ascii="Times New Roman" w:hAnsi="Times New Roman" w:eastAsia="方正仿宋_GBK"/>
          <w:sz w:val="32"/>
          <w:szCs w:val="32"/>
        </w:rPr>
        <w:t>三是</w:t>
      </w:r>
      <w:r>
        <w:rPr>
          <w:rFonts w:ascii="Times New Roman" w:hAnsi="Times New Roman" w:eastAsia="方正仿宋_GBK"/>
          <w:sz w:val="32"/>
          <w:szCs w:val="32"/>
        </w:rPr>
        <w:t>强化公务接待支出管理，严格按政务公务接待</w:t>
      </w:r>
      <w:r>
        <w:rPr>
          <w:rFonts w:hint="eastAsia" w:ascii="Times New Roman" w:hAnsi="Times New Roman" w:eastAsia="方正仿宋_GBK"/>
          <w:sz w:val="32"/>
          <w:szCs w:val="32"/>
        </w:rPr>
        <w:t>开支范围和</w:t>
      </w:r>
      <w:r>
        <w:rPr>
          <w:rFonts w:ascii="Times New Roman" w:hAnsi="Times New Roman" w:eastAsia="方正仿宋_GBK"/>
          <w:sz w:val="32"/>
          <w:szCs w:val="32"/>
        </w:rPr>
        <w:t>标准执行，严格控制陪餐人数，对应由接待对象承担的费用一律由接待对象自行支付，公务接待费有所下降</w:t>
      </w:r>
      <w:r>
        <w:rPr>
          <w:rFonts w:hint="eastAsia" w:ascii="Times New Roman" w:hAnsi="Times New Roman" w:eastAsia="方正仿宋_GBK"/>
          <w:sz w:val="32"/>
          <w:szCs w:val="32"/>
        </w:rPr>
        <w:t>。</w:t>
      </w:r>
    </w:p>
    <w:p>
      <w:pPr>
        <w:pStyle w:val="4"/>
        <w:shd w:val="clear" w:color="auto" w:fill="FFFFFF"/>
        <w:spacing w:before="0" w:beforeAutospacing="0" w:after="0" w:afterAutospacing="0"/>
        <w:jc w:val="both"/>
        <w:rPr>
          <w:rStyle w:val="7"/>
          <w:rFonts w:ascii="Times New Roman" w:hAnsi="Times New Roman" w:eastAsia="方正楷体_GBK" w:cs="Times New Roman"/>
          <w:sz w:val="32"/>
          <w:szCs w:val="32"/>
        </w:rPr>
      </w:pPr>
      <w:r>
        <w:rPr>
          <w:rStyle w:val="7"/>
          <w:rFonts w:ascii="Times New Roman" w:hAnsi="Times New Roman" w:eastAsia="方正楷体_GBK" w:cs="Times New Roman"/>
          <w:b w:val="0"/>
          <w:sz w:val="32"/>
          <w:szCs w:val="32"/>
        </w:rPr>
        <w:t xml:space="preserve">  </w:t>
      </w:r>
      <w:r>
        <w:rPr>
          <w:rStyle w:val="7"/>
          <w:rFonts w:hint="eastAsia" w:ascii="Times New Roman" w:hAnsi="Times New Roman" w:eastAsia="方正楷体_GBK" w:cs="Times New Roman"/>
          <w:b w:val="0"/>
          <w:sz w:val="32"/>
          <w:szCs w:val="32"/>
        </w:rPr>
        <w:t xml:space="preserve">      </w:t>
      </w:r>
      <w:r>
        <w:rPr>
          <w:rStyle w:val="7"/>
          <w:rFonts w:ascii="Times New Roman" w:hAnsi="Times New Roman" w:eastAsia="方正楷体_GBK" w:cs="Times New Roman"/>
          <w:b w:val="0"/>
          <w:sz w:val="32"/>
          <w:szCs w:val="32"/>
        </w:rPr>
        <w:t>（二）“三公”经费分项支出情况</w:t>
      </w:r>
    </w:p>
    <w:p>
      <w:pPr>
        <w:pStyle w:val="4"/>
        <w:shd w:val="clear" w:color="auto" w:fill="FFFFFF"/>
        <w:spacing w:before="0" w:beforeAutospacing="0" w:after="0" w:afterAutospacing="0"/>
        <w:jc w:val="both"/>
        <w:rPr>
          <w:rFonts w:ascii="Times New Roman" w:hAnsi="Times New Roman" w:eastAsia="方正仿宋_GBK"/>
          <w:sz w:val="32"/>
          <w:szCs w:val="32"/>
        </w:rPr>
      </w:pPr>
      <w:r>
        <w:rPr>
          <w:rFonts w:hint="eastAsia" w:ascii="Times New Roman" w:hAnsi="Times New Roman" w:cs="Times New Roman"/>
          <w:sz w:val="32"/>
          <w:szCs w:val="32"/>
        </w:rPr>
        <w:t xml:space="preserve">         </w:t>
      </w:r>
      <w:r>
        <w:rPr>
          <w:rFonts w:ascii="Times New Roman" w:hAnsi="Times New Roman" w:eastAsia="方正仿宋_GBK"/>
          <w:sz w:val="32"/>
          <w:szCs w:val="32"/>
        </w:rPr>
        <w:t>2019年度本部门因公出国（境）费用4.80万元，主要是用于</w:t>
      </w:r>
      <w:r>
        <w:rPr>
          <w:rFonts w:hint="eastAsia" w:ascii="Times New Roman" w:hAnsi="Times New Roman" w:eastAsia="方正仿宋_GBK"/>
          <w:sz w:val="32"/>
          <w:szCs w:val="32"/>
        </w:rPr>
        <w:t>中共重庆市委组织部和市科学技术局于2019年12月组织到德国参加科技创新驱动引领高质量发展专题培训班</w:t>
      </w:r>
      <w:r>
        <w:rPr>
          <w:rFonts w:ascii="Times New Roman" w:hAnsi="Times New Roman" w:eastAsia="方正仿宋_GBK"/>
          <w:sz w:val="32"/>
          <w:szCs w:val="32"/>
        </w:rPr>
        <w:t>。费用支出较年初预算数增加4.80万元，增长</w:t>
      </w:r>
      <w:r>
        <w:rPr>
          <w:rFonts w:hint="eastAsia" w:ascii="Times New Roman" w:hAnsi="Times New Roman" w:eastAsia="方正仿宋_GBK"/>
          <w:sz w:val="32"/>
          <w:szCs w:val="32"/>
        </w:rPr>
        <w:t>100</w:t>
      </w:r>
      <w:r>
        <w:rPr>
          <w:rFonts w:ascii="Times New Roman" w:hAnsi="Times New Roman" w:eastAsia="方正仿宋_GBK"/>
          <w:sz w:val="32"/>
          <w:szCs w:val="32"/>
        </w:rPr>
        <w:t>%，主要原因是</w:t>
      </w:r>
      <w:r>
        <w:rPr>
          <w:rFonts w:hint="eastAsia" w:ascii="Times New Roman" w:hAnsi="Times New Roman" w:eastAsia="方正仿宋_GBK"/>
          <w:sz w:val="32"/>
          <w:szCs w:val="32"/>
        </w:rPr>
        <w:t>年初无因公出国（境）计划，</w:t>
      </w:r>
      <w:r>
        <w:rPr>
          <w:rFonts w:ascii="Times New Roman" w:hAnsi="Times New Roman" w:eastAsia="方正仿宋_GBK"/>
          <w:sz w:val="32"/>
          <w:szCs w:val="32"/>
        </w:rPr>
        <w:t>经</w:t>
      </w:r>
      <w:r>
        <w:rPr>
          <w:rFonts w:hint="eastAsia" w:ascii="Times New Roman" w:hAnsi="Times New Roman" w:eastAsia="方正仿宋_GBK"/>
          <w:sz w:val="32"/>
          <w:szCs w:val="32"/>
        </w:rPr>
        <w:t>国家外专局和市委外事工作委员会</w:t>
      </w:r>
      <w:r>
        <w:rPr>
          <w:rFonts w:ascii="Times New Roman" w:hAnsi="Times New Roman" w:eastAsia="方正仿宋_GBK"/>
          <w:sz w:val="32"/>
          <w:szCs w:val="32"/>
        </w:rPr>
        <w:t>审</w:t>
      </w:r>
      <w:r>
        <w:rPr>
          <w:rFonts w:hint="eastAsia" w:ascii="Times New Roman" w:hAnsi="Times New Roman" w:eastAsia="方正仿宋_GBK"/>
          <w:sz w:val="32"/>
          <w:szCs w:val="32"/>
        </w:rPr>
        <w:t>批</w:t>
      </w:r>
      <w:r>
        <w:rPr>
          <w:rFonts w:ascii="Times New Roman" w:hAnsi="Times New Roman" w:eastAsia="方正仿宋_GBK"/>
          <w:sz w:val="32"/>
          <w:szCs w:val="32"/>
        </w:rPr>
        <w:t>同意，</w:t>
      </w:r>
      <w:r>
        <w:rPr>
          <w:rFonts w:hint="eastAsia" w:ascii="Times New Roman" w:hAnsi="Times New Roman" w:eastAsia="方正仿宋_GBK"/>
          <w:sz w:val="32"/>
          <w:szCs w:val="32"/>
        </w:rPr>
        <w:t>按照《关于2019年市管领导干部境外培训班次计划有关工作的通知》（</w:t>
      </w:r>
      <w:r>
        <w:rPr>
          <w:rFonts w:ascii="Times New Roman" w:hAnsi="Times New Roman" w:eastAsia="方正仿宋_GBK"/>
          <w:sz w:val="32"/>
          <w:szCs w:val="32"/>
        </w:rPr>
        <w:t>渝委组〔2019〕</w:t>
      </w:r>
      <w:r>
        <w:rPr>
          <w:rFonts w:hint="eastAsia" w:ascii="Times New Roman" w:hAnsi="Times New Roman" w:eastAsia="方正仿宋_GBK"/>
          <w:sz w:val="32"/>
          <w:szCs w:val="32"/>
        </w:rPr>
        <w:t>80</w:t>
      </w:r>
      <w:r>
        <w:rPr>
          <w:rFonts w:ascii="Times New Roman" w:hAnsi="Times New Roman" w:eastAsia="方正仿宋_GBK"/>
          <w:sz w:val="32"/>
          <w:szCs w:val="32"/>
        </w:rPr>
        <w:t>号</w:t>
      </w:r>
      <w:r>
        <w:rPr>
          <w:rFonts w:hint="eastAsia" w:ascii="Times New Roman" w:hAnsi="Times New Roman" w:eastAsia="方正仿宋_GBK"/>
          <w:sz w:val="32"/>
          <w:szCs w:val="32"/>
        </w:rPr>
        <w:t>）安排，赴德国</w:t>
      </w:r>
      <w:r>
        <w:rPr>
          <w:rFonts w:ascii="Times New Roman" w:hAnsi="Times New Roman" w:eastAsia="方正仿宋_GBK"/>
          <w:sz w:val="32"/>
          <w:szCs w:val="32"/>
        </w:rPr>
        <w:t>举办</w:t>
      </w:r>
      <w:r>
        <w:rPr>
          <w:rFonts w:hint="eastAsia" w:ascii="Times New Roman" w:hAnsi="Times New Roman" w:eastAsia="方正仿宋_GBK"/>
          <w:sz w:val="32"/>
          <w:szCs w:val="32"/>
        </w:rPr>
        <w:t>科技创新驱动引领高质量发展专题培训班，城口县分配1个名额</w:t>
      </w:r>
      <w:r>
        <w:rPr>
          <w:rFonts w:ascii="Times New Roman" w:hAnsi="Times New Roman" w:eastAsia="方正仿宋_GBK"/>
          <w:sz w:val="32"/>
          <w:szCs w:val="32"/>
        </w:rPr>
        <w:t>。较上年支出数增加4.80万元，增长</w:t>
      </w:r>
      <w:r>
        <w:rPr>
          <w:rFonts w:hint="eastAsia" w:ascii="Times New Roman" w:hAnsi="Times New Roman" w:eastAsia="方正仿宋_GBK"/>
          <w:sz w:val="32"/>
          <w:szCs w:val="32"/>
        </w:rPr>
        <w:t>100</w:t>
      </w:r>
      <w:r>
        <w:rPr>
          <w:rFonts w:ascii="Times New Roman" w:hAnsi="Times New Roman" w:eastAsia="方正仿宋_GBK"/>
          <w:sz w:val="32"/>
          <w:szCs w:val="32"/>
        </w:rPr>
        <w:t>%，主要原因</w:t>
      </w:r>
      <w:r>
        <w:rPr>
          <w:rFonts w:hint="eastAsia" w:ascii="Times New Roman" w:hAnsi="Times New Roman" w:eastAsia="方正仿宋_GBK"/>
          <w:sz w:val="32"/>
          <w:szCs w:val="32"/>
        </w:rPr>
        <w:t>根据2019年市管领导干部境外培训班次计划选派学员参加专题培训</w:t>
      </w:r>
      <w:r>
        <w:rPr>
          <w:rFonts w:ascii="Times New Roman" w:hAnsi="Times New Roman" w:eastAsia="方正仿宋_GBK"/>
          <w:sz w:val="32"/>
          <w:szCs w:val="32"/>
        </w:rPr>
        <w:t>。</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公务车购置费0.00万元，</w:t>
      </w:r>
      <w:r>
        <w:rPr>
          <w:rFonts w:hint="eastAsia" w:ascii="Times New Roman" w:hAnsi="Times New Roman" w:eastAsia="方正仿宋_GBK"/>
          <w:sz w:val="32"/>
          <w:szCs w:val="32"/>
        </w:rPr>
        <w:t>2019年未购买公务用车</w:t>
      </w:r>
      <w:r>
        <w:rPr>
          <w:rFonts w:ascii="Times New Roman" w:hAnsi="Times New Roman" w:eastAsia="方正仿宋_GBK"/>
          <w:sz w:val="32"/>
          <w:szCs w:val="32"/>
        </w:rPr>
        <w:t>。费用支出较年初预算数增加0.00万元，增长0.00%。较上年支出数增加0.00万元，增长0.00%，主要原因是</w:t>
      </w:r>
      <w:r>
        <w:rPr>
          <w:rFonts w:hint="eastAsia" w:ascii="Times New Roman" w:hAnsi="Times New Roman" w:eastAsia="方正仿宋_GBK"/>
          <w:sz w:val="32"/>
          <w:szCs w:val="32"/>
        </w:rPr>
        <w:t>2019年未购买公务用车</w:t>
      </w:r>
      <w:r>
        <w:rPr>
          <w:rFonts w:ascii="Times New Roman" w:hAnsi="Times New Roman" w:eastAsia="方正仿宋_GBK"/>
          <w:sz w:val="32"/>
          <w:szCs w:val="32"/>
        </w:rPr>
        <w:t>。</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 公务车运行维护费16.06万元，主要用于机要文件交换、市内因公出行、下乡考察干部、</w:t>
      </w:r>
      <w:r>
        <w:rPr>
          <w:rFonts w:hint="eastAsia" w:ascii="Times New Roman" w:hAnsi="Times New Roman" w:eastAsia="方正仿宋_GBK"/>
          <w:sz w:val="32"/>
          <w:szCs w:val="32"/>
        </w:rPr>
        <w:t>班子回访调研、年度</w:t>
      </w:r>
      <w:r>
        <w:rPr>
          <w:rFonts w:ascii="Times New Roman" w:hAnsi="Times New Roman" w:eastAsia="方正仿宋_GBK"/>
          <w:sz w:val="32"/>
          <w:szCs w:val="32"/>
        </w:rPr>
        <w:t>考核、督查基层党组织建设等工作所需车辆的燃料费、维修费、过桥过路费、保险费等。费用支出较年初预算数减少0.67万元，下降4.00%，主要原因是</w:t>
      </w:r>
      <w:r>
        <w:rPr>
          <w:rFonts w:hint="eastAsia" w:ascii="Times New Roman" w:hAnsi="Times New Roman" w:eastAsia="方正仿宋_GBK"/>
          <w:sz w:val="32"/>
          <w:szCs w:val="32"/>
        </w:rPr>
        <w:t>落实公车使用规定，严格费用开支</w:t>
      </w:r>
      <w:r>
        <w:rPr>
          <w:rFonts w:ascii="Times New Roman" w:hAnsi="Times New Roman" w:eastAsia="方正仿宋_GBK"/>
          <w:sz w:val="32"/>
          <w:szCs w:val="32"/>
        </w:rPr>
        <w:t>。较上年支出数减少0.67万元，下降4.00%，主要原因是</w:t>
      </w:r>
      <w:r>
        <w:rPr>
          <w:rFonts w:hint="eastAsia" w:ascii="Times New Roman" w:hAnsi="Times New Roman" w:eastAsia="方正仿宋_GBK"/>
          <w:sz w:val="32"/>
          <w:szCs w:val="32"/>
        </w:rPr>
        <w:t>严格落实公车使用规定，</w:t>
      </w:r>
      <w:r>
        <w:rPr>
          <w:rFonts w:ascii="Times New Roman" w:hAnsi="Times New Roman" w:eastAsia="方正仿宋_GBK"/>
          <w:sz w:val="32"/>
          <w:szCs w:val="32"/>
        </w:rPr>
        <w:t>严禁公车私用，公务用车运行维护成本有所下降。</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公务接待费28.54万元，主要用于接待市委组织部到我县督查</w:t>
      </w:r>
      <w:r>
        <w:rPr>
          <w:rFonts w:hint="eastAsia" w:ascii="Times New Roman" w:hAnsi="Times New Roman" w:eastAsia="方正仿宋_GBK"/>
          <w:sz w:val="32"/>
          <w:szCs w:val="32"/>
        </w:rPr>
        <w:t>基层党建工作</w:t>
      </w:r>
      <w:r>
        <w:rPr>
          <w:rFonts w:ascii="Times New Roman" w:hAnsi="Times New Roman" w:eastAsia="方正仿宋_GBK"/>
          <w:sz w:val="32"/>
          <w:szCs w:val="32"/>
        </w:rPr>
        <w:t>、</w:t>
      </w:r>
      <w:r>
        <w:rPr>
          <w:rFonts w:hint="eastAsia" w:ascii="Times New Roman" w:hAnsi="Times New Roman" w:eastAsia="方正仿宋_GBK"/>
          <w:sz w:val="32"/>
          <w:szCs w:val="32"/>
        </w:rPr>
        <w:t>干部</w:t>
      </w:r>
      <w:r>
        <w:rPr>
          <w:rFonts w:ascii="Times New Roman" w:hAnsi="Times New Roman" w:eastAsia="方正仿宋_GBK"/>
          <w:sz w:val="32"/>
          <w:szCs w:val="32"/>
        </w:rPr>
        <w:t>人事考察</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不忘初心、牢记使命</w:t>
      </w:r>
      <w:r>
        <w:rPr>
          <w:rFonts w:hint="eastAsia" w:ascii="Times New Roman" w:hAnsi="Times New Roman" w:eastAsia="方正仿宋_GBK"/>
          <w:sz w:val="32"/>
          <w:szCs w:val="32"/>
        </w:rPr>
        <w:t>”主题教育指导组开展专项工作检查，邀请</w:t>
      </w:r>
      <w:r>
        <w:rPr>
          <w:rFonts w:ascii="Times New Roman" w:hAnsi="Times New Roman" w:eastAsia="方正仿宋_GBK"/>
          <w:sz w:val="32"/>
          <w:szCs w:val="32"/>
        </w:rPr>
        <w:t>专家教授</w:t>
      </w:r>
      <w:r>
        <w:rPr>
          <w:rFonts w:hint="eastAsia" w:ascii="Times New Roman" w:hAnsi="Times New Roman" w:eastAsia="方正仿宋_GBK"/>
          <w:sz w:val="32"/>
          <w:szCs w:val="32"/>
        </w:rPr>
        <w:t>到县授课</w:t>
      </w:r>
      <w:r>
        <w:rPr>
          <w:rFonts w:ascii="Times New Roman" w:hAnsi="Times New Roman" w:eastAsia="方正仿宋_GBK"/>
          <w:sz w:val="32"/>
          <w:szCs w:val="32"/>
        </w:rPr>
        <w:t>、兄弟区县老干部局来县</w:t>
      </w:r>
      <w:r>
        <w:rPr>
          <w:rFonts w:hint="eastAsia" w:ascii="Times New Roman" w:hAnsi="Times New Roman" w:eastAsia="方正仿宋_GBK"/>
          <w:sz w:val="32"/>
          <w:szCs w:val="32"/>
        </w:rPr>
        <w:t>交流</w:t>
      </w:r>
      <w:r>
        <w:rPr>
          <w:rFonts w:ascii="Times New Roman" w:hAnsi="Times New Roman" w:eastAsia="方正仿宋_GBK"/>
          <w:sz w:val="32"/>
          <w:szCs w:val="32"/>
        </w:rPr>
        <w:t>学习，市级</w:t>
      </w:r>
      <w:r>
        <w:rPr>
          <w:rFonts w:hint="eastAsia" w:ascii="Times New Roman" w:hAnsi="Times New Roman" w:eastAsia="方正仿宋_GBK"/>
          <w:sz w:val="32"/>
          <w:szCs w:val="32"/>
        </w:rPr>
        <w:t>相关</w:t>
      </w:r>
      <w:r>
        <w:rPr>
          <w:rFonts w:ascii="Times New Roman" w:hAnsi="Times New Roman" w:eastAsia="方正仿宋_GBK"/>
          <w:sz w:val="32"/>
          <w:szCs w:val="32"/>
        </w:rPr>
        <w:t>部门检查指导工作</w:t>
      </w:r>
      <w:r>
        <w:rPr>
          <w:rFonts w:hint="eastAsia" w:ascii="Times New Roman" w:hAnsi="Times New Roman" w:eastAsia="方正仿宋_GBK"/>
          <w:sz w:val="32"/>
          <w:szCs w:val="32"/>
        </w:rPr>
        <w:t>等</w:t>
      </w:r>
      <w:r>
        <w:rPr>
          <w:rFonts w:ascii="Times New Roman" w:hAnsi="Times New Roman" w:eastAsia="方正仿宋_GBK"/>
          <w:sz w:val="32"/>
          <w:szCs w:val="32"/>
        </w:rPr>
        <w:t>发生的接待</w:t>
      </w:r>
      <w:r>
        <w:rPr>
          <w:rFonts w:hint="eastAsia" w:ascii="Times New Roman" w:hAnsi="Times New Roman" w:eastAsia="方正仿宋_GBK"/>
          <w:sz w:val="32"/>
          <w:szCs w:val="32"/>
        </w:rPr>
        <w:t>费</w:t>
      </w:r>
      <w:r>
        <w:rPr>
          <w:rFonts w:ascii="Times New Roman" w:hAnsi="Times New Roman" w:eastAsia="方正仿宋_GBK"/>
          <w:sz w:val="32"/>
          <w:szCs w:val="32"/>
        </w:rPr>
        <w:t>。费用支出较年初预算数减少8.68万元，下降23.32%，主要原因是严格按公务接待</w:t>
      </w:r>
      <w:r>
        <w:rPr>
          <w:rFonts w:hint="eastAsia" w:ascii="Times New Roman" w:hAnsi="Times New Roman" w:eastAsia="方正仿宋_GBK"/>
          <w:sz w:val="32"/>
          <w:szCs w:val="32"/>
        </w:rPr>
        <w:t>开支范围和</w:t>
      </w:r>
      <w:r>
        <w:rPr>
          <w:rFonts w:ascii="Times New Roman" w:hAnsi="Times New Roman" w:eastAsia="方正仿宋_GBK"/>
          <w:sz w:val="32"/>
          <w:szCs w:val="32"/>
        </w:rPr>
        <w:t>标准执行，控制陪餐人数。较上年支出数减少8.68万元，下降23.32%，主要原因是按照只减不增的要求从严控制部机关</w:t>
      </w:r>
      <w:r>
        <w:rPr>
          <w:rFonts w:hint="eastAsia" w:ascii="Times New Roman" w:hAnsi="Times New Roman" w:eastAsia="方正仿宋_GBK"/>
          <w:sz w:val="32"/>
          <w:szCs w:val="32"/>
        </w:rPr>
        <w:t>公务接待</w:t>
      </w:r>
      <w:r>
        <w:rPr>
          <w:rFonts w:ascii="Times New Roman" w:hAnsi="Times New Roman" w:eastAsia="方正仿宋_GBK"/>
          <w:sz w:val="32"/>
          <w:szCs w:val="32"/>
        </w:rPr>
        <w:t>经费</w:t>
      </w:r>
      <w:r>
        <w:rPr>
          <w:rFonts w:hint="eastAsia" w:ascii="Times New Roman" w:hAnsi="Times New Roman" w:eastAsia="方正仿宋_GBK"/>
          <w:sz w:val="32"/>
          <w:szCs w:val="32"/>
        </w:rPr>
        <w:t>支出</w:t>
      </w:r>
      <w:r>
        <w:rPr>
          <w:rFonts w:ascii="Times New Roman" w:hAnsi="Times New Roman" w:eastAsia="方正仿宋_GBK"/>
          <w:sz w:val="32"/>
          <w:szCs w:val="32"/>
        </w:rPr>
        <w:t>。</w:t>
      </w:r>
    </w:p>
    <w:p>
      <w:pPr>
        <w:pStyle w:val="4"/>
        <w:shd w:val="clear" w:color="auto" w:fill="FFFFFF"/>
        <w:spacing w:before="0" w:beforeAutospacing="0" w:after="0" w:afterAutospacing="0"/>
        <w:ind w:firstLine="640" w:firstLineChars="200"/>
        <w:jc w:val="both"/>
        <w:rPr>
          <w:rStyle w:val="7"/>
          <w:rFonts w:ascii="Times New Roman" w:hAnsi="Times New Roman" w:eastAsia="方正楷体_GBK" w:cs="Times New Roman"/>
          <w:b w:val="0"/>
          <w:sz w:val="32"/>
          <w:szCs w:val="32"/>
        </w:rPr>
      </w:pPr>
      <w:r>
        <w:rPr>
          <w:rStyle w:val="7"/>
          <w:rFonts w:ascii="Times New Roman" w:hAnsi="Times New Roman" w:eastAsia="方正楷体_GBK" w:cs="Times New Roman"/>
          <w:b w:val="0"/>
          <w:sz w:val="32"/>
          <w:szCs w:val="32"/>
        </w:rPr>
        <w:t> （三）“三公”经费实物量情况</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2019年度本部门因公出国（境）共计0个团组，1人；公务用车购置0辆，公务车保有量为2辆；国内公务接待190批次2580人，其中：国内外事接待0批次，0人；国（境）外公务接待0批次，0人。2019年本部门人均接待费110.61元，车均购置费0.00万元，车均维护费8.03万元。</w:t>
      </w:r>
    </w:p>
    <w:p>
      <w:pPr>
        <w:pStyle w:val="4"/>
        <w:shd w:val="clear" w:color="auto" w:fill="FFFFFF"/>
        <w:spacing w:before="0" w:beforeAutospacing="0" w:after="0" w:afterAutospacing="0"/>
        <w:ind w:firstLine="643" w:firstLineChars="200"/>
        <w:jc w:val="both"/>
        <w:rPr>
          <w:rFonts w:ascii="方正黑体_GBK" w:hAnsi="Times New Roman" w:eastAsia="方正黑体_GBK" w:cs="Times New Roman"/>
          <w:b/>
          <w:sz w:val="32"/>
          <w:szCs w:val="32"/>
        </w:rPr>
      </w:pPr>
      <w:r>
        <w:rPr>
          <w:rStyle w:val="7"/>
          <w:rFonts w:ascii="Times New Roman" w:hAnsi="Times New Roman" w:cs="Times New Roman"/>
          <w:sz w:val="32"/>
          <w:szCs w:val="32"/>
        </w:rPr>
        <w:t> </w:t>
      </w:r>
      <w:r>
        <w:rPr>
          <w:rStyle w:val="7"/>
          <w:rFonts w:hint="eastAsia" w:ascii="方正黑体_GBK" w:hAnsi="Times New Roman" w:eastAsia="方正黑体_GBK" w:cs="Times New Roman"/>
          <w:b w:val="0"/>
          <w:sz w:val="32"/>
          <w:szCs w:val="32"/>
        </w:rPr>
        <w:t>四、其他需要说明的事项</w:t>
      </w:r>
    </w:p>
    <w:p>
      <w:pPr>
        <w:ind w:firstLine="470" w:firstLineChars="147"/>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 （一）机关运行经费情况说明。</w:t>
      </w:r>
      <w:r>
        <w:rPr>
          <w:rFonts w:ascii="Times New Roman" w:hAnsi="Times New Roman" w:eastAsia="方正仿宋_GBK"/>
          <w:sz w:val="32"/>
          <w:szCs w:val="32"/>
        </w:rPr>
        <w:t>2019年度本部门机关运行经费支出305.20万元，主要原因是机关运行经费用开支在上年度基础上对干部、</w:t>
      </w:r>
      <w:r>
        <w:rPr>
          <w:rFonts w:hint="eastAsia" w:ascii="Times New Roman" w:hAnsi="Times New Roman" w:eastAsia="方正仿宋_GBK"/>
          <w:sz w:val="32"/>
          <w:szCs w:val="32"/>
        </w:rPr>
        <w:t>人才工作、</w:t>
      </w:r>
      <w:r>
        <w:rPr>
          <w:rFonts w:ascii="Times New Roman" w:hAnsi="Times New Roman" w:eastAsia="方正仿宋_GBK"/>
          <w:sz w:val="32"/>
          <w:szCs w:val="32"/>
        </w:rPr>
        <w:t>干部教育、老干部、考核等工作的专项经费调整项目支出，主要包括办公费、培训费、差旅费、公务接待费、公务用车运行维护费等相应开支。机关运行经费主要用于办公费、差旅费、水电费、公务车运行维护费、网络建设费等。机关运行经费较上年决算数增加229.31万元，增长302.16%，主要原因是</w:t>
      </w:r>
      <w:r>
        <w:rPr>
          <w:rFonts w:hint="eastAsia" w:ascii="Times New Roman" w:hAnsi="Times New Roman" w:eastAsia="方正仿宋_GBK"/>
          <w:sz w:val="32"/>
          <w:szCs w:val="32"/>
        </w:rPr>
        <w:t>机关财政供养人员增加，公用办公经费相应增加</w:t>
      </w:r>
      <w:r>
        <w:rPr>
          <w:rFonts w:ascii="Times New Roman" w:hAnsi="Times New Roman" w:eastAsia="方正仿宋_GBK"/>
          <w:sz w:val="32"/>
          <w:szCs w:val="32"/>
        </w:rPr>
        <w:t>。此外，本年度一般公共预算财政拨款会议费支出5.42万元，较上年决算数减少0.45万元，下降7.67%，主要原因是</w:t>
      </w:r>
      <w:r>
        <w:rPr>
          <w:rFonts w:hint="eastAsia" w:ascii="Times New Roman" w:hAnsi="Times New Roman" w:eastAsia="方正仿宋_GBK"/>
          <w:sz w:val="32"/>
          <w:szCs w:val="32"/>
        </w:rPr>
        <w:t>按要求精简会议，控制会议成本</w:t>
      </w:r>
      <w:r>
        <w:rPr>
          <w:rFonts w:ascii="Times New Roman" w:hAnsi="Times New Roman" w:eastAsia="方正仿宋_GBK"/>
          <w:sz w:val="32"/>
          <w:szCs w:val="32"/>
        </w:rPr>
        <w:t>。本年度一般公共预算财政拨款培训费支出101.50万元，较上年决算数增加46.58万元，增长84.81%，主要原因是</w:t>
      </w:r>
      <w:r>
        <w:rPr>
          <w:rFonts w:hint="eastAsia" w:ascii="Times New Roman" w:hAnsi="Times New Roman" w:eastAsia="方正仿宋_GBK"/>
          <w:sz w:val="32"/>
          <w:szCs w:val="32"/>
        </w:rPr>
        <w:t>增加了2018年</w:t>
      </w:r>
      <w:r>
        <w:rPr>
          <w:rFonts w:ascii="Times New Roman" w:hAnsi="Times New Roman" w:eastAsia="方正仿宋_GBK" w:cs="Times New Roman"/>
          <w:sz w:val="32"/>
          <w:szCs w:val="32"/>
        </w:rPr>
        <w:t>干部教育培训下差经费</w:t>
      </w:r>
      <w:r>
        <w:rPr>
          <w:rFonts w:hint="eastAsia" w:ascii="Times New Roman" w:hAnsi="Times New Roman" w:eastAsia="方正仿宋_GBK" w:cs="Times New Roman"/>
          <w:sz w:val="32"/>
          <w:szCs w:val="32"/>
        </w:rPr>
        <w:t>。</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（二）国有资产占用情况说明。</w:t>
      </w:r>
      <w:r>
        <w:rPr>
          <w:rFonts w:ascii="Times New Roman" w:hAnsi="Times New Roman" w:eastAsia="方正仿宋_GBK"/>
          <w:sz w:val="32"/>
          <w:szCs w:val="32"/>
        </w:rPr>
        <w:t>截至2019年12月31日，本部门共有车辆2辆，其中，副部（省）级及以上领导用车0辆、主要领导干部用车0辆、机要通信用车0辆、应急保障用车2辆、执法执勤用车0辆，特种专业技术用车0辆，离退休干部用车0辆，其他用车0辆</w:t>
      </w:r>
      <w:r>
        <w:rPr>
          <w:rFonts w:hint="eastAsia" w:ascii="Times New Roman" w:hAnsi="Times New Roman" w:eastAsia="方正仿宋_GBK"/>
          <w:sz w:val="32"/>
          <w:szCs w:val="32"/>
        </w:rPr>
        <w:t>，公车主要用于</w:t>
      </w:r>
      <w:r>
        <w:rPr>
          <w:rFonts w:ascii="Times New Roman" w:hAnsi="Times New Roman" w:eastAsia="方正仿宋_GBK"/>
          <w:sz w:val="32"/>
          <w:szCs w:val="32"/>
        </w:rPr>
        <w:t>应急保障</w:t>
      </w:r>
      <w:r>
        <w:rPr>
          <w:rFonts w:hint="eastAsia" w:ascii="Times New Roman" w:hAnsi="Times New Roman" w:eastAsia="方正仿宋_GBK"/>
          <w:sz w:val="32"/>
          <w:szCs w:val="32"/>
        </w:rPr>
        <w:t>类相关事项</w:t>
      </w:r>
      <w:r>
        <w:rPr>
          <w:rFonts w:ascii="Times New Roman" w:hAnsi="Times New Roman" w:eastAsia="方正仿宋_GBK"/>
          <w:sz w:val="32"/>
          <w:szCs w:val="32"/>
        </w:rPr>
        <w:t>用</w:t>
      </w:r>
      <w:r>
        <w:rPr>
          <w:rFonts w:hint="eastAsia" w:ascii="Times New Roman" w:hAnsi="Times New Roman" w:eastAsia="方正仿宋_GBK"/>
          <w:sz w:val="32"/>
          <w:szCs w:val="32"/>
        </w:rPr>
        <w:t>车</w:t>
      </w:r>
      <w:r>
        <w:rPr>
          <w:rFonts w:ascii="Times New Roman" w:hAnsi="Times New Roman" w:eastAsia="方正仿宋_GBK"/>
          <w:sz w:val="32"/>
          <w:szCs w:val="32"/>
        </w:rPr>
        <w:t>。单价50万元（含）以上通用设备0台（套），单价100万元（含）以上专用设备0台（套）。</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（三）政府采购支出情况说明。</w:t>
      </w:r>
      <w:r>
        <w:rPr>
          <w:rFonts w:ascii="Times New Roman" w:hAnsi="Times New Roman" w:eastAsia="方正仿宋_GBK"/>
          <w:sz w:val="32"/>
          <w:szCs w:val="32"/>
        </w:rPr>
        <w:t>2019年度本部门政府采购支出总额16.43万元，其中：政府采购货物支出16.43万元、政府采购工程支出0.00万元、政府采购服务支出0.00万元。授予中小企业合同金额16.43万元，占政府采购支出总额的100.00%，其中：授予小微企业合同金额8.31万元，占政府采购支出总额的50.58%。主要用于采购</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不忘初心、牢记使命</w:t>
      </w:r>
      <w:r>
        <w:rPr>
          <w:rFonts w:hint="eastAsia" w:ascii="Times New Roman" w:hAnsi="Times New Roman" w:eastAsia="方正仿宋_GBK"/>
          <w:sz w:val="32"/>
          <w:szCs w:val="32"/>
        </w:rPr>
        <w:t>”主题教育办公电脑、打印机，采购部机关日常办公台式电脑、打印机等</w:t>
      </w:r>
      <w:r>
        <w:rPr>
          <w:rFonts w:ascii="Times New Roman" w:hAnsi="Times New Roman" w:eastAsia="方正仿宋_GBK"/>
          <w:sz w:val="32"/>
          <w:szCs w:val="32"/>
        </w:rPr>
        <w:t>。</w:t>
      </w:r>
    </w:p>
    <w:p>
      <w:pPr>
        <w:pStyle w:val="4"/>
        <w:shd w:val="clear" w:color="auto" w:fill="FFFFFF"/>
        <w:spacing w:before="0" w:beforeAutospacing="0" w:after="0" w:afterAutospacing="0"/>
        <w:jc w:val="both"/>
        <w:rPr>
          <w:rFonts w:ascii="方正黑体_GBK" w:hAnsi="Times New Roman" w:eastAsia="方正黑体_GBK" w:cs="Times New Roman"/>
          <w:b/>
          <w:sz w:val="32"/>
          <w:szCs w:val="32"/>
        </w:rPr>
      </w:pPr>
      <w:r>
        <w:rPr>
          <w:rStyle w:val="7"/>
          <w:rFonts w:hint="eastAsia" w:ascii="方正黑体_GBK" w:hAnsi="Times New Roman" w:eastAsia="方正黑体_GBK" w:cs="Times New Roman"/>
          <w:b w:val="0"/>
          <w:sz w:val="32"/>
          <w:szCs w:val="32"/>
        </w:rPr>
        <w:t xml:space="preserve">        五、预算绩效管理情况说明</w:t>
      </w:r>
    </w:p>
    <w:p>
      <w:pPr>
        <w:pStyle w:val="10"/>
        <w:tabs>
          <w:tab w:val="center" w:pos="4153"/>
          <w:tab w:val="left" w:pos="7275"/>
        </w:tabs>
        <w:ind w:firstLine="640"/>
        <w:rPr>
          <w:rStyle w:val="7"/>
          <w:rFonts w:ascii="Times New Roman" w:hAnsi="Times New Roman" w:eastAsia="方正楷体_GBK" w:cs="Times New Roman"/>
          <w:b w:val="0"/>
          <w:bCs w:val="0"/>
          <w:sz w:val="32"/>
          <w:szCs w:val="32"/>
        </w:rPr>
      </w:pPr>
      <w:r>
        <w:rPr>
          <w:rStyle w:val="7"/>
          <w:rFonts w:ascii="Times New Roman" w:hAnsi="方正楷体_GBK" w:eastAsia="方正楷体_GBK" w:cs="Times New Roman"/>
          <w:b w:val="0"/>
          <w:bCs w:val="0"/>
          <w:sz w:val="32"/>
          <w:szCs w:val="32"/>
        </w:rPr>
        <w:t>（一）预算绩效管理工作开展情况</w:t>
      </w:r>
    </w:p>
    <w:p>
      <w:pPr>
        <w:pStyle w:val="4"/>
        <w:shd w:val="clear" w:color="auto" w:fill="FFFFFF"/>
        <w:spacing w:before="0" w:beforeAutospacing="0" w:after="0" w:afterAutospacing="0"/>
        <w:rPr>
          <w:rFonts w:hint="eastAsia" w:ascii="方正仿宋_GBK" w:eastAsia="方正仿宋_GBK"/>
          <w:sz w:val="32"/>
          <w:szCs w:val="32"/>
        </w:rPr>
      </w:pPr>
      <w:r>
        <w:rPr>
          <w:rFonts w:hint="eastAsia" w:ascii="方正仿宋_GBK" w:eastAsia="方正仿宋_GBK"/>
          <w:sz w:val="32"/>
          <w:szCs w:val="32"/>
        </w:rPr>
        <w:t xml:space="preserve">     本单位不涉及项目的预算绩效管理与绩效自评。</w:t>
      </w:r>
    </w:p>
    <w:p>
      <w:pPr>
        <w:pStyle w:val="10"/>
        <w:tabs>
          <w:tab w:val="center" w:pos="4153"/>
          <w:tab w:val="left" w:pos="7275"/>
        </w:tabs>
        <w:ind w:firstLine="640"/>
        <w:rPr>
          <w:rStyle w:val="7"/>
          <w:rFonts w:hint="eastAsia" w:ascii="Times New Roman" w:hAnsi="Times New Roman" w:eastAsia="方正楷体_GBK" w:cs="Times New Roman"/>
          <w:b w:val="0"/>
          <w:bCs w:val="0"/>
          <w:sz w:val="32"/>
          <w:szCs w:val="32"/>
        </w:rPr>
      </w:pPr>
      <w:r>
        <w:rPr>
          <w:rStyle w:val="7"/>
          <w:rFonts w:ascii="Times New Roman" w:hAnsi="方正楷体_GBK" w:eastAsia="方正楷体_GBK" w:cs="Times New Roman"/>
          <w:b w:val="0"/>
          <w:bCs w:val="0"/>
          <w:sz w:val="32"/>
          <w:szCs w:val="32"/>
        </w:rPr>
        <w:t>（二）绩效自评结果</w:t>
      </w:r>
    </w:p>
    <w:p>
      <w:pPr>
        <w:pStyle w:val="10"/>
        <w:tabs>
          <w:tab w:val="center" w:pos="4153"/>
          <w:tab w:val="left" w:pos="7275"/>
        </w:tabs>
        <w:ind w:firstLine="640"/>
        <w:rPr>
          <w:rStyle w:val="7"/>
          <w:rFonts w:hint="eastAsia" w:ascii="方正仿宋_GBK" w:hAnsi="Times New Roman" w:eastAsia="方正仿宋_GBK" w:cs="Times New Roman"/>
          <w:b w:val="0"/>
          <w:bCs w:val="0"/>
          <w:sz w:val="36"/>
          <w:szCs w:val="32"/>
        </w:rPr>
      </w:pPr>
      <w:r>
        <w:rPr>
          <w:rStyle w:val="7"/>
          <w:rFonts w:hint="eastAsia" w:ascii="方正仿宋_GBK" w:hAnsi="Arial" w:eastAsia="方正仿宋_GBK" w:cs="Arial"/>
          <w:b w:val="0"/>
          <w:color w:val="000000"/>
          <w:sz w:val="32"/>
          <w:szCs w:val="30"/>
        </w:rPr>
        <w:t>1.绩效目标自评表（无）</w:t>
      </w:r>
    </w:p>
    <w:p>
      <w:pPr>
        <w:pStyle w:val="10"/>
        <w:tabs>
          <w:tab w:val="center" w:pos="4153"/>
          <w:tab w:val="left" w:pos="7275"/>
        </w:tabs>
        <w:ind w:firstLine="640"/>
        <w:rPr>
          <w:rStyle w:val="7"/>
          <w:rFonts w:hint="eastAsia" w:ascii="方正仿宋_GBK" w:hAnsi="Arial" w:eastAsia="方正仿宋_GBK" w:cs="Arial"/>
          <w:b w:val="0"/>
          <w:color w:val="000000"/>
          <w:sz w:val="32"/>
          <w:szCs w:val="30"/>
        </w:rPr>
      </w:pPr>
      <w:r>
        <w:rPr>
          <w:rStyle w:val="7"/>
          <w:rFonts w:hint="eastAsia" w:ascii="方正仿宋_GBK" w:hAnsi="Arial" w:eastAsia="方正仿宋_GBK" w:cs="Arial"/>
          <w:b w:val="0"/>
          <w:color w:val="000000"/>
          <w:sz w:val="32"/>
          <w:szCs w:val="30"/>
        </w:rPr>
        <w:t>2.绩效自评报告或案例（无）</w:t>
      </w:r>
    </w:p>
    <w:p>
      <w:pPr>
        <w:pStyle w:val="10"/>
        <w:tabs>
          <w:tab w:val="center" w:pos="4153"/>
          <w:tab w:val="left" w:pos="7275"/>
        </w:tabs>
        <w:ind w:firstLine="600"/>
        <w:rPr>
          <w:rStyle w:val="7"/>
          <w:rFonts w:hint="eastAsia" w:ascii="方正楷体_GBK" w:hAnsi="Times New Roman" w:eastAsia="方正楷体_GBK" w:cs="Times New Roman"/>
          <w:b w:val="0"/>
          <w:bCs w:val="0"/>
          <w:sz w:val="32"/>
          <w:szCs w:val="32"/>
        </w:rPr>
      </w:pPr>
      <w:r>
        <w:rPr>
          <w:rStyle w:val="7"/>
          <w:rFonts w:hint="eastAsia" w:ascii="方正楷体_GBK" w:hAnsi="Arial" w:eastAsia="方正楷体_GBK" w:cs="Arial"/>
          <w:b w:val="0"/>
          <w:color w:val="000000"/>
          <w:sz w:val="30"/>
          <w:szCs w:val="30"/>
        </w:rPr>
        <w:t>（三）重点绩效评价结果（无）</w:t>
      </w:r>
    </w:p>
    <w:p>
      <w:pPr>
        <w:pStyle w:val="4"/>
        <w:shd w:val="clear" w:color="auto" w:fill="FFFFFF"/>
        <w:spacing w:before="0" w:beforeAutospacing="0" w:after="0" w:afterAutospacing="0"/>
        <w:ind w:firstLine="640" w:firstLineChars="200"/>
        <w:jc w:val="both"/>
        <w:rPr>
          <w:rFonts w:ascii="方正黑体_GBK" w:hAnsi="Times New Roman" w:eastAsia="方正黑体_GBK" w:cs="Times New Roman"/>
          <w:b/>
          <w:sz w:val="32"/>
          <w:szCs w:val="32"/>
        </w:rPr>
      </w:pPr>
      <w:r>
        <w:rPr>
          <w:rStyle w:val="7"/>
          <w:rFonts w:hint="eastAsia" w:ascii="方正黑体_GBK" w:hAnsi="Times New Roman" w:eastAsia="方正黑体_GBK" w:cs="Times New Roman"/>
          <w:b w:val="0"/>
          <w:sz w:val="32"/>
          <w:szCs w:val="32"/>
        </w:rPr>
        <w:t>六、专业名词解释</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（一）财政拨款收入</w:t>
      </w:r>
      <w:r>
        <w:rPr>
          <w:rStyle w:val="7"/>
          <w:rFonts w:ascii="Times New Roman" w:hAnsi="Times New Roman" w:eastAsia="方正楷体_GBK" w:cs="Times New Roman"/>
          <w:sz w:val="32"/>
          <w:szCs w:val="32"/>
        </w:rPr>
        <w:t>：</w:t>
      </w:r>
      <w:r>
        <w:rPr>
          <w:rFonts w:ascii="Times New Roman" w:hAnsi="Times New Roman" w:eastAsia="方正仿宋_GBK"/>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w:t>
      </w:r>
      <w:r>
        <w:rPr>
          <w:rStyle w:val="7"/>
          <w:rFonts w:hint="eastAsia" w:ascii="Times New Roman" w:hAnsi="Times New Roman" w:eastAsia="方正楷体_GBK" w:cs="Times New Roman"/>
          <w:b w:val="0"/>
          <w:sz w:val="32"/>
          <w:szCs w:val="32"/>
        </w:rPr>
        <w:t>二</w:t>
      </w:r>
      <w:r>
        <w:rPr>
          <w:rStyle w:val="7"/>
          <w:rFonts w:ascii="Times New Roman" w:hAnsi="Times New Roman" w:eastAsia="方正楷体_GBK" w:cs="Times New Roman"/>
          <w:b w:val="0"/>
          <w:sz w:val="32"/>
          <w:szCs w:val="32"/>
        </w:rPr>
        <w:t>）其他收入</w:t>
      </w:r>
      <w:r>
        <w:rPr>
          <w:rFonts w:ascii="Times New Roman" w:hAnsi="Times New Roman" w:cs="Times New Roman"/>
          <w:sz w:val="32"/>
          <w:szCs w:val="32"/>
        </w:rPr>
        <w:t>：</w:t>
      </w:r>
      <w:r>
        <w:rPr>
          <w:rFonts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w:t>
      </w:r>
      <w:r>
        <w:rPr>
          <w:rStyle w:val="7"/>
          <w:rFonts w:hint="eastAsia" w:ascii="Times New Roman" w:hAnsi="Times New Roman" w:eastAsia="方正楷体_GBK" w:cs="Times New Roman"/>
          <w:b w:val="0"/>
          <w:sz w:val="32"/>
          <w:szCs w:val="32"/>
        </w:rPr>
        <w:t>三</w:t>
      </w:r>
      <w:r>
        <w:rPr>
          <w:rStyle w:val="7"/>
          <w:rFonts w:ascii="Times New Roman" w:hAnsi="Times New Roman" w:eastAsia="方正楷体_GBK" w:cs="Times New Roman"/>
          <w:b w:val="0"/>
          <w:sz w:val="32"/>
          <w:szCs w:val="32"/>
        </w:rPr>
        <w:t>）年初结转和结余</w:t>
      </w:r>
      <w:r>
        <w:rPr>
          <w:rStyle w:val="7"/>
          <w:rFonts w:ascii="Times New Roman" w:hAnsi="Times New Roman" w:eastAsia="方正楷体_GBK" w:cs="Times New Roman"/>
          <w:sz w:val="32"/>
          <w:szCs w:val="32"/>
        </w:rPr>
        <w:t>：</w:t>
      </w:r>
      <w:r>
        <w:rPr>
          <w:rFonts w:ascii="Times New Roman" w:hAnsi="Times New Roman" w:eastAsia="方正仿宋_GBK"/>
          <w:sz w:val="32"/>
          <w:szCs w:val="32"/>
        </w:rPr>
        <w:t>指单位上年结转本年使用的基本支出结转、项目支出结转和结余、经营结余。</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w:t>
      </w:r>
      <w:r>
        <w:rPr>
          <w:rStyle w:val="7"/>
          <w:rFonts w:hint="eastAsia" w:ascii="Times New Roman" w:hAnsi="Times New Roman" w:eastAsia="方正楷体_GBK" w:cs="Times New Roman"/>
          <w:b w:val="0"/>
          <w:sz w:val="32"/>
          <w:szCs w:val="32"/>
        </w:rPr>
        <w:t>四</w:t>
      </w:r>
      <w:r>
        <w:rPr>
          <w:rStyle w:val="7"/>
          <w:rFonts w:ascii="Times New Roman" w:hAnsi="Times New Roman" w:eastAsia="方正楷体_GBK" w:cs="Times New Roman"/>
          <w:b w:val="0"/>
          <w:sz w:val="32"/>
          <w:szCs w:val="32"/>
        </w:rPr>
        <w:t>）年末结转和结余</w:t>
      </w:r>
      <w:r>
        <w:rPr>
          <w:rStyle w:val="7"/>
          <w:rFonts w:ascii="Times New Roman" w:hAnsi="Times New Roman" w:eastAsia="方正楷体_GBK" w:cs="Times New Roman"/>
          <w:sz w:val="32"/>
          <w:szCs w:val="32"/>
        </w:rPr>
        <w:t>：</w:t>
      </w:r>
      <w:r>
        <w:rPr>
          <w:rFonts w:ascii="Times New Roman" w:hAnsi="Times New Roman" w:eastAsia="方正仿宋_GBK"/>
          <w:sz w:val="32"/>
          <w:szCs w:val="32"/>
        </w:rPr>
        <w:t>指单位结转下年的基本支出结转、项目支出结转和结余、经营结余。</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w:t>
      </w:r>
      <w:r>
        <w:rPr>
          <w:rStyle w:val="7"/>
          <w:rFonts w:hint="eastAsia" w:ascii="Times New Roman" w:hAnsi="Times New Roman" w:eastAsia="方正楷体_GBK" w:cs="Times New Roman"/>
          <w:b w:val="0"/>
          <w:sz w:val="32"/>
          <w:szCs w:val="32"/>
        </w:rPr>
        <w:t>五</w:t>
      </w:r>
      <w:r>
        <w:rPr>
          <w:rStyle w:val="7"/>
          <w:rFonts w:ascii="Times New Roman" w:hAnsi="Times New Roman" w:eastAsia="方正楷体_GBK" w:cs="Times New Roman"/>
          <w:b w:val="0"/>
          <w:sz w:val="32"/>
          <w:szCs w:val="32"/>
        </w:rPr>
        <w:t>）基本支出</w:t>
      </w:r>
      <w:r>
        <w:rPr>
          <w:rStyle w:val="7"/>
          <w:rFonts w:ascii="Times New Roman" w:hAnsi="Times New Roman" w:eastAsia="方正楷体_GBK" w:cs="Times New Roman"/>
          <w:sz w:val="32"/>
          <w:szCs w:val="32"/>
        </w:rPr>
        <w:t>：</w:t>
      </w:r>
      <w:r>
        <w:rPr>
          <w:rFonts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w:t>
      </w:r>
      <w:r>
        <w:rPr>
          <w:rStyle w:val="7"/>
          <w:rFonts w:hint="eastAsia" w:ascii="Times New Roman" w:hAnsi="Times New Roman" w:eastAsia="方正楷体_GBK" w:cs="Times New Roman"/>
          <w:b w:val="0"/>
          <w:sz w:val="32"/>
          <w:szCs w:val="32"/>
        </w:rPr>
        <w:t>六</w:t>
      </w:r>
      <w:r>
        <w:rPr>
          <w:rStyle w:val="7"/>
          <w:rFonts w:ascii="Times New Roman" w:hAnsi="Times New Roman" w:eastAsia="方正楷体_GBK" w:cs="Times New Roman"/>
          <w:b w:val="0"/>
          <w:sz w:val="32"/>
          <w:szCs w:val="32"/>
        </w:rPr>
        <w:t>）项目支出</w:t>
      </w:r>
      <w:r>
        <w:rPr>
          <w:rStyle w:val="7"/>
          <w:rFonts w:ascii="Times New Roman" w:hAnsi="Times New Roman" w:eastAsia="方正楷体_GBK" w:cs="Times New Roman"/>
          <w:sz w:val="32"/>
          <w:szCs w:val="32"/>
        </w:rPr>
        <w:t>：</w:t>
      </w:r>
      <w:r>
        <w:rPr>
          <w:rFonts w:ascii="Times New Roman" w:hAnsi="Times New Roman" w:eastAsia="方正仿宋_GBK"/>
          <w:sz w:val="32"/>
          <w:szCs w:val="32"/>
        </w:rPr>
        <w:t>指在基本支出之外为完成特定行政任务和事业发展目标所发生的支出。</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w:t>
      </w:r>
      <w:r>
        <w:rPr>
          <w:rStyle w:val="7"/>
          <w:rFonts w:hint="eastAsia" w:ascii="Times New Roman" w:hAnsi="Times New Roman" w:eastAsia="方正楷体_GBK" w:cs="Times New Roman"/>
          <w:b w:val="0"/>
          <w:sz w:val="32"/>
          <w:szCs w:val="32"/>
        </w:rPr>
        <w:t>七</w:t>
      </w:r>
      <w:r>
        <w:rPr>
          <w:rStyle w:val="7"/>
          <w:rFonts w:ascii="Times New Roman" w:hAnsi="Times New Roman" w:eastAsia="方正楷体_GBK" w:cs="Times New Roman"/>
          <w:b w:val="0"/>
          <w:sz w:val="32"/>
          <w:szCs w:val="32"/>
        </w:rPr>
        <w:t>）“三公”经费</w:t>
      </w:r>
      <w:r>
        <w:rPr>
          <w:rStyle w:val="7"/>
          <w:rFonts w:ascii="Times New Roman" w:hAnsi="Times New Roman" w:eastAsia="方正楷体_GBK" w:cs="Times New Roman"/>
          <w:sz w:val="32"/>
          <w:szCs w:val="32"/>
        </w:rPr>
        <w:t>：</w:t>
      </w:r>
      <w:r>
        <w:rPr>
          <w:rFonts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w:t>
      </w:r>
      <w:r>
        <w:rPr>
          <w:rStyle w:val="7"/>
          <w:rFonts w:hint="eastAsia" w:ascii="Times New Roman" w:hAnsi="Times New Roman" w:eastAsia="方正楷体_GBK" w:cs="Times New Roman"/>
          <w:b w:val="0"/>
          <w:sz w:val="32"/>
          <w:szCs w:val="32"/>
        </w:rPr>
        <w:t>八</w:t>
      </w:r>
      <w:r>
        <w:rPr>
          <w:rStyle w:val="7"/>
          <w:rFonts w:ascii="Times New Roman" w:hAnsi="Times New Roman" w:eastAsia="方正楷体_GBK" w:cs="Times New Roman"/>
          <w:b w:val="0"/>
          <w:sz w:val="32"/>
          <w:szCs w:val="32"/>
        </w:rPr>
        <w:t>）机关运行经费</w:t>
      </w:r>
      <w:r>
        <w:rPr>
          <w:rStyle w:val="7"/>
          <w:rFonts w:ascii="Times New Roman" w:hAnsi="Times New Roman" w:eastAsia="方正楷体_GBK" w:cs="Times New Roman"/>
          <w:sz w:val="32"/>
          <w:szCs w:val="32"/>
        </w:rPr>
        <w:t>：</w:t>
      </w:r>
      <w:r>
        <w:rPr>
          <w:rFonts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w:t>
      </w:r>
      <w:r>
        <w:rPr>
          <w:rStyle w:val="7"/>
          <w:rFonts w:hint="eastAsia" w:ascii="Times New Roman" w:hAnsi="Times New Roman" w:eastAsia="方正楷体_GBK" w:cs="Times New Roman"/>
          <w:b w:val="0"/>
          <w:sz w:val="32"/>
          <w:szCs w:val="32"/>
        </w:rPr>
        <w:t>九</w:t>
      </w:r>
      <w:r>
        <w:rPr>
          <w:rStyle w:val="7"/>
          <w:rFonts w:ascii="Times New Roman" w:hAnsi="Times New Roman" w:eastAsia="方正楷体_GBK" w:cs="Times New Roman"/>
          <w:b w:val="0"/>
          <w:sz w:val="32"/>
          <w:szCs w:val="32"/>
        </w:rPr>
        <w:t>）工资福利支出（支出经济分类科目类级）</w:t>
      </w:r>
      <w:r>
        <w:rPr>
          <w:rStyle w:val="7"/>
          <w:rFonts w:ascii="Times New Roman" w:hAnsi="Times New Roman" w:eastAsia="方正楷体_GBK" w:cs="Times New Roman"/>
          <w:sz w:val="32"/>
          <w:szCs w:val="32"/>
        </w:rPr>
        <w:t>：</w:t>
      </w:r>
      <w:r>
        <w:rPr>
          <w:rFonts w:ascii="Times New Roman" w:hAnsi="Times New Roman" w:eastAsia="方正仿宋_GBK"/>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（十）商品和服务支出（支出经济分类科目类级）</w:t>
      </w:r>
      <w:r>
        <w:rPr>
          <w:rStyle w:val="7"/>
          <w:rFonts w:ascii="Times New Roman" w:hAnsi="Times New Roman" w:eastAsia="方正楷体_GBK" w:cs="Times New Roman"/>
          <w:sz w:val="32"/>
          <w:szCs w:val="32"/>
        </w:rPr>
        <w:t>：</w:t>
      </w:r>
      <w:r>
        <w:rPr>
          <w:rFonts w:ascii="Times New Roman" w:hAnsi="Times New Roman" w:eastAsia="方正仿宋_GBK"/>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ind w:firstLine="640" w:firstLineChars="200"/>
        <w:jc w:val="both"/>
        <w:rPr>
          <w:rFonts w:ascii="Times New Roman" w:hAnsi="Times New Roman" w:eastAsia="方正仿宋_GBK"/>
          <w:sz w:val="32"/>
          <w:szCs w:val="32"/>
        </w:rPr>
      </w:pPr>
      <w:r>
        <w:rPr>
          <w:rStyle w:val="7"/>
          <w:rFonts w:ascii="Times New Roman" w:hAnsi="Times New Roman" w:eastAsia="方正楷体_GBK" w:cs="Times New Roman"/>
          <w:b w:val="0"/>
          <w:sz w:val="32"/>
          <w:szCs w:val="32"/>
        </w:rPr>
        <w:t>（十</w:t>
      </w:r>
      <w:r>
        <w:rPr>
          <w:rStyle w:val="7"/>
          <w:rFonts w:hint="eastAsia" w:ascii="Times New Roman" w:hAnsi="Times New Roman" w:eastAsia="方正楷体_GBK" w:cs="Times New Roman"/>
          <w:b w:val="0"/>
          <w:sz w:val="32"/>
          <w:szCs w:val="32"/>
        </w:rPr>
        <w:t>一</w:t>
      </w:r>
      <w:r>
        <w:rPr>
          <w:rStyle w:val="7"/>
          <w:rFonts w:ascii="Times New Roman" w:hAnsi="Times New Roman" w:eastAsia="方正楷体_GBK" w:cs="Times New Roman"/>
          <w:b w:val="0"/>
          <w:sz w:val="32"/>
          <w:szCs w:val="32"/>
        </w:rPr>
        <w:t>）对个人和家庭的补助（支出经济分类科目类级）</w:t>
      </w:r>
      <w:r>
        <w:rPr>
          <w:rStyle w:val="7"/>
          <w:rFonts w:ascii="Times New Roman" w:hAnsi="Times New Roman" w:eastAsia="方正楷体_GBK" w:cs="Times New Roman"/>
          <w:sz w:val="32"/>
          <w:szCs w:val="32"/>
        </w:rPr>
        <w:t>：</w:t>
      </w:r>
      <w:r>
        <w:rPr>
          <w:rFonts w:ascii="Times New Roman" w:hAnsi="Times New Roman" w:eastAsia="方正仿宋_GBK"/>
          <w:sz w:val="32"/>
          <w:szCs w:val="32"/>
        </w:rPr>
        <w:t>反映用于对个人和家庭的补助支出。</w:t>
      </w:r>
    </w:p>
    <w:p>
      <w:pPr>
        <w:pStyle w:val="4"/>
        <w:shd w:val="clear" w:color="auto" w:fill="FFFFFF"/>
        <w:spacing w:before="0" w:beforeAutospacing="0" w:after="0" w:afterAutospacing="0"/>
        <w:ind w:firstLine="640" w:firstLineChars="200"/>
        <w:jc w:val="both"/>
        <w:rPr>
          <w:rFonts w:ascii="Times New Roman" w:hAnsi="Times New Roman" w:cs="Times New Roman"/>
          <w:sz w:val="32"/>
          <w:szCs w:val="32"/>
        </w:rPr>
      </w:pPr>
      <w:r>
        <w:rPr>
          <w:rStyle w:val="7"/>
          <w:rFonts w:ascii="Times New Roman" w:hAnsi="Times New Roman" w:eastAsia="方正楷体_GBK" w:cs="Times New Roman"/>
          <w:b w:val="0"/>
          <w:sz w:val="32"/>
          <w:szCs w:val="32"/>
        </w:rPr>
        <w:t>（十</w:t>
      </w:r>
      <w:r>
        <w:rPr>
          <w:rStyle w:val="7"/>
          <w:rFonts w:hint="eastAsia" w:ascii="Times New Roman" w:hAnsi="Times New Roman" w:eastAsia="方正楷体_GBK" w:cs="Times New Roman"/>
          <w:b w:val="0"/>
          <w:sz w:val="32"/>
          <w:szCs w:val="32"/>
        </w:rPr>
        <w:t>二</w:t>
      </w:r>
      <w:r>
        <w:rPr>
          <w:rStyle w:val="7"/>
          <w:rFonts w:ascii="Times New Roman" w:hAnsi="Times New Roman" w:eastAsia="方正楷体_GBK" w:cs="Times New Roman"/>
          <w:b w:val="0"/>
          <w:sz w:val="32"/>
          <w:szCs w:val="32"/>
        </w:rPr>
        <w:t>）其他资本性支出（支出经济分类科目类级）</w:t>
      </w:r>
      <w:r>
        <w:rPr>
          <w:rStyle w:val="7"/>
          <w:rFonts w:ascii="Times New Roman" w:hAnsi="Times New Roman" w:eastAsia="方正楷体_GBK" w:cs="Times New Roman"/>
          <w:sz w:val="32"/>
          <w:szCs w:val="32"/>
        </w:rPr>
        <w:t>：</w:t>
      </w:r>
      <w:r>
        <w:rPr>
          <w:rFonts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ind w:firstLine="640" w:firstLineChars="200"/>
        <w:jc w:val="both"/>
        <w:rPr>
          <w:rFonts w:ascii="方正黑体_GBK" w:hAnsi="Times New Roman" w:eastAsia="方正黑体_GBK" w:cs="Times New Roman"/>
          <w:b/>
          <w:sz w:val="32"/>
          <w:szCs w:val="32"/>
        </w:rPr>
      </w:pPr>
      <w:r>
        <w:rPr>
          <w:rStyle w:val="7"/>
          <w:rFonts w:hint="eastAsia" w:ascii="方正黑体_GBK" w:hAnsi="Times New Roman" w:eastAsia="方正黑体_GBK" w:cs="Times New Roman"/>
          <w:b w:val="0"/>
          <w:sz w:val="32"/>
          <w:szCs w:val="32"/>
        </w:rPr>
        <w:t>七、决算公开联系方式及信息反馈渠道</w:t>
      </w:r>
    </w:p>
    <w:p>
      <w:pPr>
        <w:snapToGrid w:val="0"/>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rPr>
        <w:t>部门</w:t>
      </w:r>
      <w:r>
        <w:rPr>
          <w:rFonts w:ascii="Times New Roman" w:hAnsi="Times New Roman" w:eastAsia="方正仿宋_GBK"/>
          <w:sz w:val="32"/>
          <w:szCs w:val="32"/>
        </w:rPr>
        <w:t>决算公开信息反馈和联系方式：023—59222349。</w:t>
      </w:r>
    </w:p>
    <w:p>
      <w:pPr>
        <w:pStyle w:val="4"/>
        <w:shd w:val="clear" w:color="auto" w:fill="FFFFFF"/>
        <w:spacing w:before="0" w:beforeAutospacing="0" w:after="0" w:afterAutospacing="0"/>
        <w:ind w:firstLine="640" w:firstLineChars="200"/>
        <w:jc w:val="both"/>
        <w:rPr>
          <w:rFonts w:ascii="Times New Roman" w:hAnsi="Times New Roman" w:cs="Times New Roman"/>
          <w:sz w:val="32"/>
          <w:szCs w:val="32"/>
        </w:rPr>
      </w:pPr>
    </w:p>
    <w:sectPr>
      <w:footerReference r:id="rId3" w:type="default"/>
      <w:pgSz w:w="11907" w:h="16840"/>
      <w:pgMar w:top="1814" w:right="1588" w:bottom="1814" w:left="1474"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7416114"/>
      <w:docPartObj>
        <w:docPartGallery w:val="AutoText"/>
      </w:docPartObj>
    </w:sdtPr>
    <w:sdtEndPr>
      <w:rPr>
        <w:sz w:val="28"/>
        <w:szCs w:val="28"/>
      </w:rPr>
    </w:sdtEndPr>
    <w:sdtContent>
      <w:p>
        <w:pPr>
          <w:pStyle w:val="2"/>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8 -</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A0"/>
    <w:rsid w:val="0000384D"/>
    <w:rsid w:val="00003C07"/>
    <w:rsid w:val="000061E9"/>
    <w:rsid w:val="00012F84"/>
    <w:rsid w:val="00031586"/>
    <w:rsid w:val="000317A7"/>
    <w:rsid w:val="0003481F"/>
    <w:rsid w:val="00042496"/>
    <w:rsid w:val="000502AD"/>
    <w:rsid w:val="00053AC5"/>
    <w:rsid w:val="00062481"/>
    <w:rsid w:val="0007781F"/>
    <w:rsid w:val="00083C99"/>
    <w:rsid w:val="000924CB"/>
    <w:rsid w:val="00094E47"/>
    <w:rsid w:val="000C723B"/>
    <w:rsid w:val="000D32C3"/>
    <w:rsid w:val="000D36FA"/>
    <w:rsid w:val="000E47FA"/>
    <w:rsid w:val="000F0E89"/>
    <w:rsid w:val="000F4204"/>
    <w:rsid w:val="001276D7"/>
    <w:rsid w:val="001354CB"/>
    <w:rsid w:val="00144A49"/>
    <w:rsid w:val="001778A0"/>
    <w:rsid w:val="00180364"/>
    <w:rsid w:val="0019074A"/>
    <w:rsid w:val="001A306C"/>
    <w:rsid w:val="001A7146"/>
    <w:rsid w:val="001A7F5A"/>
    <w:rsid w:val="001D2868"/>
    <w:rsid w:val="001D63E6"/>
    <w:rsid w:val="001D7255"/>
    <w:rsid w:val="001F1916"/>
    <w:rsid w:val="001F6ADE"/>
    <w:rsid w:val="00206590"/>
    <w:rsid w:val="00210783"/>
    <w:rsid w:val="002210A9"/>
    <w:rsid w:val="002348DD"/>
    <w:rsid w:val="00234D1E"/>
    <w:rsid w:val="00244BFB"/>
    <w:rsid w:val="002467A0"/>
    <w:rsid w:val="002523A9"/>
    <w:rsid w:val="00267ADB"/>
    <w:rsid w:val="002773AC"/>
    <w:rsid w:val="00277E43"/>
    <w:rsid w:val="00287C71"/>
    <w:rsid w:val="002A0E9E"/>
    <w:rsid w:val="002A44C8"/>
    <w:rsid w:val="002C08D7"/>
    <w:rsid w:val="002C4D56"/>
    <w:rsid w:val="002D1AE7"/>
    <w:rsid w:val="002F2334"/>
    <w:rsid w:val="002F752A"/>
    <w:rsid w:val="003036AE"/>
    <w:rsid w:val="00312249"/>
    <w:rsid w:val="00352841"/>
    <w:rsid w:val="00353DEC"/>
    <w:rsid w:val="003569A7"/>
    <w:rsid w:val="003770E8"/>
    <w:rsid w:val="003A0900"/>
    <w:rsid w:val="003A357C"/>
    <w:rsid w:val="003C1A69"/>
    <w:rsid w:val="003C4AED"/>
    <w:rsid w:val="003D09F8"/>
    <w:rsid w:val="003E4D42"/>
    <w:rsid w:val="003E7CF0"/>
    <w:rsid w:val="003F25C1"/>
    <w:rsid w:val="003F34CE"/>
    <w:rsid w:val="0040051C"/>
    <w:rsid w:val="004103E3"/>
    <w:rsid w:val="00411DA6"/>
    <w:rsid w:val="00421F8F"/>
    <w:rsid w:val="004257F5"/>
    <w:rsid w:val="0044365B"/>
    <w:rsid w:val="0044749F"/>
    <w:rsid w:val="004476D2"/>
    <w:rsid w:val="0045602A"/>
    <w:rsid w:val="00460C72"/>
    <w:rsid w:val="00461900"/>
    <w:rsid w:val="00475B02"/>
    <w:rsid w:val="00477E09"/>
    <w:rsid w:val="004810B6"/>
    <w:rsid w:val="00481A96"/>
    <w:rsid w:val="004854A8"/>
    <w:rsid w:val="00487FE6"/>
    <w:rsid w:val="0049601A"/>
    <w:rsid w:val="004A74E8"/>
    <w:rsid w:val="004A7ECC"/>
    <w:rsid w:val="004C41DD"/>
    <w:rsid w:val="004F137C"/>
    <w:rsid w:val="00502E3C"/>
    <w:rsid w:val="00513276"/>
    <w:rsid w:val="00524A08"/>
    <w:rsid w:val="00541033"/>
    <w:rsid w:val="0054311B"/>
    <w:rsid w:val="00544FDD"/>
    <w:rsid w:val="0055410B"/>
    <w:rsid w:val="00557F9A"/>
    <w:rsid w:val="00561572"/>
    <w:rsid w:val="00564173"/>
    <w:rsid w:val="00564203"/>
    <w:rsid w:val="0056431F"/>
    <w:rsid w:val="00564994"/>
    <w:rsid w:val="00583EE1"/>
    <w:rsid w:val="00584222"/>
    <w:rsid w:val="005A21F5"/>
    <w:rsid w:val="005C59CE"/>
    <w:rsid w:val="005E16BD"/>
    <w:rsid w:val="005E469D"/>
    <w:rsid w:val="005F06C3"/>
    <w:rsid w:val="00605CA1"/>
    <w:rsid w:val="00622B70"/>
    <w:rsid w:val="00633614"/>
    <w:rsid w:val="0063474E"/>
    <w:rsid w:val="0063571B"/>
    <w:rsid w:val="00660F5E"/>
    <w:rsid w:val="006C02AF"/>
    <w:rsid w:val="006E1C00"/>
    <w:rsid w:val="006E3119"/>
    <w:rsid w:val="006F2935"/>
    <w:rsid w:val="006F4E7B"/>
    <w:rsid w:val="0072598D"/>
    <w:rsid w:val="00732A30"/>
    <w:rsid w:val="00741DF7"/>
    <w:rsid w:val="00743B7A"/>
    <w:rsid w:val="00761C3D"/>
    <w:rsid w:val="007729B1"/>
    <w:rsid w:val="00772B89"/>
    <w:rsid w:val="007838B8"/>
    <w:rsid w:val="00786420"/>
    <w:rsid w:val="00791994"/>
    <w:rsid w:val="0079407B"/>
    <w:rsid w:val="00796BC8"/>
    <w:rsid w:val="007A3975"/>
    <w:rsid w:val="007A6B20"/>
    <w:rsid w:val="007B251F"/>
    <w:rsid w:val="007D5C0D"/>
    <w:rsid w:val="007F3FCD"/>
    <w:rsid w:val="008144CF"/>
    <w:rsid w:val="008167BC"/>
    <w:rsid w:val="00822991"/>
    <w:rsid w:val="00832766"/>
    <w:rsid w:val="00835BB4"/>
    <w:rsid w:val="0084554D"/>
    <w:rsid w:val="00852E41"/>
    <w:rsid w:val="008606FA"/>
    <w:rsid w:val="008619DC"/>
    <w:rsid w:val="00862ABE"/>
    <w:rsid w:val="00874FAA"/>
    <w:rsid w:val="00875905"/>
    <w:rsid w:val="00893DE0"/>
    <w:rsid w:val="00895453"/>
    <w:rsid w:val="008A08C4"/>
    <w:rsid w:val="008A50F2"/>
    <w:rsid w:val="008B0F61"/>
    <w:rsid w:val="008B1458"/>
    <w:rsid w:val="008B2096"/>
    <w:rsid w:val="008B5197"/>
    <w:rsid w:val="008B5DA2"/>
    <w:rsid w:val="008C6BE0"/>
    <w:rsid w:val="008D4E4D"/>
    <w:rsid w:val="008E601D"/>
    <w:rsid w:val="008E7F28"/>
    <w:rsid w:val="008F0547"/>
    <w:rsid w:val="009036E4"/>
    <w:rsid w:val="009313EA"/>
    <w:rsid w:val="00946427"/>
    <w:rsid w:val="009530AE"/>
    <w:rsid w:val="009572F4"/>
    <w:rsid w:val="009578E0"/>
    <w:rsid w:val="00971845"/>
    <w:rsid w:val="0097421F"/>
    <w:rsid w:val="00976206"/>
    <w:rsid w:val="00981A74"/>
    <w:rsid w:val="009D46F1"/>
    <w:rsid w:val="009D5D68"/>
    <w:rsid w:val="009D5D7F"/>
    <w:rsid w:val="009D7EF7"/>
    <w:rsid w:val="00A00B12"/>
    <w:rsid w:val="00A02261"/>
    <w:rsid w:val="00A34549"/>
    <w:rsid w:val="00A44141"/>
    <w:rsid w:val="00A53B6B"/>
    <w:rsid w:val="00A57E97"/>
    <w:rsid w:val="00A61D18"/>
    <w:rsid w:val="00A6627B"/>
    <w:rsid w:val="00A662AA"/>
    <w:rsid w:val="00A67E6D"/>
    <w:rsid w:val="00A708B5"/>
    <w:rsid w:val="00A733FC"/>
    <w:rsid w:val="00A95316"/>
    <w:rsid w:val="00A96464"/>
    <w:rsid w:val="00AA30BA"/>
    <w:rsid w:val="00AA3BE8"/>
    <w:rsid w:val="00AB59AA"/>
    <w:rsid w:val="00AC5993"/>
    <w:rsid w:val="00AE770A"/>
    <w:rsid w:val="00AF3FBF"/>
    <w:rsid w:val="00B06C8E"/>
    <w:rsid w:val="00B10D07"/>
    <w:rsid w:val="00B17FA2"/>
    <w:rsid w:val="00B245CF"/>
    <w:rsid w:val="00B24622"/>
    <w:rsid w:val="00B25DBA"/>
    <w:rsid w:val="00B32A25"/>
    <w:rsid w:val="00B5207E"/>
    <w:rsid w:val="00B53329"/>
    <w:rsid w:val="00B65A72"/>
    <w:rsid w:val="00B7574E"/>
    <w:rsid w:val="00B80D25"/>
    <w:rsid w:val="00BA0FA0"/>
    <w:rsid w:val="00BB7246"/>
    <w:rsid w:val="00BC3813"/>
    <w:rsid w:val="00BC5BF1"/>
    <w:rsid w:val="00BD6A97"/>
    <w:rsid w:val="00BE6AB1"/>
    <w:rsid w:val="00BF0863"/>
    <w:rsid w:val="00C02959"/>
    <w:rsid w:val="00C26570"/>
    <w:rsid w:val="00C35279"/>
    <w:rsid w:val="00C53BA3"/>
    <w:rsid w:val="00C55043"/>
    <w:rsid w:val="00C63934"/>
    <w:rsid w:val="00C730D0"/>
    <w:rsid w:val="00C75E64"/>
    <w:rsid w:val="00C86E2E"/>
    <w:rsid w:val="00C93F41"/>
    <w:rsid w:val="00CA7087"/>
    <w:rsid w:val="00CB1206"/>
    <w:rsid w:val="00CB584F"/>
    <w:rsid w:val="00CB6EAD"/>
    <w:rsid w:val="00CB7E30"/>
    <w:rsid w:val="00CC4F6E"/>
    <w:rsid w:val="00CE1845"/>
    <w:rsid w:val="00CF7CFD"/>
    <w:rsid w:val="00D00205"/>
    <w:rsid w:val="00D03706"/>
    <w:rsid w:val="00D12D30"/>
    <w:rsid w:val="00D13E9F"/>
    <w:rsid w:val="00D2778B"/>
    <w:rsid w:val="00D409B2"/>
    <w:rsid w:val="00D40B38"/>
    <w:rsid w:val="00D47AE0"/>
    <w:rsid w:val="00D61392"/>
    <w:rsid w:val="00D63CC5"/>
    <w:rsid w:val="00D71D8A"/>
    <w:rsid w:val="00D77A9A"/>
    <w:rsid w:val="00D95875"/>
    <w:rsid w:val="00D97412"/>
    <w:rsid w:val="00DD1E24"/>
    <w:rsid w:val="00DD5240"/>
    <w:rsid w:val="00E226CF"/>
    <w:rsid w:val="00E270B2"/>
    <w:rsid w:val="00E373D1"/>
    <w:rsid w:val="00E42917"/>
    <w:rsid w:val="00E43408"/>
    <w:rsid w:val="00E460F8"/>
    <w:rsid w:val="00E63403"/>
    <w:rsid w:val="00E66685"/>
    <w:rsid w:val="00E71843"/>
    <w:rsid w:val="00E77437"/>
    <w:rsid w:val="00E775DE"/>
    <w:rsid w:val="00E803E3"/>
    <w:rsid w:val="00E97C02"/>
    <w:rsid w:val="00EB2D49"/>
    <w:rsid w:val="00ED04FF"/>
    <w:rsid w:val="00EE072F"/>
    <w:rsid w:val="00EE2087"/>
    <w:rsid w:val="00EF09EE"/>
    <w:rsid w:val="00EF6C67"/>
    <w:rsid w:val="00F07712"/>
    <w:rsid w:val="00F23598"/>
    <w:rsid w:val="00F318B0"/>
    <w:rsid w:val="00F31ACA"/>
    <w:rsid w:val="00F56375"/>
    <w:rsid w:val="00F60DFB"/>
    <w:rsid w:val="00F64962"/>
    <w:rsid w:val="00F70ECC"/>
    <w:rsid w:val="00F72FED"/>
    <w:rsid w:val="00F747C0"/>
    <w:rsid w:val="00F80C53"/>
    <w:rsid w:val="00F86DA6"/>
    <w:rsid w:val="00F96B81"/>
    <w:rsid w:val="00FC1343"/>
    <w:rsid w:val="00FC3239"/>
    <w:rsid w:val="00FD0CAF"/>
    <w:rsid w:val="00FE30A9"/>
    <w:rsid w:val="00FE5223"/>
    <w:rsid w:val="00FE5D2C"/>
    <w:rsid w:val="00FF6EE0"/>
    <w:rsid w:val="17BF4079"/>
    <w:rsid w:val="57141E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Char"/>
    <w:basedOn w:val="6"/>
    <w:link w:val="3"/>
    <w:qFormat/>
    <w:uiPriority w:val="99"/>
    <w:rPr>
      <w:rFonts w:ascii="宋体" w:hAnsi="宋体" w:eastAsia="宋体" w:cs="宋体"/>
      <w:sz w:val="18"/>
      <w:szCs w:val="18"/>
    </w:rPr>
  </w:style>
  <w:style w:type="character" w:customStyle="1" w:styleId="9">
    <w:name w:val="页脚 Char"/>
    <w:basedOn w:val="6"/>
    <w:link w:val="2"/>
    <w:qFormat/>
    <w:uiPriority w:val="99"/>
    <w:rPr>
      <w:rFonts w:ascii="宋体" w:hAnsi="宋体" w:eastAsia="宋体" w:cs="宋体"/>
      <w:sz w:val="18"/>
      <w:szCs w:val="18"/>
    </w:rPr>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1111</Words>
  <Characters>6337</Characters>
  <Lines>52</Lines>
  <Paragraphs>14</Paragraphs>
  <TotalTime>298</TotalTime>
  <ScaleCrop>false</ScaleCrop>
  <LinksUpToDate>false</LinksUpToDate>
  <CharactersWithSpaces>7434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2020-08-13T02:44:00Z</dcterms:created>
  <dc:creator>谭帮丽</dc:creator>
  <cp:lastModifiedBy>Lenovo</cp:lastModifiedBy>
  <dcterms:modified xsi:type="dcterms:W3CDTF">2023-04-26T03:25:37Z</dcterms:modified>
  <dc:title>公开报告</dc:title>
  <cp:revision>2738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