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880" w:firstLineChars="200"/>
        <w:jc w:val="center"/>
        <w:textAlignment w:val="auto"/>
        <w:rPr>
          <w:rFonts w:ascii="方正小标宋_GBK" w:eastAsia="方正小标宋_GBK"/>
          <w:b w:val="0"/>
          <w:bCs w:val="0"/>
          <w:sz w:val="44"/>
          <w:szCs w:val="44"/>
        </w:rPr>
      </w:pPr>
      <w:r>
        <w:rPr>
          <w:rFonts w:hint="eastAsia" w:ascii="方正小标宋_GBK" w:eastAsia="方正小标宋_GBK"/>
          <w:b w:val="0"/>
          <w:bCs w:val="0"/>
          <w:sz w:val="44"/>
          <w:szCs w:val="44"/>
        </w:rPr>
        <w:t>重庆市城口县退役军人事务局</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eastAsia="方正小标宋_GBK"/>
          <w:b w:val="0"/>
          <w:bCs w:val="0"/>
          <w:sz w:val="44"/>
          <w:szCs w:val="44"/>
        </w:rPr>
      </w:pPr>
      <w:r>
        <w:rPr>
          <w:rFonts w:hint="eastAsia" w:ascii="方正小标宋_GBK" w:eastAsia="方正小标宋_GBK"/>
          <w:b w:val="0"/>
          <w:bCs w:val="0"/>
          <w:sz w:val="44"/>
          <w:szCs w:val="44"/>
        </w:rPr>
        <w:t>2019年度部门决算情况说明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eastAsia="方正小标宋_GBK"/>
          <w:b w:val="0"/>
          <w:bCs w:val="0"/>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b w:val="0"/>
          <w:bCs w:val="0"/>
        </w:rPr>
      </w:pPr>
      <w:r>
        <w:rPr>
          <w:rStyle w:val="7"/>
          <w:rFonts w:hint="eastAsia" w:ascii="方正黑体_GBK" w:hAnsi="Times New Roman" w:eastAsia="方正黑体_GBK" w:cs="Times New Roman"/>
          <w:b w:val="0"/>
          <w:bCs w:val="0"/>
          <w:sz w:val="32"/>
          <w:szCs w:val="32"/>
        </w:rPr>
        <w:t xml:space="preserve"> 一、部门基本情况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color w:val="FF0000"/>
          <w:sz w:val="32"/>
          <w:szCs w:val="32"/>
        </w:rPr>
      </w:pPr>
      <w:r>
        <w:rPr>
          <w:rStyle w:val="7"/>
          <w:rFonts w:hint="eastAsia" w:ascii="方正楷体_GBK" w:hAnsi="方正楷体_GBK" w:eastAsia="方正楷体_GBK" w:cs="方正楷体_GBK"/>
          <w:b w:val="0"/>
          <w:bCs w:val="0"/>
          <w:sz w:val="32"/>
          <w:szCs w:val="32"/>
        </w:rPr>
        <w:t> </w:t>
      </w:r>
      <w:r>
        <w:rPr>
          <w:rStyle w:val="7"/>
          <w:rFonts w:hint="eastAsia" w:ascii="方正楷体_GBK" w:hAnsi="方正楷体_GBK" w:eastAsia="方正楷体_GBK" w:cs="方正楷体_GBK"/>
          <w:b w:val="0"/>
          <w:bCs w:val="0"/>
          <w:sz w:val="32"/>
          <w:szCs w:val="32"/>
        </w:rPr>
        <w:t>（一）职能职责</w:t>
      </w:r>
      <w:r>
        <w:rPr>
          <w:rStyle w:val="7"/>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组织实施退役军人思想政治、管理保障和安置优抚等工作政策法规，褒扬彰显退役军人为党、国家和人民牺牲奉献的精神风范和价值导向。按政策在职能职责范围内组织开展退役军人权益维护和抚恤优侍等工作。负责军队转业干部、复员干部、离休退休干部、退役士兵和无军籍退休退职职工的移交安置工作和自主择业、就业退役军人服务管理工作。组织开展全县拥军优属工作。负责烈士及烈士纪念活动等工作，总结表彰和宣扬退役军人、退役军人工作单位和个人先进典型事迹。协调各方力量更好为军人军属服务，维护军人军属合法权益，让军人成为全社会尊崇的职业，褒扬彰显退役军人为党、国家和人民牺牲奉献的精神风范和价值导向，更好地为增强部队战斗力和凝聚力做好组织保障。按照有关文件要求做好职能职责内的其他事宜，完成县委和县政府交办的其他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（二）机构设置。</w:t>
      </w:r>
      <w:r>
        <w:rPr>
          <w:rFonts w:ascii="Times New Roman" w:hAnsi="Times New Roman" w:eastAsia="方正仿宋_GBK" w:cs="Times New Roman"/>
          <w:b w:val="0"/>
          <w:bCs w:val="0"/>
          <w:sz w:val="32"/>
          <w:szCs w:val="32"/>
        </w:rPr>
        <w:t>县退役军人事务局为县政府工作部门。内设办公室、规划财务科、优抚科、就业创业和权益维护科、安置和军休服务管理科5个科（办）；有下属事业单位1个，为县退役军人服务中心；有参公单位1个，为县军队离休退休干部服务管理中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（三）单位构成。</w:t>
      </w:r>
      <w:r>
        <w:rPr>
          <w:rFonts w:ascii="Times New Roman" w:hAnsi="Times New Roman" w:eastAsia="方正仿宋_GBK" w:cs="Times New Roman"/>
          <w:b w:val="0"/>
          <w:bCs w:val="0"/>
          <w:sz w:val="32"/>
          <w:szCs w:val="32"/>
        </w:rPr>
        <w:t>从预算单位构成看，纳入本部门2019年度决算编制的二级预算单位主要包括县军队离休退休干部服务管理中心、县退役军人服务中心等。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（四）机构改革情况。</w:t>
      </w:r>
      <w:r>
        <w:rPr>
          <w:rFonts w:ascii="Times New Roman" w:hAnsi="Times New Roman" w:eastAsia="方正仿宋_GBK" w:cs="Times New Roman"/>
          <w:b w:val="0"/>
          <w:bCs w:val="0"/>
          <w:sz w:val="32"/>
          <w:szCs w:val="32"/>
        </w:rPr>
        <w:t>本部门涉及本次党和国家机构改革，对此专门说明如下：一是机构改革情况。根据市委、市政府关于印发《重庆市机构改革方案的通知》要求，将县民政局的退役军人优抚安置职责，县人力资源和社会保障局的军官转业安置职责等整合，组建县退役军人事务局，作为县政府工作部门，按中央和市委有关改革部署组织实施。二是财政财务调整情况。县军队离休退休干部服务管理中心、县退役军人服务中心预决算纳入县退役军人事务局统一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黑体_GBK" w:hAnsi="Times New Roman" w:eastAsia="方正黑体_GBK" w:cs="Times New Roman"/>
          <w:b w:val="0"/>
          <w:bCs w:val="0"/>
          <w:sz w:val="32"/>
          <w:szCs w:val="32"/>
        </w:rPr>
      </w:pPr>
      <w:r>
        <w:rPr>
          <w:rStyle w:val="7"/>
          <w:rFonts w:hint="eastAsia" w:ascii="方正黑体_GBK" w:hAnsi="Times New Roman" w:eastAsia="方正黑体_GBK" w:cs="Times New Roman"/>
          <w:b w:val="0"/>
          <w:bCs w:val="0"/>
          <w:sz w:val="32"/>
          <w:szCs w:val="32"/>
        </w:rPr>
        <w:t>二、部门决算情况说明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（一）收入支出决算总体情况说明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color w:val="FF0000"/>
          <w:sz w:val="32"/>
          <w:szCs w:val="32"/>
        </w:rPr>
      </w:pPr>
      <w:r>
        <w:rPr>
          <w:rStyle w:val="7"/>
          <w:rFonts w:ascii="Times New Roman" w:hAnsi="Times New Roman" w:eastAsia="方正仿宋_GBK" w:cs="Times New Roman"/>
          <w:b w:val="0"/>
          <w:bCs w:val="0"/>
          <w:sz w:val="32"/>
          <w:szCs w:val="32"/>
        </w:rPr>
        <w:t>1.总体情况。</w:t>
      </w:r>
      <w:r>
        <w:rPr>
          <w:rFonts w:ascii="Times New Roman" w:hAnsi="Times New Roman" w:eastAsia="方正仿宋_GBK" w:cs="Times New Roman"/>
          <w:b w:val="0"/>
          <w:bCs w:val="0"/>
          <w:sz w:val="32"/>
          <w:szCs w:val="32"/>
        </w:rPr>
        <w:t>2019年度收入总计2,590.46万元，支出总计2,590.46万元。收支较上年决算数增加2,590.46万元、增长100%，主要原因是本单位为2019年新成立单位。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color w:val="FF0000"/>
          <w:sz w:val="32"/>
          <w:szCs w:val="32"/>
          <w:shd w:val="clear" w:color="auto" w:fill="FFFF00"/>
        </w:rPr>
      </w:pPr>
      <w:r>
        <w:rPr>
          <w:rStyle w:val="7"/>
          <w:rFonts w:ascii="Times New Roman" w:hAnsi="Times New Roman" w:eastAsia="方正仿宋_GBK" w:cs="Times New Roman"/>
          <w:b w:val="0"/>
          <w:bCs w:val="0"/>
          <w:sz w:val="32"/>
          <w:szCs w:val="32"/>
        </w:rPr>
        <w:t>  2.收入情况。</w:t>
      </w:r>
      <w:r>
        <w:rPr>
          <w:rFonts w:ascii="Times New Roman" w:hAnsi="Times New Roman" w:eastAsia="方正仿宋_GBK" w:cs="Times New Roman"/>
          <w:b w:val="0"/>
          <w:bCs w:val="0"/>
          <w:sz w:val="32"/>
          <w:szCs w:val="32"/>
        </w:rPr>
        <w:t>2019年度收入合计2,590.46万元，较上年决算数增加2,590.46万元，增长100%，主要原因是本单位为2019年新成立单位。其中：财政拨款收入2,326.85万元，占89.82%；其他收入263.62万元，占10.18%。</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color w:val="FF0000"/>
          <w:sz w:val="32"/>
          <w:szCs w:val="32"/>
          <w:shd w:val="clear" w:color="auto" w:fill="FFFF00"/>
        </w:rPr>
      </w:pPr>
      <w:r>
        <w:rPr>
          <w:rStyle w:val="7"/>
          <w:rFonts w:ascii="Times New Roman" w:hAnsi="Times New Roman" w:eastAsia="方正仿宋_GBK" w:cs="Times New Roman"/>
          <w:b w:val="0"/>
          <w:bCs w:val="0"/>
          <w:sz w:val="32"/>
          <w:szCs w:val="32"/>
        </w:rPr>
        <w:t>3.支出情况。</w:t>
      </w:r>
      <w:r>
        <w:rPr>
          <w:rFonts w:ascii="Times New Roman" w:hAnsi="Times New Roman" w:eastAsia="方正仿宋_GBK" w:cs="Times New Roman"/>
          <w:b w:val="0"/>
          <w:bCs w:val="0"/>
          <w:sz w:val="32"/>
          <w:szCs w:val="32"/>
        </w:rPr>
        <w:t>2019年度支出合计2,467.37万元，较上年决算数增加2,467.37万元，增长100%，主要原因是本单位为2019年新成立单位。其中：基本支出142.50万元，占5.78%；项目支出2,324.87万元，占94.22%。</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4.结转结余情况。</w:t>
      </w:r>
      <w:r>
        <w:rPr>
          <w:rFonts w:ascii="Times New Roman" w:hAnsi="Times New Roman" w:eastAsia="方正仿宋_GBK" w:cs="Times New Roman"/>
          <w:b w:val="0"/>
          <w:bCs w:val="0"/>
          <w:sz w:val="32"/>
          <w:szCs w:val="32"/>
        </w:rPr>
        <w:t>2019年度年末结转和结余123.09万元，较上年决算数增加123.09万元，增长100%，主要原因是本单位为2019年新成立单位。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2019年度财政拨款收、支总计2,326.85万元。与2018年相比，财政拨款收、支总计各增加2,326.85万元，增长100%。主要原因是本单位为2019年新成立单位。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（三）一般公共预算财政拨款支出决算情况说明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1.收入情况</w:t>
      </w:r>
      <w:r>
        <w:rPr>
          <w:rStyle w:val="7"/>
          <w:rFonts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2019年度一般公共预算财政拨款收入2,326.85万元，较上年决算数增加2,326.85万元，增长100%。主要原因是本单位为2019年新成立单位。。较年初预算数增加2,326.85万元，增长100%。主要原因是本单位为2019年新成立单位。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2.支出情况。</w:t>
      </w:r>
      <w:r>
        <w:rPr>
          <w:rFonts w:ascii="Times New Roman" w:hAnsi="Times New Roman" w:eastAsia="方正仿宋_GBK" w:cs="Times New Roman"/>
          <w:b w:val="0"/>
          <w:bCs w:val="0"/>
          <w:sz w:val="32"/>
          <w:szCs w:val="32"/>
        </w:rPr>
        <w:t>2019年度一般公共预算财政拨款支出2,232.77万元，较上年决算数增加2,232.77万元，增长100%。主要原因是本单位为2019年新成立单位。较年初预算数增加2,232.77万元，增长100%。主要原因是本单位为2019年新成立单位。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3.结转结余情况。</w:t>
      </w:r>
      <w:r>
        <w:rPr>
          <w:rFonts w:ascii="Times New Roman" w:hAnsi="Times New Roman" w:eastAsia="方正仿宋_GBK" w:cs="Times New Roman"/>
          <w:b w:val="0"/>
          <w:bCs w:val="0"/>
          <w:sz w:val="32"/>
          <w:szCs w:val="32"/>
        </w:rPr>
        <w:t>2019年度年末一般公共预算财政拨款结转和结余94.08万元，较上年决算数增加94.08万元，增长100%，主要原因是本单位为2019年新成立单位。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4.比较情况。</w:t>
      </w:r>
      <w:r>
        <w:rPr>
          <w:rFonts w:ascii="Times New Roman" w:hAnsi="Times New Roman" w:eastAsia="方正仿宋_GBK" w:cs="Times New Roman"/>
          <w:b w:val="0"/>
          <w:bCs w:val="0"/>
          <w:sz w:val="32"/>
          <w:szCs w:val="32"/>
        </w:rPr>
        <w:t xml:space="preserve">本部门2019年度一般公共预算财政拨款支出主要用于以下几个方面：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（1）社会保障与就业支出2,223.00万元，占99.56%，较年初预算数增加2,223.00万元，增长100%，主要原因是本单位为2019年新成立单位。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（2）卫生健康支出4.05万元，占0.18%，较年初预算数增加4.05万元，增长100%，主要原因是本单位为2019年新成立单位。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 （3）农林水支出0.68万元，占0.03%，较年初预算数增加0.68万元，增长100%，主要原因是本单位为2019年新成立单位。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（4）住房保障支出5.03万元，占0.23%，较年初预算数增加5.03万元，增长100%，主要原因是本单位为2019年新成立单位。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（四）一般公共预算财政拨款基本支出决算情况说明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  2019年度一般公共财政拨款基本支出111.81万元。其中：人员经费77.83万元，较上年决算数增加77.83万元，增长100%，主要原因是本单位为2019年新成立单位。人员经费用途主要包括基本工资、津贴补贴、奖金、社会保障缴费。公用经费33.97万元，较上年决算数增加33.97万元，增长100%，主要原因是本单位为2019年新成立单位。公用经费用途主要包括办公费、印刷费、咨询费、手续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（五）政府性基金预算收支决算情况说明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 本部门2019年度无政府性基金预算财政拨款收支。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黑体_GBK" w:hAnsi="Times New Roman" w:eastAsia="方正黑体_GBK" w:cs="Times New Roman"/>
          <w:b w:val="0"/>
          <w:bCs w:val="0"/>
          <w:sz w:val="32"/>
          <w:szCs w:val="32"/>
        </w:rPr>
      </w:pPr>
      <w:r>
        <w:rPr>
          <w:rStyle w:val="7"/>
          <w:rFonts w:hint="eastAsia" w:ascii="方正黑体_GBK" w:hAnsi="Times New Roman" w:eastAsia="方正黑体_GBK" w:cs="Times New Roman"/>
          <w:b w:val="0"/>
          <w:bCs w:val="0"/>
          <w:sz w:val="32"/>
          <w:szCs w:val="32"/>
        </w:rPr>
        <w:t>三、“三公”经费情况说明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（一）“三公”经费支出总体情况说明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  2019年度“三公”经费支出共计24.69万元，较年初预算数增加24.69万元，增长100%，主要原因是本单位为2019年新成立单位。较上年支出数增加24.69万元，增长100%，主要原因是本单位为2019年新成立单位。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（二）“三公”经费分项支出情况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本单位2019年度未发生因公出国（境）费用支出。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公务车购置费17.88万元，主要用于购买领导干部用车1辆。费用支出较年初预算数增加17.88万元，增长100%，主要原因是本单位为2019年新成立单位。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较上年支出数增加17.88万元，增长100%，主要原因是本单位为2019年新成立单位。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公务车运行维护费5.50万元，主要用于市内因公出行、下乡扶贫所需车辆的燃料费、维修费、过桥过路费、保险费。费用支出较年初预算数增加5.50万元，增长100%，主要原因是本单位为2019年新成立单位。较上年支出数增加5.50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公务接待费1.31万元，主要用于接待市局部门检查指导工作发生的接待支出。费用支出较年初预算数增加1.31万元，增长100%，主要原因是本单位为2019年新成立单位。较上年支出数增加1.31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（三）“三公”经费实物量情况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公务用车购置1辆，公务车保有量为1辆；国内公务接待16批次200人，其中： 2019年本部门人均接待费65.69元，车均购置费17.88万元，车均维护费5.50万元。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黑体_GBK" w:hAnsi="Times New Roman" w:eastAsia="方正黑体_GBK" w:cs="Times New Roman"/>
          <w:b w:val="0"/>
          <w:bCs w:val="0"/>
          <w:sz w:val="32"/>
          <w:szCs w:val="32"/>
        </w:rPr>
      </w:pPr>
      <w:r>
        <w:rPr>
          <w:rStyle w:val="7"/>
          <w:rFonts w:hint="eastAsia" w:ascii="方正黑体_GBK" w:hAnsi="Times New Roman" w:eastAsia="方正黑体_GBK" w:cs="Times New Roman"/>
          <w:b w:val="0"/>
          <w:bCs w:val="0"/>
          <w:sz w:val="32"/>
          <w:szCs w:val="32"/>
        </w:rPr>
        <w:t>四、其他需要说明的事项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（一）机关运行经费情况说明</w:t>
      </w:r>
      <w:r>
        <w:rPr>
          <w:rStyle w:val="7"/>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2019年度本部门机关运行经费支出33.97万元，机关运行经费主要用于开支主要用于办公费、公务车运行维护费。机关运行经费较上年决算数增加33.97万元，增长100%，主要原因是本单位为2019年新成立单位。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此外，本年度一般公共预算财政拨款培训费支出38.00万元，较上年决算数增加38.00万元，增长100%，主要原因是本单位为2019年新成立单位。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（二）国有资产占用情况说明</w:t>
      </w:r>
      <w:r>
        <w:rPr>
          <w:rStyle w:val="7"/>
          <w:rFonts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截至2019年12月31日，本部门共有车辆1辆，其中，主要领导干部用车1辆。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ascii="Times New Roman" w:hAnsi="Times New Roman" w:eastAsia="方正仿宋_GBK" w:cs="Times New Roman"/>
          <w:b w:val="0"/>
          <w:bCs w:val="0"/>
          <w:sz w:val="32"/>
          <w:szCs w:val="32"/>
        </w:rPr>
        <w:t>（三）政府采购支出情况说明。</w:t>
      </w:r>
      <w:r>
        <w:rPr>
          <w:rFonts w:ascii="Times New Roman" w:hAnsi="Times New Roman" w:eastAsia="方正仿宋_GBK" w:cs="Times New Roman"/>
          <w:b w:val="0"/>
          <w:bCs w:val="0"/>
          <w:sz w:val="32"/>
          <w:szCs w:val="32"/>
        </w:rPr>
        <w:t>2019年度本部门政府采购支出总额23.60万元，其中：政府采购货物支出23.60万元。授予中小企业合同金额23.60万元，占政府采购支出总额的100.00%，其中：授予小微企业合同金额23.24万元，占政府采购支出总额的98.47%。主要用于采购办公家具，通用设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7"/>
          <w:rFonts w:hint="eastAsia" w:ascii="方正黑体_GBK" w:hAnsi="Times New Roman" w:eastAsia="方正黑体_GBK" w:cs="Times New Roman"/>
          <w:b w:val="0"/>
          <w:bCs w:val="0"/>
          <w:sz w:val="32"/>
          <w:szCs w:val="32"/>
        </w:rPr>
      </w:pPr>
      <w:r>
        <w:rPr>
          <w:rStyle w:val="7"/>
          <w:rFonts w:hint="eastAsia" w:ascii="方正黑体_GBK" w:hAnsi="Times New Roman" w:eastAsia="方正黑体_GBK" w:cs="Times New Roman"/>
          <w:b w:val="0"/>
          <w:bCs w:val="0"/>
          <w:sz w:val="32"/>
          <w:szCs w:val="32"/>
        </w:rPr>
        <w:t>五、预算绩效管理情况说明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11"/>
          <w:rFonts w:hint="eastAsia" w:ascii="方正楷体_GBK" w:hAnsi="方正楷体_GBK" w:eastAsia="方正楷体_GBK" w:cs="方正楷体_GBK"/>
          <w:b w:val="0"/>
          <w:bCs w:val="0"/>
          <w:sz w:val="32"/>
          <w:szCs w:val="32"/>
          <w:shd w:val="clear" w:color="auto" w:fill="FFFFFF"/>
        </w:rPr>
        <w:t>（一）预算绩效管理工作开展情况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本单位没有开展绩效评价工作。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11"/>
          <w:rFonts w:hint="eastAsia" w:eastAsia="方正仿宋_GBK"/>
          <w:b w:val="0"/>
          <w:bCs w:val="0"/>
          <w:sz w:val="32"/>
          <w:szCs w:val="32"/>
          <w:shd w:val="clear" w:color="auto" w:fill="FFFFFF"/>
        </w:rPr>
        <w:t>（二）绩效自评结果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rPr>
        <w:t xml:space="preserve">  1.绩效目标自评表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rPr>
      </w:pPr>
      <w:r>
        <w:rPr>
          <w:rStyle w:val="11"/>
          <w:rFonts w:hint="eastAsia" w:ascii="方正楷体_GBK" w:hAnsi="方正楷体_GBK" w:eastAsia="方正楷体_GBK" w:cs="方正楷体_GBK"/>
          <w:b w:val="0"/>
          <w:bCs w:val="0"/>
          <w:sz w:val="32"/>
          <w:szCs w:val="32"/>
          <w:shd w:val="clear" w:color="auto" w:fill="FFFFFF"/>
        </w:rPr>
        <w:t xml:space="preserve"> 2.绩效自评报告或案例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shd w:val="clear" w:color="auto" w:fill="FFFFFF"/>
        </w:rPr>
      </w:pPr>
      <w:r>
        <w:rPr>
          <w:rFonts w:ascii="Times New Roman" w:hAnsi="Times New Roman" w:eastAsia="方正仿宋_GBK" w:cs="Times New Roman"/>
          <w:b w:val="0"/>
          <w:bCs w:val="0"/>
          <w:sz w:val="32"/>
          <w:szCs w:val="32"/>
          <w:shd w:val="clear" w:color="auto" w:fill="FFFFFF"/>
        </w:rPr>
        <w:t xml:space="preserve"> </w:t>
      </w:r>
      <w:r>
        <w:rPr>
          <w:rFonts w:hint="eastAsia" w:ascii="Times New Roman" w:hAnsi="Times New Roman" w:eastAsia="方正仿宋_GBK" w:cs="Times New Roman"/>
          <w:b w:val="0"/>
          <w:bCs w:val="0"/>
          <w:sz w:val="32"/>
          <w:szCs w:val="32"/>
          <w:shd w:val="clear" w:color="auto" w:fill="FFFFFF"/>
        </w:rPr>
        <w:t>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楷体_GBK" w:hAnsi="方正楷体_GBK" w:eastAsia="方正楷体_GBK" w:cs="方正楷体_GBK"/>
          <w:b w:val="0"/>
          <w:bCs w:val="0"/>
          <w:sz w:val="32"/>
          <w:szCs w:val="32"/>
          <w:shd w:val="clear" w:color="auto" w:fill="FFFFFF"/>
        </w:rPr>
      </w:pPr>
      <w:r>
        <w:rPr>
          <w:rStyle w:val="11"/>
          <w:rFonts w:hint="eastAsia" w:ascii="方正楷体_GBK" w:hAnsi="方正楷体_GBK" w:eastAsia="方正楷体_GBK" w:cs="方正楷体_GBK"/>
          <w:b w:val="0"/>
          <w:bCs w:val="0"/>
          <w:sz w:val="32"/>
          <w:szCs w:val="32"/>
          <w:shd w:val="clear" w:color="auto" w:fill="FFFFFF"/>
        </w:rPr>
        <w:t>（三）重点绩效评价结果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rPr>
      </w:pPr>
      <w:r>
        <w:rPr>
          <w:rFonts w:ascii="Times New Roman" w:hAnsi="Times New Roman" w:eastAsia="方正仿宋_GBK" w:cs="Times New Roman"/>
          <w:b w:val="0"/>
          <w:bCs w:val="0"/>
          <w:sz w:val="32"/>
          <w:szCs w:val="32"/>
          <w:shd w:val="clear" w:color="auto" w:fill="FFFFFF"/>
        </w:rPr>
        <w:t xml:space="preserve"> </w:t>
      </w:r>
      <w:r>
        <w:rPr>
          <w:rFonts w:hint="eastAsia" w:ascii="Times New Roman" w:hAnsi="Times New Roman" w:eastAsia="方正仿宋_GBK" w:cs="Times New Roman"/>
          <w:b w:val="0"/>
          <w:bCs w:val="0"/>
          <w:sz w:val="32"/>
          <w:szCs w:val="32"/>
          <w:shd w:val="clear" w:color="auto" w:fill="FFFFFF"/>
        </w:rPr>
        <w:t>无。</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7"/>
          <w:rFonts w:hint="eastAsia" w:ascii="方正黑体_GBK" w:hAnsi="Times New Roman" w:eastAsia="方正黑体_GBK" w:cs="Times New Roman"/>
          <w:b w:val="0"/>
          <w:bCs w:val="0"/>
          <w:sz w:val="32"/>
          <w:szCs w:val="32"/>
        </w:rPr>
      </w:pPr>
      <w:r>
        <w:rPr>
          <w:rStyle w:val="7"/>
          <w:rFonts w:hint="eastAsia" w:ascii="方正黑体_GBK" w:hAnsi="Times New Roman" w:eastAsia="方正黑体_GBK" w:cs="Times New Roman"/>
          <w:b w:val="0"/>
          <w:bCs w:val="0"/>
          <w:sz w:val="32"/>
          <w:szCs w:val="32"/>
        </w:rPr>
        <w:t>专业名词解释</w:t>
      </w:r>
    </w:p>
    <w:p>
      <w:pPr>
        <w:pStyle w:val="10"/>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指本年度从本级财政部门取得的财政拨款，包括一般公共预算财政拨款和政府性基金预算财政拨款。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（二）事业收入</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指事业单位开展专业业务活动及其辅助活动取得的现金流入；事业单位收到的财政专户实际核拨的教育收费等资金在此反映</w:t>
      </w:r>
      <w:r>
        <w:rPr>
          <w:rFonts w:ascii="Times New Roman" w:hAnsi="Times New Roman" w:eastAsia="方正仿宋_GBK" w:cs="Times New Roman"/>
          <w:b w:val="0"/>
          <w:bCs w:val="0"/>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（三）经营收入</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指事业单位在专业业务活动及其辅助活动之外开展非独立核算经营活动取得的现金流入。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（四）其他收入</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（五）用事业基金弥补收支差额</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（六）年初结转和结余</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指单位上年结转本年使用的基本支出结转、项目支出结转和结余、经营结余。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（七）结余分配</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指单位按照国家有关规定，缴纳所得税、提取专用基金、转入事业基金等当年结余的分配情况。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（八）年末结转和结余</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指单位结转下年的基本支出结转、项目支出结转和结余、经营结余。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0"/>
          <w:szCs w:val="30"/>
        </w:rPr>
        <w:t>（九）基本支出</w:t>
      </w:r>
      <w:r>
        <w:rPr>
          <w:rFonts w:hint="eastAsia" w:ascii="方正楷体_GBK" w:hAnsi="方正楷体_GBK" w:eastAsia="方正楷体_GBK" w:cs="方正楷体_GBK"/>
          <w:b w:val="0"/>
          <w:bCs w:val="0"/>
          <w:sz w:val="30"/>
          <w:szCs w:val="30"/>
        </w:rPr>
        <w:t>：</w:t>
      </w:r>
      <w:r>
        <w:rPr>
          <w:rFonts w:ascii="Times New Roman" w:hAnsi="Times New Roman" w:eastAsia="方正仿宋_GBK" w:cs="Times New Roman"/>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（十）项目支出</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指在基本支出之外为完成特定行政任务和事业发展目标所发生的支出。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（十一）经营支出</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指事业单位在专业业务活动及其辅助活动之外开展非独立核算经营活动发生的支出。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（十二）“三公”经费</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（十三）机关运行经费</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（十四）工资福利支出（支出经济分类科目类级）</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反映单位开支的在职职工和编制外长期聘用人员的各类劳动报酬，以及为上述人员缴纳的各项社会保险费等。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（十五）商品和服务支出（支出经济分类科目类级）</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反映单位购买商品和服务的支出（不包括用于购置固定资产的支出、战略性和应急储备支出）。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（十六）对个人和家庭的补助（支出经济分类科目类级）</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反映用于对个人和家庭的补助支出。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Style w:val="7"/>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b w:val="0"/>
          <w:bCs w:val="0"/>
          <w:sz w:val="32"/>
          <w:szCs w:val="32"/>
        </w:rPr>
        <w:t>：</w:t>
      </w:r>
      <w:r>
        <w:rPr>
          <w:rFonts w:ascii="Times New Roman" w:hAnsi="Times New Roman" w:eastAsia="方正仿宋_GBK" w:cs="Times New Roman"/>
          <w:b w:val="0"/>
          <w:bCs w:val="0"/>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黑体_GBK" w:hAnsi="Times New Roman" w:eastAsia="方正黑体_GBK" w:cs="Times New Roman"/>
          <w:b w:val="0"/>
          <w:bCs w:val="0"/>
          <w:sz w:val="32"/>
          <w:szCs w:val="32"/>
        </w:rPr>
      </w:pPr>
      <w:r>
        <w:rPr>
          <w:rStyle w:val="7"/>
          <w:rFonts w:hint="eastAsia" w:ascii="方正黑体_GBK" w:hAnsi="Times New Roman" w:eastAsia="方正黑体_GBK" w:cs="Times New Roman"/>
          <w:b w:val="0"/>
          <w:bCs w:val="0"/>
          <w:sz w:val="32"/>
          <w:szCs w:val="32"/>
        </w:rPr>
        <w:t>七、决算公开联系</w:t>
      </w:r>
      <w:bookmarkStart w:id="0" w:name="_GoBack"/>
      <w:bookmarkEnd w:id="0"/>
      <w:r>
        <w:rPr>
          <w:rStyle w:val="7"/>
          <w:rFonts w:hint="eastAsia" w:ascii="方正黑体_GBK" w:hAnsi="Times New Roman" w:eastAsia="方正黑体_GBK" w:cs="Times New Roman"/>
          <w:b w:val="0"/>
          <w:bCs w:val="0"/>
          <w:sz w:val="32"/>
          <w:szCs w:val="32"/>
        </w:rPr>
        <w:t>方式及信息反馈渠道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 xml:space="preserve">本单位决算公开信息反馈和联系方式： </w:t>
      </w:r>
      <w:r>
        <w:rPr>
          <w:rFonts w:hint="eastAsia" w:ascii="Times New Roman" w:hAnsi="Times New Roman" w:eastAsia="方正仿宋_GBK" w:cs="Times New Roman"/>
          <w:b w:val="0"/>
          <w:bCs w:val="0"/>
          <w:sz w:val="32"/>
          <w:szCs w:val="32"/>
        </w:rPr>
        <w:t>联系人：陈锶雨 联系电话</w:t>
      </w:r>
      <w:r>
        <w:rPr>
          <w:rFonts w:ascii="Times New Roman" w:hAnsi="Times New Roman" w:eastAsia="方正仿宋_GBK" w:cs="Times New Roman"/>
          <w:b w:val="0"/>
          <w:bCs w:val="0"/>
          <w:sz w:val="32"/>
          <w:szCs w:val="32"/>
        </w:rPr>
        <w:t>023-59211307。</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 xml:space="preserve">  </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EDF70"/>
    <w:multiLevelType w:val="singleLevel"/>
    <w:tmpl w:val="8EBEDF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733C35"/>
    <w:rsid w:val="00017D90"/>
    <w:rsid w:val="00044EE6"/>
    <w:rsid w:val="000A6E84"/>
    <w:rsid w:val="000D3664"/>
    <w:rsid w:val="00145DD1"/>
    <w:rsid w:val="001750B4"/>
    <w:rsid w:val="002927B9"/>
    <w:rsid w:val="002B45EF"/>
    <w:rsid w:val="002E0160"/>
    <w:rsid w:val="0030463B"/>
    <w:rsid w:val="00322702"/>
    <w:rsid w:val="00446DDB"/>
    <w:rsid w:val="004937CA"/>
    <w:rsid w:val="00505A7E"/>
    <w:rsid w:val="00545A0D"/>
    <w:rsid w:val="00591D51"/>
    <w:rsid w:val="005F7BC0"/>
    <w:rsid w:val="006B1205"/>
    <w:rsid w:val="006D0F8A"/>
    <w:rsid w:val="006F3C47"/>
    <w:rsid w:val="007029DD"/>
    <w:rsid w:val="00733C35"/>
    <w:rsid w:val="007D7A60"/>
    <w:rsid w:val="00805931"/>
    <w:rsid w:val="0083099F"/>
    <w:rsid w:val="00862038"/>
    <w:rsid w:val="00866C02"/>
    <w:rsid w:val="009C01A1"/>
    <w:rsid w:val="00A02F25"/>
    <w:rsid w:val="00B706D0"/>
    <w:rsid w:val="00BC106F"/>
    <w:rsid w:val="00DB4BBC"/>
    <w:rsid w:val="00E7525B"/>
    <w:rsid w:val="00F70716"/>
    <w:rsid w:val="71E4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uiPriority w:val="99"/>
    <w:rPr>
      <w:rFonts w:ascii="宋体" w:hAnsi="宋体" w:eastAsia="宋体" w:cs="宋体"/>
      <w:sz w:val="18"/>
      <w:szCs w:val="18"/>
    </w:rPr>
  </w:style>
  <w:style w:type="character" w:customStyle="1" w:styleId="9">
    <w:name w:val="页脚 Char"/>
    <w:basedOn w:val="6"/>
    <w:link w:val="2"/>
    <w:semiHidden/>
    <w:uiPriority w:val="99"/>
    <w:rPr>
      <w:rFonts w:ascii="宋体" w:hAnsi="宋体" w:eastAsia="宋体" w:cs="宋体"/>
      <w:sz w:val="18"/>
      <w:szCs w:val="18"/>
    </w:rPr>
  </w:style>
  <w:style w:type="paragraph" w:customStyle="1" w:styleId="10">
    <w:name w:val="普通(网站) Char"/>
    <w:basedOn w:val="1"/>
    <w:uiPriority w:val="0"/>
    <w:pPr>
      <w:spacing w:before="100" w:beforeAutospacing="1" w:after="100" w:afterAutospacing="1"/>
    </w:pPr>
  </w:style>
  <w:style w:type="character" w:customStyle="1" w:styleId="11">
    <w:name w:val="16"/>
    <w:basedOn w:val="6"/>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767</Words>
  <Characters>4378</Characters>
  <Lines>36</Lines>
  <Paragraphs>10</Paragraphs>
  <TotalTime>0</TotalTime>
  <ScaleCrop>false</ScaleCrop>
  <LinksUpToDate>false</LinksUpToDate>
  <CharactersWithSpaces>5135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2020-08-14T01:36:00Z</dcterms:created>
  <dc:creator>Sky123.Org</dc:creator>
  <cp:lastModifiedBy>罗绪莲</cp:lastModifiedBy>
  <dcterms:modified xsi:type="dcterms:W3CDTF">2020-08-18T13:51:50Z</dcterms:modified>
  <dc:title>公开报告</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