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AB" w:rsidRDefault="00D854AB">
      <w:pPr>
        <w:pStyle w:val="a3"/>
        <w:shd w:val="clear" w:color="auto" w:fill="FFFFFF"/>
        <w:snapToGrid w:val="0"/>
        <w:spacing w:line="560" w:lineRule="exact"/>
        <w:jc w:val="both"/>
        <w:rPr>
          <w:rFonts w:ascii="方正小标宋_GBK" w:eastAsia="方正小标宋_GBK"/>
          <w:b/>
          <w:sz w:val="32"/>
          <w:szCs w:val="32"/>
        </w:rPr>
      </w:pPr>
    </w:p>
    <w:p w:rsidR="00D854AB" w:rsidRDefault="0001493C" w:rsidP="006D608B">
      <w:pPr>
        <w:pStyle w:val="a3"/>
        <w:shd w:val="clear" w:color="auto" w:fill="FFFFFF"/>
        <w:snapToGrid w:val="0"/>
        <w:spacing w:line="560" w:lineRule="exact"/>
        <w:ind w:firstLineChars="200" w:firstLine="791"/>
        <w:jc w:val="center"/>
        <w:rPr>
          <w:rFonts w:ascii="方正小标宋_GBK" w:eastAsia="方正小标宋_GBK" w:hAnsi="方正小标宋_GBK" w:cs="方正小标宋_GBK"/>
          <w:bCs/>
          <w:w w:val="90"/>
          <w:sz w:val="44"/>
          <w:szCs w:val="44"/>
        </w:rPr>
      </w:pPr>
      <w:r>
        <w:rPr>
          <w:rFonts w:ascii="方正小标宋_GBK" w:eastAsia="方正小标宋_GBK" w:hAnsi="方正小标宋_GBK" w:cs="方正小标宋_GBK" w:hint="eastAsia"/>
          <w:bCs/>
          <w:w w:val="90"/>
          <w:sz w:val="44"/>
          <w:szCs w:val="44"/>
        </w:rPr>
        <w:t>重庆市中国共产党委员会城口县人民政府信访办公室2019年度部门决算情况说明</w:t>
      </w:r>
    </w:p>
    <w:p w:rsidR="00D854AB" w:rsidRDefault="00D854AB" w:rsidP="006D608B">
      <w:pPr>
        <w:pStyle w:val="a3"/>
        <w:shd w:val="clear" w:color="auto" w:fill="FFFFFF"/>
        <w:snapToGrid w:val="0"/>
        <w:spacing w:line="560" w:lineRule="exact"/>
        <w:ind w:firstLineChars="200" w:firstLine="791"/>
        <w:jc w:val="center"/>
        <w:rPr>
          <w:rFonts w:ascii="方正小标宋_GBK" w:eastAsia="方正小标宋_GBK" w:hAnsi="方正小标宋_GBK" w:cs="方正小标宋_GBK"/>
          <w:bCs/>
          <w:w w:val="90"/>
          <w:sz w:val="44"/>
          <w:szCs w:val="44"/>
        </w:rPr>
      </w:pP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一、部门基本情况</w:t>
      </w:r>
    </w:p>
    <w:p w:rsidR="00D854AB" w:rsidRDefault="0001493C">
      <w:pPr>
        <w:spacing w:line="560" w:lineRule="exact"/>
        <w:ind w:firstLineChars="200" w:firstLine="640"/>
        <w:rPr>
          <w:rStyle w:val="a4"/>
          <w:rFonts w:ascii="方正楷体_GBK" w:eastAsia="方正楷体_GBK" w:hAnsi="方正楷体_GBK" w:cs="方正楷体_GBK"/>
          <w:b w:val="0"/>
          <w:bCs w:val="0"/>
          <w:szCs w:val="32"/>
        </w:rPr>
      </w:pPr>
      <w:r>
        <w:rPr>
          <w:rStyle w:val="a4"/>
          <w:rFonts w:ascii="方正楷体_GBK" w:eastAsia="方正楷体_GBK" w:hAnsi="方正楷体_GBK" w:cs="方正楷体_GBK" w:hint="eastAsia"/>
          <w:b w:val="0"/>
          <w:bCs w:val="0"/>
          <w:szCs w:val="32"/>
        </w:rPr>
        <w:t>（一）职能职责。</w:t>
      </w:r>
    </w:p>
    <w:p w:rsidR="00D854AB" w:rsidRDefault="0001493C">
      <w:pPr>
        <w:spacing w:line="560" w:lineRule="exact"/>
        <w:ind w:firstLineChars="200" w:firstLine="640"/>
        <w:rPr>
          <w:color w:val="000000"/>
          <w:szCs w:val="32"/>
        </w:rPr>
      </w:pPr>
      <w:r>
        <w:rPr>
          <w:color w:val="000000"/>
          <w:szCs w:val="32"/>
        </w:rPr>
        <w:t>1</w:t>
      </w:r>
      <w:r>
        <w:rPr>
          <w:rFonts w:hint="eastAsia"/>
          <w:color w:val="000000"/>
          <w:szCs w:val="32"/>
        </w:rPr>
        <w:t>.</w:t>
      </w:r>
      <w:r>
        <w:rPr>
          <w:szCs w:val="32"/>
        </w:rPr>
        <w:t>根据《中共重庆市委办公厅重庆市人民政府办公厅关于印发〈城口县机构改革方案〉的通知》（渝委办〔</w:t>
      </w:r>
      <w:r>
        <w:rPr>
          <w:szCs w:val="32"/>
        </w:rPr>
        <w:t>2018</w:t>
      </w:r>
      <w:r>
        <w:rPr>
          <w:szCs w:val="32"/>
        </w:rPr>
        <w:t>〕</w:t>
      </w:r>
      <w:r>
        <w:rPr>
          <w:szCs w:val="32"/>
        </w:rPr>
        <w:t>194</w:t>
      </w:r>
      <w:r>
        <w:rPr>
          <w:szCs w:val="32"/>
        </w:rPr>
        <w:t>号）和《中共城口县委办公室城口县人民政府办公室关于印发〈城口县机构改革实施方案〉的通知》（城委办发〔</w:t>
      </w:r>
      <w:r>
        <w:rPr>
          <w:szCs w:val="32"/>
        </w:rPr>
        <w:t>2019</w:t>
      </w:r>
      <w:r>
        <w:rPr>
          <w:szCs w:val="32"/>
        </w:rPr>
        <w:t>〕</w:t>
      </w:r>
      <w:r>
        <w:rPr>
          <w:szCs w:val="32"/>
        </w:rPr>
        <w:t>1</w:t>
      </w:r>
      <w:r>
        <w:rPr>
          <w:szCs w:val="32"/>
        </w:rPr>
        <w:t>号）精神，制定本规定</w:t>
      </w:r>
      <w:r>
        <w:rPr>
          <w:color w:val="000000"/>
          <w:szCs w:val="32"/>
        </w:rPr>
        <w:t>。</w:t>
      </w:r>
    </w:p>
    <w:p w:rsidR="00D854AB" w:rsidRDefault="0001493C">
      <w:pPr>
        <w:spacing w:line="560" w:lineRule="exact"/>
        <w:ind w:firstLineChars="200" w:firstLine="640"/>
        <w:rPr>
          <w:color w:val="000000"/>
          <w:szCs w:val="32"/>
        </w:rPr>
      </w:pPr>
      <w:r>
        <w:rPr>
          <w:color w:val="000000"/>
          <w:szCs w:val="32"/>
        </w:rPr>
        <w:t>2</w:t>
      </w:r>
      <w:r>
        <w:rPr>
          <w:rFonts w:hint="eastAsia"/>
          <w:color w:val="000000"/>
          <w:szCs w:val="32"/>
        </w:rPr>
        <w:t>.</w:t>
      </w:r>
      <w:r>
        <w:rPr>
          <w:color w:val="000000"/>
          <w:szCs w:val="32"/>
        </w:rPr>
        <w:t>城口县信访办公室（以下简称县信访办）是政府工作部门，为正科级。</w:t>
      </w:r>
    </w:p>
    <w:p w:rsidR="00D854AB" w:rsidRDefault="0001493C">
      <w:pPr>
        <w:spacing w:line="560" w:lineRule="exact"/>
        <w:ind w:firstLineChars="200" w:firstLine="640"/>
        <w:rPr>
          <w:color w:val="000000"/>
          <w:szCs w:val="32"/>
        </w:rPr>
      </w:pPr>
      <w:r>
        <w:rPr>
          <w:color w:val="000000"/>
          <w:szCs w:val="32"/>
        </w:rPr>
        <w:t>3</w:t>
      </w:r>
      <w:r>
        <w:rPr>
          <w:rFonts w:hint="eastAsia"/>
          <w:color w:val="000000"/>
          <w:szCs w:val="32"/>
        </w:rPr>
        <w:t>.</w:t>
      </w:r>
      <w:r>
        <w:rPr>
          <w:color w:val="000000"/>
          <w:szCs w:val="32"/>
        </w:rPr>
        <w:t>县信访办的主要职能职责是：</w:t>
      </w:r>
    </w:p>
    <w:p w:rsidR="00D854AB" w:rsidRDefault="0001493C">
      <w:pPr>
        <w:spacing w:line="560" w:lineRule="exact"/>
        <w:ind w:firstLineChars="200" w:firstLine="640"/>
        <w:rPr>
          <w:color w:val="000000"/>
          <w:szCs w:val="32"/>
        </w:rPr>
      </w:pPr>
      <w:r>
        <w:rPr>
          <w:color w:val="000000"/>
          <w:szCs w:val="32"/>
        </w:rPr>
        <w:t>①</w:t>
      </w:r>
      <w:r>
        <w:rPr>
          <w:color w:val="000000"/>
          <w:szCs w:val="32"/>
        </w:rPr>
        <w:t>接待和处理人民群众向县委、县政府的来信、来电和来访，保证信访渠道畅通；为来信、来电、来访人员提供政策、法律咨询服务，做好信访人员的思想疏导、矛盾化解工作，为群众排忧解难。</w:t>
      </w:r>
    </w:p>
    <w:p w:rsidR="00D854AB" w:rsidRDefault="0001493C">
      <w:pPr>
        <w:spacing w:line="560" w:lineRule="exact"/>
        <w:ind w:firstLineChars="200" w:firstLine="640"/>
        <w:rPr>
          <w:color w:val="000000"/>
          <w:szCs w:val="32"/>
        </w:rPr>
      </w:pPr>
      <w:r>
        <w:rPr>
          <w:color w:val="000000"/>
          <w:szCs w:val="32"/>
        </w:rPr>
        <w:t>②</w:t>
      </w:r>
      <w:r>
        <w:rPr>
          <w:color w:val="000000"/>
          <w:szCs w:val="32"/>
        </w:rPr>
        <w:t>承办并反馈县委、县政府领导和上级机关批转及交办的重要信访事项，督查领导批示件的落实情况；向乡镇、街道和县级部门交办信访案件，督促检查重要信访事项的处理和落实；通报全县重大突出的信访问题。</w:t>
      </w:r>
    </w:p>
    <w:p w:rsidR="00D854AB" w:rsidRDefault="0001493C">
      <w:pPr>
        <w:spacing w:line="560" w:lineRule="exact"/>
        <w:ind w:firstLineChars="200" w:firstLine="640"/>
        <w:rPr>
          <w:color w:val="000000"/>
          <w:szCs w:val="32"/>
        </w:rPr>
      </w:pPr>
      <w:r>
        <w:rPr>
          <w:color w:val="000000"/>
          <w:szCs w:val="32"/>
        </w:rPr>
        <w:lastRenderedPageBreak/>
        <w:t>③</w:t>
      </w:r>
      <w:r>
        <w:rPr>
          <w:color w:val="000000"/>
          <w:szCs w:val="32"/>
        </w:rPr>
        <w:t>协调处理跨乡镇、街道和跨部门的重要信访问题；协调处理群众到县上访和异常、突发信访事件；依法及时化解疏导和处理各种信访矛盾纠纷，维护全县社会大局和谐稳定。</w:t>
      </w:r>
    </w:p>
    <w:p w:rsidR="00D854AB" w:rsidRDefault="0001493C">
      <w:pPr>
        <w:spacing w:line="560" w:lineRule="exact"/>
        <w:ind w:firstLineChars="200" w:firstLine="640"/>
        <w:rPr>
          <w:color w:val="000000"/>
          <w:szCs w:val="32"/>
        </w:rPr>
      </w:pPr>
      <w:r>
        <w:rPr>
          <w:color w:val="000000"/>
          <w:szCs w:val="32"/>
        </w:rPr>
        <w:t>④</w:t>
      </w:r>
      <w:r>
        <w:rPr>
          <w:color w:val="000000"/>
          <w:szCs w:val="32"/>
        </w:rPr>
        <w:t>组织开展社情民意调查，倾听群众呼声，收集群众意见，了解群众所难、所思、所盼，帮助群众解决困难问题；了解社情民意，及时分析提供信息，对带有全面性的问题开展调查研究，提出解决问题的方案或建议，为县委、县政府提供科学决策服务，发挥参谋助手作用。</w:t>
      </w:r>
    </w:p>
    <w:p w:rsidR="00D854AB" w:rsidRDefault="0001493C">
      <w:pPr>
        <w:spacing w:line="560" w:lineRule="exact"/>
        <w:ind w:firstLineChars="200" w:firstLine="640"/>
        <w:rPr>
          <w:color w:val="000000"/>
          <w:szCs w:val="32"/>
        </w:rPr>
      </w:pPr>
      <w:r>
        <w:rPr>
          <w:color w:val="000000"/>
          <w:szCs w:val="32"/>
        </w:rPr>
        <w:t>⑤</w:t>
      </w:r>
      <w:r>
        <w:rPr>
          <w:color w:val="000000"/>
          <w:szCs w:val="32"/>
        </w:rPr>
        <w:t>布置、检查、协调和指导全县信访工作；研究、草拟全县有关信访工作的政策和规章制度草案；总结推广各乡镇、街道和县级各部门信访工作经验，提出改进和加强信访工作的意见和建议。</w:t>
      </w:r>
    </w:p>
    <w:p w:rsidR="00D854AB" w:rsidRDefault="0001493C">
      <w:pPr>
        <w:spacing w:line="560" w:lineRule="exact"/>
        <w:ind w:firstLineChars="200" w:firstLine="640"/>
        <w:rPr>
          <w:color w:val="000000"/>
          <w:szCs w:val="32"/>
        </w:rPr>
      </w:pPr>
      <w:r>
        <w:rPr>
          <w:color w:val="000000"/>
          <w:szCs w:val="32"/>
        </w:rPr>
        <w:t>⑥</w:t>
      </w:r>
      <w:r>
        <w:rPr>
          <w:color w:val="000000"/>
          <w:szCs w:val="32"/>
        </w:rPr>
        <w:t>负责信访稳定的矛盾排查化解工作；分析、反映、通报重大信访稳定风险隐患，协同实施全县重大决策事项社会稳定风险评估工作；牵头开展重大活动、重要节点期间信访维稳工作。</w:t>
      </w:r>
    </w:p>
    <w:p w:rsidR="00D854AB" w:rsidRDefault="0001493C">
      <w:pPr>
        <w:spacing w:line="560" w:lineRule="exact"/>
        <w:ind w:firstLineChars="200" w:firstLine="640"/>
        <w:rPr>
          <w:color w:val="000000"/>
          <w:szCs w:val="32"/>
        </w:rPr>
      </w:pPr>
      <w:r>
        <w:rPr>
          <w:color w:val="000000"/>
          <w:szCs w:val="32"/>
        </w:rPr>
        <w:t>⑦</w:t>
      </w:r>
      <w:r>
        <w:rPr>
          <w:color w:val="000000"/>
          <w:szCs w:val="32"/>
        </w:rPr>
        <w:t>负责组织实施全县信访工作目标管理，提高信访工作质量，加强部队伍的自身建设，开展信访专兼职干部培训和信访宣传工作，提高信访干部的政治和业务素质；研究和探讨信访工作的规律和理论，指导信访工作实践，发挥信访工作的社会效益。</w:t>
      </w:r>
    </w:p>
    <w:p w:rsidR="00D854AB" w:rsidRDefault="0001493C">
      <w:pPr>
        <w:spacing w:line="560" w:lineRule="exact"/>
        <w:ind w:firstLineChars="200" w:firstLine="640"/>
        <w:rPr>
          <w:color w:val="000000"/>
          <w:szCs w:val="32"/>
        </w:rPr>
      </w:pPr>
      <w:r>
        <w:rPr>
          <w:color w:val="000000"/>
          <w:szCs w:val="32"/>
        </w:rPr>
        <w:t>⑧</w:t>
      </w:r>
      <w:r>
        <w:rPr>
          <w:color w:val="000000"/>
          <w:szCs w:val="32"/>
        </w:rPr>
        <w:t>配合公安部门处置人民群众以上访为由的游行、集会、请愿活法维护信访秩序。</w:t>
      </w:r>
    </w:p>
    <w:p w:rsidR="00D854AB" w:rsidRDefault="0001493C">
      <w:pPr>
        <w:spacing w:line="560" w:lineRule="exact"/>
        <w:ind w:firstLineChars="200" w:firstLine="640"/>
        <w:rPr>
          <w:color w:val="000000"/>
          <w:szCs w:val="32"/>
        </w:rPr>
      </w:pPr>
      <w:r>
        <w:rPr>
          <w:color w:val="000000"/>
          <w:szCs w:val="32"/>
        </w:rPr>
        <w:lastRenderedPageBreak/>
        <w:t>⑨</w:t>
      </w:r>
      <w:r>
        <w:rPr>
          <w:color w:val="000000"/>
          <w:szCs w:val="32"/>
        </w:rPr>
        <w:t>按照《信访条例》《重庆市信访工作责任制实施细则》《城口县访维稳工作九条意见》规定，对有关信访干部提出奖励或处罚的建议。</w:t>
      </w:r>
    </w:p>
    <w:p w:rsidR="00D854AB" w:rsidRDefault="0001493C">
      <w:pPr>
        <w:spacing w:line="560" w:lineRule="exact"/>
        <w:ind w:firstLineChars="200" w:firstLine="640"/>
        <w:rPr>
          <w:color w:val="000000"/>
          <w:szCs w:val="32"/>
        </w:rPr>
      </w:pPr>
      <w:r>
        <w:rPr>
          <w:color w:val="000000"/>
          <w:szCs w:val="32"/>
        </w:rPr>
        <w:t>⑩</w:t>
      </w:r>
      <w:r>
        <w:rPr>
          <w:color w:val="000000"/>
          <w:szCs w:val="32"/>
        </w:rPr>
        <w:t>办理县委、县政府及上级业务主管部门交办的其他事项。</w:t>
      </w:r>
    </w:p>
    <w:p w:rsidR="00D854AB" w:rsidRDefault="0001493C">
      <w:pPr>
        <w:spacing w:line="560" w:lineRule="exact"/>
        <w:ind w:firstLineChars="200" w:firstLine="640"/>
        <w:rPr>
          <w:rStyle w:val="a4"/>
          <w:rFonts w:ascii="方正楷体_GBK" w:eastAsia="方正楷体_GBK" w:hAnsi="方正楷体_GBK" w:cs="方正楷体_GBK"/>
          <w:b w:val="0"/>
          <w:bCs w:val="0"/>
          <w:szCs w:val="32"/>
        </w:rPr>
      </w:pPr>
      <w:r>
        <w:rPr>
          <w:rStyle w:val="a4"/>
          <w:rFonts w:ascii="方正楷体_GBK" w:eastAsia="方正楷体_GBK" w:hAnsi="方正楷体_GBK" w:cs="方正楷体_GBK" w:hint="eastAsia"/>
          <w:b w:val="0"/>
          <w:bCs w:val="0"/>
          <w:szCs w:val="32"/>
        </w:rPr>
        <w:t>（二）机构设置。</w:t>
      </w:r>
    </w:p>
    <w:p w:rsidR="00D854AB" w:rsidRDefault="0001493C">
      <w:pPr>
        <w:spacing w:line="560" w:lineRule="exact"/>
        <w:ind w:firstLineChars="200" w:firstLine="640"/>
        <w:rPr>
          <w:color w:val="000000"/>
          <w:szCs w:val="32"/>
        </w:rPr>
      </w:pPr>
      <w:r>
        <w:rPr>
          <w:color w:val="000000"/>
          <w:szCs w:val="32"/>
        </w:rPr>
        <w:t>县信访办设下列内设机构：</w:t>
      </w:r>
    </w:p>
    <w:p w:rsidR="00D854AB" w:rsidRDefault="0001493C">
      <w:pPr>
        <w:spacing w:line="560" w:lineRule="exact"/>
        <w:ind w:firstLineChars="200" w:firstLine="640"/>
        <w:rPr>
          <w:bCs/>
          <w:color w:val="000000"/>
          <w:szCs w:val="32"/>
        </w:rPr>
      </w:pPr>
      <w:r>
        <w:rPr>
          <w:bCs/>
          <w:color w:val="000000"/>
          <w:szCs w:val="32"/>
        </w:rPr>
        <w:t>1</w:t>
      </w:r>
      <w:r>
        <w:rPr>
          <w:rFonts w:hint="eastAsia"/>
          <w:bCs/>
          <w:color w:val="000000"/>
          <w:szCs w:val="32"/>
        </w:rPr>
        <w:t>.</w:t>
      </w:r>
      <w:r>
        <w:rPr>
          <w:bCs/>
          <w:color w:val="000000"/>
          <w:szCs w:val="32"/>
        </w:rPr>
        <w:t>综合科</w:t>
      </w:r>
    </w:p>
    <w:p w:rsidR="00D854AB" w:rsidRDefault="0001493C">
      <w:pPr>
        <w:spacing w:line="560" w:lineRule="exact"/>
        <w:ind w:firstLineChars="200" w:firstLine="640"/>
        <w:rPr>
          <w:color w:val="000000"/>
          <w:szCs w:val="32"/>
        </w:rPr>
      </w:pPr>
      <w:r>
        <w:rPr>
          <w:color w:val="000000"/>
          <w:szCs w:val="32"/>
        </w:rPr>
        <w:t>负责文电、会务、机要保密、档案等机关日常工作；负责组织人事管理、干部学习培训及信访人才队伍建设等工作；负责政务公开工作；负责政务值班及值班信息的安排、处置和报送工作。</w:t>
      </w:r>
    </w:p>
    <w:p w:rsidR="00D854AB" w:rsidRDefault="0001493C">
      <w:pPr>
        <w:spacing w:line="560" w:lineRule="exact"/>
        <w:ind w:firstLineChars="200" w:firstLine="640"/>
        <w:rPr>
          <w:color w:val="000000"/>
          <w:szCs w:val="32"/>
        </w:rPr>
      </w:pPr>
      <w:r>
        <w:rPr>
          <w:color w:val="000000"/>
          <w:szCs w:val="32"/>
        </w:rPr>
        <w:t>负责信访工作的调查研究和新闻宣传工作；负责综合性文稿起草工作；负责信访工作经验的总结推广；承办党政信访稳定工作目标管理考核工作。</w:t>
      </w:r>
    </w:p>
    <w:p w:rsidR="00D854AB" w:rsidRDefault="0001493C">
      <w:pPr>
        <w:spacing w:line="560" w:lineRule="exact"/>
        <w:ind w:firstLineChars="200" w:firstLine="640"/>
        <w:rPr>
          <w:color w:val="000000"/>
          <w:szCs w:val="32"/>
        </w:rPr>
      </w:pPr>
      <w:r>
        <w:rPr>
          <w:color w:val="000000"/>
          <w:szCs w:val="32"/>
        </w:rPr>
        <w:t>负责机关财务管理及后勤事务工作；负责机关社会治安综合治理工作；承担全县信访信息网络建设的职责；负责机关公务接待、膳食服务、会务保障、办公用房和公务用车等管理工作。负责机关固定资产及办公用品的计划、采购、登记、保管及发放工作。</w:t>
      </w:r>
    </w:p>
    <w:p w:rsidR="00D854AB" w:rsidRDefault="0001493C">
      <w:pPr>
        <w:spacing w:line="560" w:lineRule="exact"/>
        <w:ind w:firstLineChars="200" w:firstLine="640"/>
        <w:rPr>
          <w:color w:val="000000"/>
          <w:szCs w:val="32"/>
        </w:rPr>
      </w:pPr>
      <w:r>
        <w:rPr>
          <w:color w:val="000000"/>
          <w:szCs w:val="32"/>
        </w:rPr>
        <w:t>承办领导交办的其他工作。</w:t>
      </w:r>
    </w:p>
    <w:p w:rsidR="00D854AB" w:rsidRDefault="0001493C">
      <w:pPr>
        <w:spacing w:line="560" w:lineRule="exact"/>
        <w:ind w:firstLineChars="200" w:firstLine="640"/>
        <w:rPr>
          <w:bCs/>
          <w:color w:val="000000"/>
          <w:szCs w:val="32"/>
        </w:rPr>
      </w:pPr>
      <w:r>
        <w:rPr>
          <w:bCs/>
          <w:color w:val="000000"/>
          <w:szCs w:val="32"/>
        </w:rPr>
        <w:t>2</w:t>
      </w:r>
      <w:r>
        <w:rPr>
          <w:rFonts w:hint="eastAsia"/>
          <w:bCs/>
          <w:color w:val="000000"/>
          <w:szCs w:val="32"/>
        </w:rPr>
        <w:t>.</w:t>
      </w:r>
      <w:r>
        <w:rPr>
          <w:bCs/>
          <w:color w:val="000000"/>
          <w:szCs w:val="32"/>
        </w:rPr>
        <w:t>办信科（挂复查复核科牌子）</w:t>
      </w:r>
    </w:p>
    <w:p w:rsidR="00D854AB" w:rsidRDefault="0001493C">
      <w:pPr>
        <w:spacing w:line="560" w:lineRule="exact"/>
        <w:ind w:firstLineChars="200" w:firstLine="640"/>
        <w:rPr>
          <w:color w:val="000000"/>
          <w:szCs w:val="32"/>
        </w:rPr>
      </w:pPr>
      <w:r>
        <w:rPr>
          <w:color w:val="000000"/>
          <w:szCs w:val="32"/>
        </w:rPr>
        <w:t>负责受理办理群众来信；承办国家信访局、市信访办及其他国家机关转送、交办的来信事项；汇总、分析、反映和</w:t>
      </w:r>
      <w:r>
        <w:rPr>
          <w:color w:val="000000"/>
          <w:szCs w:val="32"/>
        </w:rPr>
        <w:lastRenderedPageBreak/>
        <w:t>通报重要来信信息；转送、交办、督办重要来信事项；指导检查乡镇、街道和县级部门办信工作。承办复查复核的日常工作。受理办理信访事项的复查工作；负责信访法治建设相关工作，承办信访普法宣传教育工作。</w:t>
      </w:r>
    </w:p>
    <w:p w:rsidR="00D854AB" w:rsidRDefault="0001493C">
      <w:pPr>
        <w:spacing w:line="560" w:lineRule="exact"/>
        <w:ind w:firstLineChars="200" w:firstLine="640"/>
        <w:rPr>
          <w:color w:val="000000"/>
          <w:szCs w:val="32"/>
        </w:rPr>
      </w:pPr>
      <w:r>
        <w:rPr>
          <w:color w:val="000000"/>
          <w:szCs w:val="32"/>
        </w:rPr>
        <w:t>负责受理、办理、转送、督查督办群众网上信访投诉事项；负责信访信息化服务工作。负责信访信息系统的管理维护工作，负责信访数据的安全管理工作。指导检查乡镇、街道和县级部门信访投诉受理工作和信访系统信息化建设工作。</w:t>
      </w:r>
    </w:p>
    <w:p w:rsidR="00D854AB" w:rsidRDefault="0001493C">
      <w:pPr>
        <w:spacing w:line="560" w:lineRule="exact"/>
        <w:ind w:firstLineChars="200" w:firstLine="640"/>
        <w:rPr>
          <w:color w:val="000000"/>
          <w:szCs w:val="32"/>
        </w:rPr>
      </w:pPr>
      <w:r>
        <w:rPr>
          <w:color w:val="000000"/>
          <w:szCs w:val="32"/>
        </w:rPr>
        <w:t>负责安排、督促、指导网上信访代理工作。</w:t>
      </w:r>
    </w:p>
    <w:p w:rsidR="00D854AB" w:rsidRDefault="0001493C">
      <w:pPr>
        <w:spacing w:line="560" w:lineRule="exact"/>
        <w:ind w:firstLineChars="200" w:firstLine="640"/>
        <w:rPr>
          <w:color w:val="000000"/>
          <w:szCs w:val="32"/>
        </w:rPr>
      </w:pPr>
      <w:r>
        <w:rPr>
          <w:color w:val="000000"/>
          <w:szCs w:val="32"/>
        </w:rPr>
        <w:t>承办领导交办的其他工作。</w:t>
      </w:r>
    </w:p>
    <w:p w:rsidR="00D854AB" w:rsidRDefault="0001493C">
      <w:pPr>
        <w:spacing w:line="560" w:lineRule="exact"/>
        <w:ind w:firstLineChars="200" w:firstLine="640"/>
        <w:rPr>
          <w:bCs/>
          <w:color w:val="000000"/>
          <w:szCs w:val="32"/>
        </w:rPr>
      </w:pPr>
      <w:r>
        <w:rPr>
          <w:bCs/>
          <w:color w:val="000000"/>
          <w:szCs w:val="32"/>
        </w:rPr>
        <w:t>3</w:t>
      </w:r>
      <w:r>
        <w:rPr>
          <w:rFonts w:hint="eastAsia"/>
          <w:bCs/>
          <w:color w:val="000000"/>
          <w:szCs w:val="32"/>
        </w:rPr>
        <w:t>.</w:t>
      </w:r>
      <w:r>
        <w:rPr>
          <w:bCs/>
          <w:color w:val="000000"/>
          <w:szCs w:val="32"/>
        </w:rPr>
        <w:t>接访科</w:t>
      </w:r>
    </w:p>
    <w:p w:rsidR="00D854AB" w:rsidRDefault="0001493C">
      <w:pPr>
        <w:spacing w:line="560" w:lineRule="exact"/>
        <w:ind w:firstLineChars="200" w:firstLine="640"/>
        <w:rPr>
          <w:color w:val="000000"/>
          <w:szCs w:val="32"/>
        </w:rPr>
      </w:pPr>
      <w:r>
        <w:rPr>
          <w:rFonts w:ascii="方正仿宋_GBK" w:hAnsi="方正仿宋_GBK" w:cs="方正仿宋_GBK" w:hint="eastAsia"/>
          <w:color w:val="000000"/>
          <w:szCs w:val="32"/>
        </w:rPr>
        <w:t>做好人民群众来访的接待、解释、协调、登记、录入系统、统计等工作；做好集体上访的疏</w:t>
      </w:r>
      <w:r>
        <w:rPr>
          <w:color w:val="000000"/>
          <w:szCs w:val="32"/>
        </w:rPr>
        <w:t>导、稳控和化解工作，及时上报来县信访办集体上访的动态，积极协助上级信访部门做好到市进京上访人员的工作；协调处理来访中的疑难问题，及时向有关部门和乡镇、街道转办群众来访反映的问题。做好对来访中紧急、突发事件的处理工作；做好重大活动期间现场信访维稳接待工作；做好人民群众来访情况的排查分析和信访信息的报送工作，定期向上级业务主管部门、向县委县政府有关领导报告情况，向基层通报相关情况。</w:t>
      </w:r>
    </w:p>
    <w:p w:rsidR="00D854AB" w:rsidRDefault="0001493C">
      <w:pPr>
        <w:spacing w:line="560" w:lineRule="exact"/>
        <w:ind w:firstLineChars="200" w:firstLine="640"/>
        <w:rPr>
          <w:color w:val="000000"/>
          <w:szCs w:val="32"/>
        </w:rPr>
      </w:pPr>
      <w:r>
        <w:rPr>
          <w:color w:val="000000"/>
          <w:szCs w:val="32"/>
        </w:rPr>
        <w:t>承办领导交办的其他工作。</w:t>
      </w:r>
    </w:p>
    <w:p w:rsidR="00D854AB" w:rsidRDefault="0001493C">
      <w:pPr>
        <w:spacing w:line="560" w:lineRule="exact"/>
        <w:ind w:firstLineChars="200" w:firstLine="640"/>
        <w:rPr>
          <w:b/>
          <w:color w:val="000000"/>
          <w:szCs w:val="32"/>
        </w:rPr>
      </w:pPr>
      <w:r>
        <w:rPr>
          <w:bCs/>
          <w:color w:val="000000"/>
          <w:szCs w:val="32"/>
        </w:rPr>
        <w:t>4</w:t>
      </w:r>
      <w:r>
        <w:rPr>
          <w:rFonts w:hint="eastAsia"/>
          <w:bCs/>
          <w:color w:val="000000"/>
          <w:szCs w:val="32"/>
        </w:rPr>
        <w:t>.</w:t>
      </w:r>
      <w:r>
        <w:rPr>
          <w:bCs/>
          <w:color w:val="000000"/>
          <w:szCs w:val="32"/>
        </w:rPr>
        <w:t>群众工作科（挂人民建议征集科牌子）</w:t>
      </w:r>
    </w:p>
    <w:p w:rsidR="00D854AB" w:rsidRDefault="0001493C">
      <w:pPr>
        <w:spacing w:line="560" w:lineRule="exact"/>
        <w:ind w:firstLineChars="200" w:firstLine="640"/>
        <w:rPr>
          <w:color w:val="000000"/>
          <w:szCs w:val="32"/>
        </w:rPr>
      </w:pPr>
      <w:r>
        <w:rPr>
          <w:color w:val="000000"/>
          <w:szCs w:val="32"/>
        </w:rPr>
        <w:t>承办县信访工作（群众工作）联席会议办公室的日常工</w:t>
      </w:r>
      <w:r>
        <w:rPr>
          <w:color w:val="000000"/>
          <w:szCs w:val="32"/>
        </w:rPr>
        <w:lastRenderedPageBreak/>
        <w:t>作；做好全县领导干部下访接访群众安排布置、督查指导等工作，总结推广先进群众工作经验；积极协助开展好深化</w:t>
      </w:r>
      <w:r>
        <w:rPr>
          <w:color w:val="000000"/>
          <w:szCs w:val="32"/>
        </w:rPr>
        <w:t>“</w:t>
      </w:r>
      <w:r>
        <w:rPr>
          <w:color w:val="000000"/>
          <w:szCs w:val="32"/>
        </w:rPr>
        <w:t>枫桥经验</w:t>
      </w:r>
      <w:r>
        <w:rPr>
          <w:color w:val="000000"/>
          <w:szCs w:val="32"/>
        </w:rPr>
        <w:t>”</w:t>
      </w:r>
      <w:r>
        <w:rPr>
          <w:color w:val="000000"/>
          <w:szCs w:val="32"/>
        </w:rPr>
        <w:t>重庆实践行动；负责人民建议征集工作，开展社情民意调研、分析报告和通报；具体负责民意调查工作的组织实施。</w:t>
      </w:r>
    </w:p>
    <w:p w:rsidR="00D854AB" w:rsidRDefault="0001493C">
      <w:pPr>
        <w:snapToGrid w:val="0"/>
        <w:spacing w:line="560" w:lineRule="exact"/>
        <w:ind w:firstLineChars="200" w:firstLine="640"/>
        <w:rPr>
          <w:color w:val="000000"/>
          <w:szCs w:val="32"/>
        </w:rPr>
      </w:pPr>
      <w:r>
        <w:rPr>
          <w:color w:val="000000"/>
          <w:szCs w:val="32"/>
        </w:rPr>
        <w:t>承办领导交办的其他工作。</w:t>
      </w:r>
    </w:p>
    <w:p w:rsidR="00D854AB" w:rsidRDefault="0001493C">
      <w:pPr>
        <w:spacing w:line="560" w:lineRule="exact"/>
        <w:ind w:firstLineChars="200" w:firstLine="640"/>
        <w:rPr>
          <w:bCs/>
          <w:color w:val="000000"/>
          <w:szCs w:val="32"/>
        </w:rPr>
      </w:pPr>
      <w:r>
        <w:rPr>
          <w:bCs/>
          <w:color w:val="000000"/>
          <w:szCs w:val="32"/>
        </w:rPr>
        <w:t>5</w:t>
      </w:r>
      <w:r>
        <w:rPr>
          <w:rFonts w:hint="eastAsia"/>
          <w:bCs/>
          <w:color w:val="000000"/>
          <w:szCs w:val="32"/>
        </w:rPr>
        <w:t>.</w:t>
      </w:r>
      <w:r>
        <w:rPr>
          <w:bCs/>
          <w:color w:val="000000"/>
          <w:szCs w:val="32"/>
        </w:rPr>
        <w:t>信访稳定协调科</w:t>
      </w:r>
    </w:p>
    <w:p w:rsidR="00D854AB" w:rsidRDefault="0001493C">
      <w:pPr>
        <w:snapToGrid w:val="0"/>
        <w:spacing w:line="560" w:lineRule="exact"/>
        <w:ind w:firstLineChars="200" w:firstLine="640"/>
        <w:rPr>
          <w:color w:val="000000"/>
          <w:szCs w:val="32"/>
        </w:rPr>
      </w:pPr>
      <w:r>
        <w:rPr>
          <w:color w:val="000000"/>
          <w:szCs w:val="32"/>
        </w:rPr>
        <w:t>负责中央和市委、市政府、市信访办关于信访工作决策部署贯彻落实情况的督查、反映、通报；负责督查督办重要信访事项，统筹协调处理</w:t>
      </w:r>
      <w:r>
        <w:rPr>
          <w:color w:val="000000"/>
          <w:szCs w:val="32"/>
        </w:rPr>
        <w:t>“</w:t>
      </w:r>
      <w:r>
        <w:rPr>
          <w:color w:val="000000"/>
          <w:szCs w:val="32"/>
        </w:rPr>
        <w:t>三跨三分离</w:t>
      </w:r>
      <w:r>
        <w:rPr>
          <w:color w:val="000000"/>
          <w:szCs w:val="32"/>
        </w:rPr>
        <w:t>”</w:t>
      </w:r>
      <w:r>
        <w:rPr>
          <w:color w:val="000000"/>
          <w:szCs w:val="32"/>
        </w:rPr>
        <w:t>信访案件；提出对乡镇、街道和县级部门改进工作、完善政策、给予处分和违反信访工作纪律实施责任追究的建议；做好重大活动期间现场信访维稳接待工作；检查指导乡镇、街道和县级部门信访事项办理情况。</w:t>
      </w:r>
    </w:p>
    <w:p w:rsidR="00D854AB" w:rsidRDefault="0001493C">
      <w:pPr>
        <w:snapToGrid w:val="0"/>
        <w:spacing w:line="560" w:lineRule="exact"/>
        <w:ind w:firstLineChars="200" w:firstLine="640"/>
        <w:rPr>
          <w:color w:val="000000"/>
          <w:szCs w:val="32"/>
        </w:rPr>
      </w:pPr>
      <w:r>
        <w:rPr>
          <w:color w:val="000000"/>
          <w:szCs w:val="32"/>
        </w:rPr>
        <w:t>负责信访稳定矛盾纠纷的情况收集、排查化解等工作；分析、反映、通报重大信访稳定风险隐患；做好全县重大决策事项社会稳定风险评估工作组织实施和归档备案等工作；统筹协调信访稳定突出问题专项治理工作。负责全县信访工作责任制和责任追究制贯彻落实情况的督查督办工作。</w:t>
      </w:r>
    </w:p>
    <w:p w:rsidR="00D854AB" w:rsidRDefault="0001493C">
      <w:pPr>
        <w:snapToGrid w:val="0"/>
        <w:spacing w:line="560" w:lineRule="exact"/>
        <w:ind w:firstLineChars="200" w:firstLine="640"/>
        <w:rPr>
          <w:color w:val="000000"/>
          <w:szCs w:val="32"/>
        </w:rPr>
      </w:pPr>
      <w:r>
        <w:rPr>
          <w:color w:val="000000"/>
          <w:szCs w:val="32"/>
        </w:rPr>
        <w:t>承办领导交办的其他工作。</w:t>
      </w:r>
    </w:p>
    <w:p w:rsidR="00D854AB" w:rsidRDefault="0001493C">
      <w:pPr>
        <w:snapToGrid w:val="0"/>
        <w:spacing w:line="560" w:lineRule="exact"/>
        <w:ind w:firstLineChars="200" w:firstLine="640"/>
        <w:rPr>
          <w:color w:val="000000"/>
          <w:szCs w:val="32"/>
        </w:rPr>
      </w:pPr>
      <w:r>
        <w:rPr>
          <w:rStyle w:val="a4"/>
          <w:rFonts w:ascii="方正楷体_GBK" w:eastAsia="方正楷体_GBK" w:hAnsi="方正楷体_GBK" w:cs="方正楷体_GBK" w:hint="eastAsia"/>
          <w:b w:val="0"/>
          <w:bCs w:val="0"/>
          <w:szCs w:val="32"/>
        </w:rPr>
        <w:t>（三）单位构成</w:t>
      </w:r>
      <w:r>
        <w:rPr>
          <w:rStyle w:val="a4"/>
          <w:rFonts w:ascii="方正楷体_GBK" w:eastAsia="方正楷体_GBK" w:hAnsi="方正楷体_GBK" w:cs="方正楷体_GBK" w:hint="eastAsia"/>
          <w:szCs w:val="32"/>
        </w:rPr>
        <w:t>。</w:t>
      </w:r>
      <w:r>
        <w:rPr>
          <w:szCs w:val="32"/>
        </w:rPr>
        <w:t>从预算单位构成看，纳入本部门</w:t>
      </w:r>
      <w:r>
        <w:rPr>
          <w:szCs w:val="32"/>
        </w:rPr>
        <w:t>2019</w:t>
      </w:r>
      <w:r>
        <w:rPr>
          <w:szCs w:val="32"/>
        </w:rPr>
        <w:t>年度决算编制的一级预算单位。</w:t>
      </w:r>
      <w:r>
        <w:rPr>
          <w:color w:val="000000"/>
          <w:szCs w:val="32"/>
        </w:rPr>
        <w:t>县信访办机关行政编制为</w:t>
      </w:r>
      <w:r>
        <w:rPr>
          <w:color w:val="000000"/>
          <w:szCs w:val="32"/>
        </w:rPr>
        <w:t>9</w:t>
      </w:r>
      <w:r>
        <w:rPr>
          <w:color w:val="000000"/>
          <w:szCs w:val="32"/>
        </w:rPr>
        <w:t>名。设主任</w:t>
      </w:r>
      <w:r>
        <w:rPr>
          <w:color w:val="000000"/>
          <w:szCs w:val="32"/>
        </w:rPr>
        <w:t>1</w:t>
      </w:r>
      <w:r>
        <w:rPr>
          <w:color w:val="000000"/>
          <w:szCs w:val="32"/>
        </w:rPr>
        <w:t>名，副主任</w:t>
      </w:r>
      <w:r>
        <w:rPr>
          <w:color w:val="000000"/>
          <w:szCs w:val="32"/>
        </w:rPr>
        <w:t>2</w:t>
      </w:r>
      <w:r>
        <w:rPr>
          <w:color w:val="000000"/>
          <w:szCs w:val="32"/>
        </w:rPr>
        <w:t>名。内设机构领导职数原则按</w:t>
      </w:r>
      <w:r>
        <w:rPr>
          <w:color w:val="000000"/>
          <w:szCs w:val="32"/>
        </w:rPr>
        <w:t>1</w:t>
      </w:r>
      <w:r>
        <w:rPr>
          <w:color w:val="000000"/>
          <w:szCs w:val="32"/>
        </w:rPr>
        <w:t>名配备。</w:t>
      </w:r>
    </w:p>
    <w:p w:rsidR="00D854AB" w:rsidRDefault="0001493C">
      <w:pPr>
        <w:spacing w:line="560" w:lineRule="exact"/>
        <w:ind w:firstLineChars="200" w:firstLine="640"/>
        <w:rPr>
          <w:color w:val="000000"/>
          <w:szCs w:val="32"/>
        </w:rPr>
      </w:pPr>
      <w:r>
        <w:rPr>
          <w:color w:val="000000"/>
          <w:szCs w:val="32"/>
        </w:rPr>
        <w:lastRenderedPageBreak/>
        <w:t>城口县信</w:t>
      </w:r>
      <w:bookmarkStart w:id="0" w:name="_GoBack"/>
      <w:bookmarkEnd w:id="0"/>
      <w:r>
        <w:rPr>
          <w:color w:val="000000"/>
          <w:szCs w:val="32"/>
        </w:rPr>
        <w:t>访办公室所属事业单位的设置、职责和编制事项另行规定。</w:t>
      </w:r>
    </w:p>
    <w:p w:rsidR="00D854AB" w:rsidRDefault="0001493C">
      <w:pPr>
        <w:spacing w:line="560" w:lineRule="exact"/>
        <w:ind w:firstLineChars="200" w:firstLine="640"/>
        <w:rPr>
          <w:rFonts w:ascii="方正仿宋_GBK" w:hAnsi="方正仿宋_GBK" w:cs="方正仿宋_GBK" w:hint="eastAsia"/>
          <w:color w:val="000000"/>
          <w:szCs w:val="32"/>
        </w:rPr>
      </w:pPr>
      <w:r>
        <w:rPr>
          <w:rFonts w:ascii="方正楷体_GBK" w:eastAsia="方正楷体_GBK" w:hAnsi="方正楷体_GBK" w:cs="方正楷体_GBK" w:hint="eastAsia"/>
          <w:color w:val="000000"/>
          <w:szCs w:val="32"/>
        </w:rPr>
        <w:t>（四）机构改革情况。</w:t>
      </w:r>
    </w:p>
    <w:p w:rsidR="00CB09C0" w:rsidRPr="00CB09C0" w:rsidRDefault="00CB09C0" w:rsidP="00CB09C0">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sidRPr="00CB09C0">
        <w:rPr>
          <w:rFonts w:ascii="Times New Roman" w:eastAsia="方正仿宋_GBK" w:hAnsi="Times New Roman" w:cs="Times New Roman" w:hint="eastAsia"/>
          <w:sz w:val="32"/>
          <w:szCs w:val="32"/>
        </w:rPr>
        <w:t>将县委县政府信访办公室调整为县信访办公室，作为县政府工作部门。不再保留县委县政府信访办公室。</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二、部门决算情况说明</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（一）收入支出决算总体情况说明</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总体情况。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417.81</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417.81</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360.88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46.34%</w:t>
      </w:r>
      <w:r>
        <w:rPr>
          <w:rFonts w:ascii="Times New Roman" w:eastAsia="方正仿宋_GBK" w:hAnsi="Times New Roman" w:cs="Times New Roman"/>
          <w:sz w:val="32"/>
          <w:szCs w:val="32"/>
        </w:rPr>
        <w:t>，主要原因是减少了信访事务专项支出（城口县鱼肚河电站赔偿）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417.81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354.51</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45.90%</w:t>
      </w:r>
      <w:r>
        <w:rPr>
          <w:rFonts w:ascii="Times New Roman" w:eastAsia="方正仿宋_GBK" w:hAnsi="Times New Roman" w:cs="Times New Roman"/>
          <w:sz w:val="32"/>
          <w:szCs w:val="32"/>
        </w:rPr>
        <w:t>，主要原因是减少了信访事务专项支出（城口县鱼肚河电站赔偿）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万元，其他基本与上年持平。其中：财政拨款收入</w:t>
      </w:r>
      <w:r>
        <w:rPr>
          <w:rFonts w:ascii="Times New Roman" w:eastAsia="方正仿宋_GBK" w:hAnsi="Times New Roman" w:cs="Times New Roman"/>
          <w:sz w:val="32"/>
          <w:szCs w:val="32"/>
        </w:rPr>
        <w:t>412.81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98.80%</w:t>
      </w:r>
      <w:r>
        <w:rPr>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3.</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417.81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360.88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46.34%</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万元，其他基本与上年持平。其中：基本支出</w:t>
      </w:r>
      <w:r>
        <w:rPr>
          <w:rFonts w:ascii="Times New Roman" w:eastAsia="方正仿宋_GBK" w:hAnsi="Times New Roman" w:cs="Times New Roman"/>
          <w:sz w:val="32"/>
          <w:szCs w:val="32"/>
        </w:rPr>
        <w:t>256.98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61.51%</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160.83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38.49%</w:t>
      </w:r>
      <w:r>
        <w:rPr>
          <w:rFonts w:ascii="Times New Roman" w:eastAsia="方正仿宋_GBK" w:hAnsi="Times New Roman" w:cs="Times New Roman"/>
          <w:sz w:val="32"/>
          <w:szCs w:val="32"/>
        </w:rPr>
        <w:t>。</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lastRenderedPageBreak/>
        <w:t>4.</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，主要原因是做到了收支平衡。</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（二）财政拨款收入支出决算总体情况说明</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412.81</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365.88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46.99%</w:t>
      </w:r>
      <w:r>
        <w:rPr>
          <w:rFonts w:ascii="Times New Roman" w:eastAsia="方正仿宋_GBK" w:hAnsi="Times New Roman" w:cs="Times New Roman"/>
          <w:sz w:val="32"/>
          <w:szCs w:val="32"/>
        </w:rPr>
        <w:t>。主要原因是减少了信访事务专项支出（城口县鱼肚河电站赔偿）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（三）一般公共预算财政拨款支出决算情况说明</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412.81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359.51</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46.55%</w:t>
      </w:r>
      <w:r>
        <w:rPr>
          <w:rFonts w:ascii="Times New Roman" w:eastAsia="方正仿宋_GBK" w:hAnsi="Times New Roman" w:cs="Times New Roman"/>
          <w:sz w:val="32"/>
          <w:szCs w:val="32"/>
        </w:rPr>
        <w:t>。主要原因是减少了信访事务专项支出（城口县鱼肚河电站赔偿）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万元，其他基本与上年持平。较年初预算数增加</w:t>
      </w:r>
      <w:r>
        <w:rPr>
          <w:rFonts w:ascii="Times New Roman" w:eastAsia="方正仿宋_GBK" w:hAnsi="Times New Roman" w:cs="Times New Roman"/>
          <w:sz w:val="32"/>
          <w:szCs w:val="32"/>
        </w:rPr>
        <w:t>226.68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121.79%</w:t>
      </w:r>
      <w:r>
        <w:rPr>
          <w:rFonts w:ascii="Times New Roman" w:eastAsia="方正仿宋_GBK" w:hAnsi="Times New Roman" w:cs="Times New Roman"/>
          <w:sz w:val="32"/>
          <w:szCs w:val="32"/>
        </w:rPr>
        <w:t>。主要原因是年终决算追加信访维稳专项支出</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2.</w:t>
      </w:r>
      <w:r>
        <w:rPr>
          <w:rStyle w:val="a4"/>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412.81</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365.88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46.99%</w:t>
      </w:r>
      <w:r>
        <w:rPr>
          <w:rFonts w:ascii="Times New Roman" w:eastAsia="方正仿宋_GBK" w:hAnsi="Times New Roman" w:cs="Times New Roman"/>
          <w:sz w:val="32"/>
          <w:szCs w:val="32"/>
        </w:rPr>
        <w:t>。主要原因是减少了信访事务专项支出（城口县鱼肚河电站赔偿）</w:t>
      </w:r>
      <w:r>
        <w:rPr>
          <w:rFonts w:ascii="Times New Roman" w:eastAsia="方正仿宋_GBK" w:hAnsi="Times New Roman" w:cs="Times New Roman"/>
          <w:sz w:val="32"/>
          <w:szCs w:val="32"/>
        </w:rPr>
        <w:t>360</w:t>
      </w:r>
      <w:r>
        <w:rPr>
          <w:rFonts w:ascii="Times New Roman" w:eastAsia="方正仿宋_GBK" w:hAnsi="Times New Roman" w:cs="Times New Roman"/>
          <w:sz w:val="32"/>
          <w:szCs w:val="32"/>
        </w:rPr>
        <w:t>万元，其他基本与上年持平。较年初预算数增加</w:t>
      </w:r>
      <w:r>
        <w:rPr>
          <w:rFonts w:ascii="Times New Roman" w:eastAsia="方正仿宋_GBK" w:hAnsi="Times New Roman" w:cs="Times New Roman"/>
          <w:sz w:val="32"/>
          <w:szCs w:val="32"/>
        </w:rPr>
        <w:t>226.68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121.79%</w:t>
      </w:r>
      <w:r>
        <w:rPr>
          <w:rFonts w:ascii="Times New Roman" w:eastAsia="方正仿宋_GBK" w:hAnsi="Times New Roman" w:cs="Times New Roman"/>
          <w:sz w:val="32"/>
          <w:szCs w:val="32"/>
        </w:rPr>
        <w:t>。主要原因是年终决算财政追加信访维稳专项支出</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lastRenderedPageBreak/>
        <w:t>3.</w:t>
      </w:r>
      <w:r>
        <w:rPr>
          <w:rStyle w:val="a4"/>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，主要原因是基本做到了收支平衡。</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color w:val="FF0000"/>
          <w:sz w:val="32"/>
          <w:szCs w:val="32"/>
          <w:shd w:val="clear" w:color="auto" w:fill="FFFF00"/>
        </w:rPr>
      </w:pPr>
      <w:r>
        <w:rPr>
          <w:rStyle w:val="a4"/>
          <w:rFonts w:ascii="Times New Roman" w:eastAsia="方正仿宋_GBK" w:hAnsi="Times New Roman" w:cs="Times New Roman"/>
          <w:sz w:val="32"/>
          <w:szCs w:val="32"/>
        </w:rPr>
        <w:t>4.</w:t>
      </w:r>
      <w:r>
        <w:rPr>
          <w:rStyle w:val="a4"/>
          <w:rFonts w:ascii="Times New Roman" w:eastAsia="方正仿宋_GBK" w:hAnsi="Times New Roman" w:cs="Times New Roman"/>
          <w:sz w:val="32"/>
          <w:szCs w:val="32"/>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年度一般公共预算财政拨款支出主要用于以下几个方面：</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color w:val="FF0000"/>
          <w:sz w:val="32"/>
          <w:szCs w:val="32"/>
          <w:shd w:val="clear" w:color="auto" w:fill="FFFF00"/>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345.46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83.68%</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204.48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145.04%</w:t>
      </w:r>
      <w:r>
        <w:rPr>
          <w:rFonts w:ascii="Times New Roman" w:eastAsia="方正仿宋_GBK" w:hAnsi="Times New Roman" w:cs="Times New Roman"/>
          <w:sz w:val="32"/>
          <w:szCs w:val="32"/>
        </w:rPr>
        <w:t>，主要原因是年终决算财政追加信访维稳专项支出</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38.73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9.38%</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14.23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58.08%</w:t>
      </w:r>
      <w:r>
        <w:rPr>
          <w:rFonts w:ascii="Times New Roman" w:eastAsia="方正仿宋_GBK" w:hAnsi="Times New Roman" w:cs="Times New Roman"/>
          <w:sz w:val="32"/>
          <w:szCs w:val="32"/>
        </w:rPr>
        <w:t>，主要原因是由于工资基数增加相应增加了社会保障缴费。</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13.49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3.27%</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3.73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38.22%</w:t>
      </w:r>
      <w:r>
        <w:rPr>
          <w:rFonts w:ascii="Times New Roman" w:eastAsia="方正仿宋_GBK" w:hAnsi="Times New Roman" w:cs="Times New Roman"/>
          <w:sz w:val="32"/>
          <w:szCs w:val="32"/>
        </w:rPr>
        <w:t>，主要原因是由于工资基数增加相应增加了社会保障缴费。</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15.14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3.67%</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4.25</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39.03%</w:t>
      </w:r>
      <w:r>
        <w:rPr>
          <w:rFonts w:ascii="Times New Roman" w:eastAsia="方正仿宋_GBK" w:hAnsi="Times New Roman" w:cs="Times New Roman"/>
          <w:sz w:val="32"/>
          <w:szCs w:val="32"/>
        </w:rPr>
        <w:t>，主要原因是由于工资基数增加相应增加了住房公积金缴费。</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（四）一般公共预算财政拨款基本支出决算情况说明</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256.98</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243.66</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73.98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43.60%</w:t>
      </w:r>
      <w:r>
        <w:rPr>
          <w:rFonts w:ascii="Times New Roman" w:eastAsia="方正仿宋_GBK" w:hAnsi="Times New Roman" w:cs="Times New Roman"/>
          <w:sz w:val="32"/>
          <w:szCs w:val="32"/>
        </w:rPr>
        <w:t>，主要原因是职工工资、津补贴增长。人员经费</w:t>
      </w:r>
      <w:r>
        <w:rPr>
          <w:rFonts w:ascii="Times New Roman" w:eastAsia="方正仿宋_GBK" w:hAnsi="Times New Roman" w:cs="Times New Roman"/>
          <w:sz w:val="32"/>
          <w:szCs w:val="32"/>
        </w:rPr>
        <w:lastRenderedPageBreak/>
        <w:t>用途主要包括</w:t>
      </w:r>
      <w:r>
        <w:rPr>
          <w:rFonts w:ascii="Times New Roman" w:eastAsia="方正仿宋_GBK" w:hAnsi="Times New Roman" w:cs="Times New Roman"/>
          <w:color w:val="000000"/>
          <w:sz w:val="32"/>
          <w:szCs w:val="32"/>
        </w:rPr>
        <w:t>基本工资、津贴补贴、奖金、社会保障缴费等支出。</w:t>
      </w:r>
      <w:r>
        <w:rPr>
          <w:rFonts w:ascii="Times New Roman" w:eastAsia="方正仿宋_GBK" w:hAnsi="Times New Roman" w:cs="Times New Roman"/>
          <w:sz w:val="32"/>
          <w:szCs w:val="32"/>
        </w:rPr>
        <w:t>公用经费</w:t>
      </w:r>
      <w:r>
        <w:rPr>
          <w:rFonts w:ascii="Times New Roman" w:eastAsia="方正仿宋_GBK" w:hAnsi="Times New Roman" w:cs="Times New Roman"/>
          <w:sz w:val="32"/>
          <w:szCs w:val="32"/>
        </w:rPr>
        <w:t>13.32</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12.73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2,157.63%</w:t>
      </w:r>
      <w:r>
        <w:rPr>
          <w:rFonts w:ascii="Times New Roman" w:eastAsia="方正仿宋_GBK" w:hAnsi="Times New Roman" w:cs="Times New Roman"/>
          <w:sz w:val="32"/>
          <w:szCs w:val="32"/>
        </w:rPr>
        <w:t>，主要原因是上年在专项支出中列报。公用经费用途主要包括</w:t>
      </w:r>
      <w:r>
        <w:rPr>
          <w:rFonts w:ascii="Times New Roman" w:eastAsia="方正仿宋_GBK" w:hAnsi="Times New Roman" w:cs="Times New Roman"/>
          <w:color w:val="000000"/>
          <w:sz w:val="32"/>
          <w:szCs w:val="32"/>
        </w:rPr>
        <w:t>办公费、印刷费、水电费、邮电费、差旅费、劳务费、维修费、车辆运行费等</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（五）政府性基金预算收支决算情况说明</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本年度</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年度伍政府性基金预算财政拨款收支。</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经费情况说明</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（一）“三公”经费支出总体情况说明</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4.20</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sz w:val="32"/>
          <w:szCs w:val="32"/>
        </w:rPr>
        <w:t>0.05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1.18%</w:t>
      </w:r>
      <w:r>
        <w:rPr>
          <w:rFonts w:ascii="Times New Roman" w:eastAsia="方正仿宋_GBK" w:hAnsi="Times New Roman" w:cs="Times New Roman"/>
          <w:sz w:val="32"/>
          <w:szCs w:val="32"/>
        </w:rPr>
        <w:t>，主要原因是基本与上年持平，略有降低。较上年支出数减少</w:t>
      </w:r>
      <w:r>
        <w:rPr>
          <w:rFonts w:ascii="Times New Roman" w:eastAsia="方正仿宋_GBK" w:hAnsi="Times New Roman" w:cs="Times New Roman"/>
          <w:sz w:val="32"/>
          <w:szCs w:val="32"/>
        </w:rPr>
        <w:t>0.04</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0.94%</w:t>
      </w:r>
      <w:r>
        <w:rPr>
          <w:rFonts w:ascii="Times New Roman" w:eastAsia="方正仿宋_GBK" w:hAnsi="Times New Roman" w:cs="Times New Roman"/>
          <w:sz w:val="32"/>
          <w:szCs w:val="32"/>
        </w:rPr>
        <w:t>，主要原因：</w:t>
      </w:r>
      <w:r>
        <w:rPr>
          <w:rFonts w:ascii="Times New Roman" w:eastAsia="方正仿宋_GBK" w:hAnsi="Times New Roman" w:cs="Times New Roman"/>
          <w:color w:val="000000"/>
          <w:sz w:val="32"/>
          <w:szCs w:val="32"/>
        </w:rPr>
        <w:t>一是认真贯彻落实中央八项规定精神，按照只减不增的要求从严控制</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三公</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（二）“三公”经费分项支出情况</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2019</w:t>
      </w:r>
      <w:r>
        <w:rPr>
          <w:rFonts w:ascii="Times New Roman" w:eastAsia="方正仿宋_GBK" w:hAnsi="Times New Roman" w:cs="Times New Roman" w:hint="eastAsia"/>
          <w:sz w:val="32"/>
          <w:szCs w:val="32"/>
        </w:rPr>
        <w:t>年度本单位无公务出国费用、无公务车购置及运行维护费。</w:t>
      </w: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4.20</w:t>
      </w:r>
      <w:r>
        <w:rPr>
          <w:rFonts w:ascii="Times New Roman" w:eastAsia="方正仿宋_GBK" w:hAnsi="Times New Roman" w:cs="Times New Roman"/>
          <w:sz w:val="32"/>
          <w:szCs w:val="32"/>
        </w:rPr>
        <w:t>万元，主要用于接待市委、市政府信访事务专项督查组，县内信访集访处置误餐，以及信访到基层大走访等误餐生活费。费用支出较年初预算数减少</w:t>
      </w:r>
      <w:r>
        <w:rPr>
          <w:rFonts w:ascii="Times New Roman" w:eastAsia="方正仿宋_GBK" w:hAnsi="Times New Roman" w:cs="Times New Roman"/>
          <w:sz w:val="32"/>
          <w:szCs w:val="32"/>
        </w:rPr>
        <w:t>0.05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1.18%</w:t>
      </w:r>
      <w:r>
        <w:rPr>
          <w:rFonts w:ascii="Times New Roman" w:eastAsia="方正仿宋_GBK" w:hAnsi="Times New Roman" w:cs="Times New Roman"/>
          <w:sz w:val="32"/>
          <w:szCs w:val="32"/>
        </w:rPr>
        <w:t>，主要原因是严格压缩公务接待费。较上年支出数减少</w:t>
      </w:r>
      <w:r>
        <w:rPr>
          <w:rFonts w:ascii="Times New Roman" w:eastAsia="方正仿宋_GBK" w:hAnsi="Times New Roman" w:cs="Times New Roman"/>
          <w:sz w:val="32"/>
          <w:szCs w:val="32"/>
        </w:rPr>
        <w:t>0.04</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0.94%</w:t>
      </w:r>
      <w:r>
        <w:rPr>
          <w:rFonts w:ascii="Times New Roman" w:eastAsia="方正仿宋_GBK" w:hAnsi="Times New Roman" w:cs="Times New Roman"/>
          <w:sz w:val="32"/>
          <w:szCs w:val="32"/>
        </w:rPr>
        <w:t>，主要原因是严格执行中央八项规定，压缩公务接待费。</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（三）“三公”经费实物量情况</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220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1,880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22.34</w:t>
      </w:r>
      <w:r w:rsidR="006D608B">
        <w:rPr>
          <w:rFonts w:ascii="Times New Roman" w:eastAsia="方正仿宋_GBK" w:hAnsi="Times New Roman" w:cs="Times New Roman" w:hint="eastAsia"/>
          <w:sz w:val="32"/>
          <w:szCs w:val="32"/>
        </w:rPr>
        <w:t>元。</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四、其他需要说明的事项</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Style w:val="a4"/>
          <w:rFonts w:ascii="方正楷体_GBK" w:eastAsia="方正楷体_GBK" w:hAnsi="方正楷体_GBK" w:cs="方正楷体_GBK" w:hint="eastAsia"/>
          <w:b w:val="0"/>
          <w:bCs w:val="0"/>
          <w:sz w:val="32"/>
          <w:szCs w:val="32"/>
        </w:rPr>
        <w:t>（一）机关运行经费情况说明。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13.32</w:t>
      </w:r>
      <w:r>
        <w:rPr>
          <w:rFonts w:ascii="Times New Roman" w:eastAsia="方正仿宋_GBK" w:hAnsi="Times New Roman" w:cs="Times New Roman"/>
          <w:sz w:val="32"/>
          <w:szCs w:val="32"/>
        </w:rPr>
        <w:t>万元，机关运行经费主要用于</w:t>
      </w:r>
      <w:r>
        <w:rPr>
          <w:rFonts w:ascii="Times New Roman" w:eastAsia="方正仿宋_GBK" w:hAnsi="Times New Roman" w:cs="Times New Roman"/>
          <w:color w:val="000000"/>
          <w:sz w:val="32"/>
          <w:szCs w:val="32"/>
        </w:rPr>
        <w:t>办公费、水电费、邮电费、差旅费、劳务费、维修费、公务车运行维护费等。机关运行经费较上年决</w:t>
      </w:r>
      <w:r>
        <w:rPr>
          <w:rFonts w:ascii="Times New Roman" w:eastAsia="方正仿宋_GBK" w:hAnsi="Times New Roman" w:cs="Times New Roman"/>
          <w:sz w:val="32"/>
          <w:szCs w:val="32"/>
        </w:rPr>
        <w:t>算数增加</w:t>
      </w:r>
      <w:r>
        <w:rPr>
          <w:rFonts w:ascii="Times New Roman" w:eastAsia="方正仿宋_GBK" w:hAnsi="Times New Roman" w:cs="Times New Roman"/>
          <w:sz w:val="32"/>
          <w:szCs w:val="32"/>
        </w:rPr>
        <w:t>12.73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2,157.63%</w:t>
      </w:r>
      <w:r>
        <w:rPr>
          <w:rFonts w:ascii="Times New Roman" w:eastAsia="方正仿宋_GBK" w:hAnsi="Times New Roman" w:cs="Times New Roman"/>
          <w:sz w:val="32"/>
          <w:szCs w:val="32"/>
        </w:rPr>
        <w:t>，主要原因是上年在专项支出中列报，本年在一般公务运行经费中列报。</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此外，本年度一般公共预算财政拨款会议费支出</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2.74%</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lastRenderedPageBreak/>
        <w:t>信访业务培训会，做到依法接访。本年度一般公共预算财政拨款培训费支出</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2.35</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54.02%</w:t>
      </w:r>
      <w:r>
        <w:rPr>
          <w:rFonts w:ascii="Times New Roman" w:eastAsia="方正仿宋_GBK" w:hAnsi="Times New Roman" w:cs="Times New Roman"/>
          <w:sz w:val="32"/>
          <w:szCs w:val="32"/>
        </w:rPr>
        <w:t>，主要原因是减少了信访业务培训费</w:t>
      </w:r>
    </w:p>
    <w:p w:rsidR="00D854AB" w:rsidRDefault="0001493C">
      <w:pPr>
        <w:pStyle w:val="a3"/>
        <w:shd w:val="clear" w:color="auto" w:fill="FFFFFF"/>
        <w:snapToGrid w:val="0"/>
        <w:spacing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（二）国有资产占用情况说明。</w:t>
      </w:r>
    </w:p>
    <w:p w:rsidR="00D854AB" w:rsidRDefault="0001493C">
      <w:pPr>
        <w:pStyle w:val="a3"/>
        <w:shd w:val="clear" w:color="auto" w:fill="FFFFFF"/>
        <w:snapToGrid w:val="0"/>
        <w:spacing w:line="560" w:lineRule="exact"/>
        <w:ind w:firstLineChars="200" w:firstLine="640"/>
        <w:rPr>
          <w:rFonts w:ascii="方正仿宋_GBK" w:eastAsia="方正仿宋_GBK" w:hAnsi="方正仿宋_GBK" w:cs="方正仿宋_GBK"/>
          <w:sz w:val="32"/>
          <w:szCs w:val="32"/>
          <w:shd w:val="clear" w:color="auto" w:fill="FFFF00"/>
        </w:rPr>
      </w:pPr>
      <w:r>
        <w:rPr>
          <w:rStyle w:val="a4"/>
          <w:rFonts w:ascii="方正仿宋_GBK" w:eastAsia="方正仿宋_GBK" w:hAnsi="方正仿宋_GBK" w:cs="方正仿宋_GBK" w:hint="eastAsia"/>
          <w:b w:val="0"/>
          <w:bCs w:val="0"/>
          <w:sz w:val="32"/>
          <w:szCs w:val="32"/>
        </w:rPr>
        <w:t>因房屋产权属于县委、县政府，我单位资产未纳入部门决算报表。</w:t>
      </w:r>
    </w:p>
    <w:p w:rsidR="00D854AB" w:rsidRDefault="0001493C">
      <w:pPr>
        <w:pStyle w:val="a3"/>
        <w:shd w:val="clear" w:color="auto" w:fill="FFFFFF"/>
        <w:snapToGrid w:val="0"/>
        <w:spacing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（三）政府采购支出情况说明。</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，其中：授予小微企业合同金额</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。主要用于采购</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年度我单位未发生政府采购事项，无相关经费支出。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五、预算绩效管理情况说明</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（一）预算绩效管理工作开展情况</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根据预算绩效管理要求，本部门对</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个项目开展了绩效自评，其中，以填报目标自评表形式开展自评</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项，涉及资金</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万元；以委托第三方形式开展绩效自评</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项（如有），涉及资金</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万元，从评价情况来看，本单位没有开展预算绩效工作。</w:t>
      </w:r>
    </w:p>
    <w:p w:rsidR="00D854AB" w:rsidRDefault="0001493C">
      <w:pPr>
        <w:pStyle w:val="a3"/>
        <w:shd w:val="clear" w:color="auto" w:fill="FFFFFF"/>
        <w:snapToGrid w:val="0"/>
        <w:spacing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lastRenderedPageBreak/>
        <w:t>（二）绩效自评结果</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1.</w:t>
      </w:r>
      <w:r>
        <w:rPr>
          <w:rStyle w:val="a4"/>
          <w:rFonts w:ascii="Times New Roman" w:eastAsia="方正仿宋_GBK" w:hAnsi="Times New Roman" w:cs="Times New Roman"/>
          <w:sz w:val="32"/>
          <w:szCs w:val="32"/>
        </w:rPr>
        <w:t>绩效目标自评表</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项</w:t>
      </w:r>
      <w:r>
        <w:rPr>
          <w:rFonts w:ascii="Times New Roman" w:eastAsia="方正仿宋_GBK" w:hAnsi="Times New Roman" w:cs="Times New Roman"/>
          <w:color w:val="000000"/>
          <w:sz w:val="32"/>
          <w:szCs w:val="32"/>
        </w:rPr>
        <w:t>目绩效目标自评综述：根据年初设定的绩效目标，项目总体完成情况，本单位没有开展预算绩效工作。项目全年预算数为</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万元，执行数为</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万元，完成预算的</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w:t>
      </w:r>
    </w:p>
    <w:p w:rsidR="00D854AB" w:rsidRDefault="0001493C">
      <w:pPr>
        <w:pStyle w:val="Char"/>
        <w:shd w:val="clear" w:color="auto" w:fill="FFFFFF"/>
        <w:autoSpaceDE w:val="0"/>
        <w:spacing w:beforeAutospacing="0" w:afterAutospacing="0"/>
        <w:ind w:firstLineChars="200" w:firstLine="643"/>
        <w:rPr>
          <w:rFonts w:ascii="Times New Roman" w:eastAsia="方正仿宋_GBK" w:hAnsi="Times New Roman" w:hint="default"/>
          <w:color w:val="000000"/>
          <w:sz w:val="32"/>
          <w:szCs w:val="32"/>
        </w:rPr>
      </w:pPr>
      <w:r>
        <w:rPr>
          <w:rStyle w:val="17"/>
          <w:rFonts w:ascii="Times New Roman" w:eastAsia="方正仿宋_GBK" w:hAnsi="Times New Roman" w:hint="eastAsia"/>
          <w:color w:val="000000"/>
          <w:sz w:val="32"/>
          <w:szCs w:val="32"/>
          <w:shd w:val="clear" w:color="auto" w:fill="FFFFFF"/>
        </w:rPr>
        <w:t>2.</w:t>
      </w:r>
      <w:r>
        <w:rPr>
          <w:rStyle w:val="17"/>
          <w:rFonts w:ascii="方正仿宋_GBK" w:eastAsia="方正仿宋_GBK" w:hAnsi="方正仿宋_GBK" w:cs="方正仿宋_GBK" w:hint="eastAsia"/>
          <w:color w:val="000000"/>
          <w:sz w:val="32"/>
          <w:szCs w:val="32"/>
          <w:shd w:val="clear" w:color="auto" w:fill="FFFFFF"/>
        </w:rPr>
        <w:t>绩效自评报告或案例</w:t>
      </w:r>
    </w:p>
    <w:p w:rsidR="00D854AB" w:rsidRDefault="0001493C">
      <w:pPr>
        <w:pStyle w:val="Char"/>
        <w:shd w:val="clear" w:color="auto" w:fill="FFFFFF"/>
        <w:autoSpaceDE w:val="0"/>
        <w:spacing w:beforeAutospacing="0" w:afterAutospacing="0"/>
        <w:ind w:firstLineChars="200" w:firstLine="640"/>
        <w:rPr>
          <w:rFonts w:ascii="Times New Roman" w:eastAsia="方正仿宋_GBK" w:hAnsi="Times New Roman" w:hint="default"/>
          <w:b/>
          <w:color w:val="000000"/>
          <w:sz w:val="32"/>
          <w:szCs w:val="32"/>
          <w:shd w:val="clear" w:color="auto" w:fill="FFFFFF"/>
        </w:rPr>
      </w:pPr>
      <w:r>
        <w:rPr>
          <w:rStyle w:val="17"/>
          <w:rFonts w:ascii="Times New Roman" w:eastAsia="方正仿宋_GBK" w:hAnsi="Times New Roman" w:hint="eastAsia"/>
          <w:b w:val="0"/>
          <w:color w:val="000000"/>
          <w:sz w:val="32"/>
          <w:szCs w:val="32"/>
          <w:shd w:val="clear" w:color="auto" w:fill="FFFFFF"/>
        </w:rPr>
        <w:t>2019</w:t>
      </w:r>
      <w:r>
        <w:rPr>
          <w:rStyle w:val="17"/>
          <w:rFonts w:ascii="方正仿宋_GBK" w:eastAsia="方正仿宋_GBK" w:hAnsi="方正仿宋_GBK" w:cs="方正仿宋_GBK" w:hint="eastAsia"/>
          <w:b w:val="0"/>
          <w:color w:val="000000"/>
          <w:sz w:val="32"/>
          <w:szCs w:val="32"/>
          <w:shd w:val="clear" w:color="auto" w:fill="FFFFFF"/>
        </w:rPr>
        <w:t>年度本单位无绩效自评报告和案例。</w:t>
      </w:r>
    </w:p>
    <w:p w:rsidR="00D854AB" w:rsidRDefault="0001493C">
      <w:pPr>
        <w:pStyle w:val="Char"/>
        <w:shd w:val="clear" w:color="auto" w:fill="FFFFFF"/>
        <w:tabs>
          <w:tab w:val="left" w:pos="0"/>
        </w:tabs>
        <w:autoSpaceDE w:val="0"/>
        <w:spacing w:beforeAutospacing="0" w:afterAutospacing="0"/>
        <w:ind w:firstLineChars="200" w:firstLine="640"/>
        <w:rPr>
          <w:rFonts w:ascii="Times New Roman" w:eastAsia="方正楷体_GBK" w:hAnsi="Times New Roman" w:hint="default"/>
          <w:color w:val="000000"/>
          <w:sz w:val="32"/>
          <w:szCs w:val="32"/>
          <w:shd w:val="clear" w:color="auto" w:fill="FFFFFF"/>
        </w:rPr>
      </w:pPr>
      <w:r>
        <w:rPr>
          <w:rStyle w:val="17"/>
          <w:rFonts w:ascii="方正楷体_GBK" w:eastAsia="方正楷体_GBK" w:hAnsi="方正楷体_GBK" w:cs="方正楷体_GBK" w:hint="eastAsia"/>
          <w:b w:val="0"/>
          <w:color w:val="000000"/>
          <w:sz w:val="32"/>
          <w:szCs w:val="32"/>
          <w:shd w:val="clear" w:color="auto" w:fill="FFFFFF"/>
        </w:rPr>
        <w:t>（三）重点绩效评价结果</w:t>
      </w:r>
    </w:p>
    <w:p w:rsidR="00D854AB" w:rsidRDefault="0001493C">
      <w:pPr>
        <w:pStyle w:val="Char"/>
        <w:autoSpaceDE w:val="0"/>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Style w:val="17"/>
          <w:rFonts w:ascii="Times New Roman" w:eastAsia="方正楷体_GBK" w:hAnsi="Times New Roman" w:hint="eastAsia"/>
          <w:b w:val="0"/>
          <w:color w:val="000000"/>
          <w:sz w:val="32"/>
          <w:szCs w:val="32"/>
          <w:shd w:val="clear" w:color="auto" w:fill="FFFFFF"/>
        </w:rPr>
        <w:t>2019</w:t>
      </w:r>
      <w:r>
        <w:rPr>
          <w:rStyle w:val="17"/>
          <w:rFonts w:ascii="方正楷体_GBK" w:eastAsia="方正楷体_GBK" w:hAnsi="方正楷体_GBK" w:cs="方正楷体_GBK" w:hint="eastAsia"/>
          <w:b w:val="0"/>
          <w:color w:val="000000"/>
          <w:sz w:val="32"/>
          <w:szCs w:val="32"/>
          <w:shd w:val="clear" w:color="auto" w:fill="FFFFFF"/>
        </w:rPr>
        <w:t>年度本单位无重点绩效评价结果。</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六、专业名词解释</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w:t>
      </w:r>
      <w:r>
        <w:rPr>
          <w:rFonts w:ascii="Times New Roman" w:eastAsia="方正仿宋_GBK" w:hAnsi="Times New Roman" w:cs="Times New Roman"/>
          <w:sz w:val="32"/>
          <w:szCs w:val="32"/>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（五）用事业基金弥补收支差额</w:t>
      </w:r>
      <w:r>
        <w:rPr>
          <w:rFonts w:ascii="Times New Roman" w:eastAsia="方正仿宋_GBK" w:hAnsi="Times New Roman" w:cs="Times New Roman"/>
          <w:sz w:val="32"/>
          <w:szCs w:val="32"/>
        </w:rPr>
        <w:t>：指事业单位在当年的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（六）年初结转和结余</w:t>
      </w:r>
      <w:r>
        <w:rPr>
          <w:rFonts w:ascii="Times New Roman" w:eastAsia="方正仿宋_GBK" w:hAnsi="Times New Roman" w:cs="Times New Roman"/>
          <w:sz w:val="32"/>
          <w:szCs w:val="32"/>
        </w:rPr>
        <w:t>：指单位上年结转本年使用的基本支出结转、项目支出结转和结余、经营结余。</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（七）结余分配</w:t>
      </w:r>
      <w:r>
        <w:rPr>
          <w:rFonts w:ascii="Times New Roman" w:eastAsia="方正仿宋_GBK" w:hAnsi="Times New Roman" w:cs="Times New Roman"/>
          <w:sz w:val="32"/>
          <w:szCs w:val="32"/>
        </w:rPr>
        <w:t>：指单位按照国家有关规定，缴纳所得税、提取专用基金、转入事业基金等当年结余的分配情况。</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lastRenderedPageBreak/>
        <w:t>（十）项目支出</w:t>
      </w:r>
      <w:r>
        <w:rPr>
          <w:rFonts w:ascii="Times New Roman" w:eastAsia="方正仿宋_GBK" w:hAnsi="Times New Roman" w:cs="Times New Roman"/>
          <w:sz w:val="32"/>
          <w:szCs w:val="32"/>
        </w:rPr>
        <w:t>：指在基本支出之外为完成特定行政任务和事业发展目标所发生的支出。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（十二）</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三公</w:t>
      </w:r>
      <w:r>
        <w:rPr>
          <w:rStyle w:val="a4"/>
          <w:rFonts w:ascii="Times New Roman" w:eastAsia="方正仿宋_GBK" w:hAnsi="Times New Roman" w:cs="Times New Roman"/>
          <w:sz w:val="32"/>
          <w:szCs w:val="32"/>
        </w:rPr>
        <w:t>”</w:t>
      </w:r>
      <w:r>
        <w:rPr>
          <w:rStyle w:val="a4"/>
          <w:rFonts w:ascii="Times New Roman" w:eastAsia="方正仿宋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（十四）工资福利支出（支出经济分类科目类级）</w:t>
      </w:r>
      <w:r>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lastRenderedPageBreak/>
        <w:t>（十五）商品和服务支出（支出经济分类科目类级）</w:t>
      </w:r>
      <w:r>
        <w:rPr>
          <w:rFonts w:ascii="Times New Roman" w:eastAsia="方正仿宋_GBK" w:hAnsi="Times New Roman" w:cs="Times New Roman"/>
          <w:sz w:val="32"/>
          <w:szCs w:val="32"/>
        </w:rPr>
        <w:t>：反映单位购买商品和服务的支出（不包括用于购置固定资产的支出、战略性和应急储备支出）。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（十七）其他资本性支出（支出经济分类科目类级）</w:t>
      </w:r>
      <w:r>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D854AB" w:rsidRDefault="0001493C">
      <w:pPr>
        <w:pStyle w:val="a3"/>
        <w:shd w:val="clear" w:color="auto" w:fill="FFFFFF"/>
        <w:snapToGrid w:val="0"/>
        <w:spacing w:line="560" w:lineRule="exact"/>
        <w:ind w:firstLineChars="200" w:firstLine="643"/>
        <w:rPr>
          <w:rFonts w:ascii="Times New Roman" w:eastAsia="方正仿宋_GBK" w:hAnsi="Times New Roman" w:cs="Times New Roman"/>
          <w:sz w:val="32"/>
          <w:szCs w:val="32"/>
        </w:rPr>
      </w:pPr>
      <w:r>
        <w:rPr>
          <w:rStyle w:val="a4"/>
          <w:rFonts w:ascii="Times New Roman" w:eastAsia="方正仿宋_GBK" w:hAnsi="Times New Roman" w:cs="Times New Roman"/>
          <w:sz w:val="32"/>
          <w:szCs w:val="32"/>
        </w:rPr>
        <w:t>七、决算公开联系方式及信息反馈渠道</w:t>
      </w:r>
    </w:p>
    <w:p w:rsidR="00D854AB" w:rsidRDefault="0001493C">
      <w:pPr>
        <w:pStyle w:val="a3"/>
        <w:shd w:val="clear" w:color="auto" w:fill="FFFFFF"/>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023-59222332</w:t>
      </w:r>
      <w:r>
        <w:rPr>
          <w:rFonts w:ascii="Times New Roman" w:eastAsia="方正仿宋_GBK" w:hAnsi="Times New Roman" w:cs="Times New Roman"/>
          <w:sz w:val="32"/>
          <w:szCs w:val="32"/>
        </w:rPr>
        <w:t>。</w:t>
      </w:r>
    </w:p>
    <w:p w:rsidR="00D854AB" w:rsidRDefault="00D854AB">
      <w:pPr>
        <w:spacing w:line="560" w:lineRule="exact"/>
        <w:ind w:firstLineChars="200" w:firstLine="640"/>
        <w:rPr>
          <w:szCs w:val="32"/>
        </w:rPr>
      </w:pPr>
    </w:p>
    <w:sectPr w:rsidR="00D854AB" w:rsidSect="00D854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BA" w:rsidRDefault="00CA55BA" w:rsidP="006D608B">
      <w:r>
        <w:separator/>
      </w:r>
    </w:p>
  </w:endnote>
  <w:endnote w:type="continuationSeparator" w:id="1">
    <w:p w:rsidR="00CA55BA" w:rsidRDefault="00CA55BA" w:rsidP="006D6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DengXian Light">
    <w:altName w:val="Segoe Print"/>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BA" w:rsidRDefault="00CA55BA" w:rsidP="006D608B">
      <w:r>
        <w:separator/>
      </w:r>
    </w:p>
  </w:footnote>
  <w:footnote w:type="continuationSeparator" w:id="1">
    <w:p w:rsidR="00CA55BA" w:rsidRDefault="00CA55BA" w:rsidP="006D6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54AB"/>
    <w:rsid w:val="0001493C"/>
    <w:rsid w:val="006D608B"/>
    <w:rsid w:val="007651CE"/>
    <w:rsid w:val="00CA55BA"/>
    <w:rsid w:val="00CB09C0"/>
    <w:rsid w:val="00D854AB"/>
    <w:rsid w:val="0CD142A9"/>
    <w:rsid w:val="0D1325F5"/>
    <w:rsid w:val="1133155A"/>
    <w:rsid w:val="2684672B"/>
    <w:rsid w:val="40A84DAD"/>
    <w:rsid w:val="4CD800FC"/>
    <w:rsid w:val="5DFF1174"/>
    <w:rsid w:val="6D2A7663"/>
    <w:rsid w:val="7ECD001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AB"/>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854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54AB"/>
    <w:rPr>
      <w:b/>
      <w:bCs/>
    </w:rPr>
  </w:style>
  <w:style w:type="paragraph" w:customStyle="1" w:styleId="Char">
    <w:name w:val="普通(网站) Char"/>
    <w:basedOn w:val="msonormal0"/>
    <w:rsid w:val="00D854AB"/>
  </w:style>
  <w:style w:type="paragraph" w:customStyle="1" w:styleId="msonormal0">
    <w:name w:val="msonormal"/>
    <w:basedOn w:val="a"/>
    <w:qFormat/>
    <w:rsid w:val="00D854AB"/>
    <w:pPr>
      <w:widowControl/>
      <w:spacing w:beforeAutospacing="1" w:afterAutospacing="1"/>
      <w:jc w:val="left"/>
    </w:pPr>
    <w:rPr>
      <w:rFonts w:ascii="宋体" w:eastAsia="宋体" w:hAnsi="宋体" w:hint="eastAsia"/>
      <w:kern w:val="0"/>
      <w:sz w:val="24"/>
      <w:szCs w:val="24"/>
    </w:rPr>
  </w:style>
  <w:style w:type="character" w:customStyle="1" w:styleId="17">
    <w:name w:val="17"/>
    <w:basedOn w:val="a0"/>
    <w:qFormat/>
    <w:rsid w:val="00D854AB"/>
    <w:rPr>
      <w:rFonts w:ascii="DengXian Light" w:eastAsia="DengXian Light" w:hAnsi="DengXian Light" w:cs="Times New Roman" w:hint="default"/>
      <w:b/>
      <w:sz w:val="28"/>
      <w:szCs w:val="28"/>
    </w:rPr>
  </w:style>
  <w:style w:type="paragraph" w:styleId="a5">
    <w:name w:val="header"/>
    <w:basedOn w:val="a"/>
    <w:link w:val="Char0"/>
    <w:semiHidden/>
    <w:unhideWhenUsed/>
    <w:rsid w:val="006D60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rsid w:val="006D608B"/>
    <w:rPr>
      <w:rFonts w:eastAsia="方正仿宋_GBK"/>
      <w:kern w:val="2"/>
      <w:sz w:val="18"/>
      <w:szCs w:val="18"/>
    </w:rPr>
  </w:style>
  <w:style w:type="paragraph" w:styleId="a6">
    <w:name w:val="footer"/>
    <w:basedOn w:val="a"/>
    <w:link w:val="Char1"/>
    <w:semiHidden/>
    <w:unhideWhenUsed/>
    <w:rsid w:val="006D608B"/>
    <w:pPr>
      <w:tabs>
        <w:tab w:val="center" w:pos="4153"/>
        <w:tab w:val="right" w:pos="8306"/>
      </w:tabs>
      <w:snapToGrid w:val="0"/>
      <w:jc w:val="left"/>
    </w:pPr>
    <w:rPr>
      <w:sz w:val="18"/>
      <w:szCs w:val="18"/>
    </w:rPr>
  </w:style>
  <w:style w:type="character" w:customStyle="1" w:styleId="Char1">
    <w:name w:val="页脚 Char"/>
    <w:basedOn w:val="a0"/>
    <w:link w:val="a6"/>
    <w:semiHidden/>
    <w:rsid w:val="006D608B"/>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1066</Words>
  <Characters>6081</Characters>
  <Application>Microsoft Office Word</Application>
  <DocSecurity>0</DocSecurity>
  <Lines>50</Lines>
  <Paragraphs>14</Paragraphs>
  <ScaleCrop>false</ScaleCrop>
  <Company>微软中国</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重庆市中国共产党委员会城口县人民政府信访办公室</dc:title>
  <dc:creator>admi</dc:creator>
  <cp:lastModifiedBy>向莹莹</cp:lastModifiedBy>
  <cp:revision>3</cp:revision>
  <dcterms:created xsi:type="dcterms:W3CDTF">2020-08-14T04:57:00Z</dcterms:created>
  <dcterms:modified xsi:type="dcterms:W3CDTF">2020-08-19T00:53:00Z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