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pPr>
    </w:p>
    <w:p>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左岚乡人民政府</w:t>
      </w:r>
    </w:p>
    <w:p>
      <w:pPr>
        <w:widowControl/>
        <w:spacing w:line="600" w:lineRule="exact"/>
        <w:jc w:val="center"/>
        <w:outlineLvl w:val="0"/>
        <w:rPr>
          <w:rFonts w:eastAsia="方正小标宋_GBK"/>
          <w:sz w:val="44"/>
          <w:szCs w:val="44"/>
        </w:rPr>
      </w:pPr>
      <w:r>
        <w:rPr>
          <w:rFonts w:eastAsia="方正小标宋_GBK"/>
          <w:sz w:val="44"/>
          <w:szCs w:val="44"/>
        </w:rPr>
        <w:t>关于印发《</w:t>
      </w:r>
      <w:r>
        <w:rPr>
          <w:rFonts w:hint="eastAsia" w:eastAsia="方正小标宋_GBK"/>
          <w:sz w:val="44"/>
          <w:szCs w:val="44"/>
        </w:rPr>
        <w:t>左岚乡安全生产大排查、大整治、大执法行动方案</w:t>
      </w:r>
      <w:r>
        <w:rPr>
          <w:rFonts w:eastAsia="方正小标宋_GBK"/>
          <w:sz w:val="44"/>
          <w:szCs w:val="44"/>
        </w:rPr>
        <w:t>》的通知</w:t>
      </w:r>
    </w:p>
    <w:p>
      <w:pPr>
        <w:spacing w:line="600" w:lineRule="exact"/>
        <w:jc w:val="center"/>
        <w:rPr>
          <w:rFonts w:ascii="方正小标宋_GBK" w:hAnsi="方正小标宋_GBK" w:eastAsia="方正小标宋_GBK" w:cs="方正小标宋_GBK"/>
          <w:bCs/>
          <w:sz w:val="44"/>
          <w:szCs w:val="44"/>
        </w:rPr>
      </w:pPr>
    </w:p>
    <w:p>
      <w:pPr>
        <w:widowControl/>
        <w:spacing w:line="540" w:lineRule="exact"/>
        <w:rPr>
          <w:color w:val="000000"/>
          <w:kern w:val="0"/>
          <w:szCs w:val="32"/>
        </w:rPr>
      </w:pPr>
      <w:r>
        <w:rPr>
          <w:rFonts w:hint="eastAsia"/>
          <w:color w:val="000000"/>
          <w:kern w:val="0"/>
          <w:szCs w:val="32"/>
        </w:rPr>
        <w:t xml:space="preserve">各村委会、乡属各单位： </w:t>
      </w:r>
    </w:p>
    <w:p>
      <w:pPr>
        <w:widowControl/>
        <w:spacing w:line="540" w:lineRule="exact"/>
        <w:ind w:firstLine="640" w:firstLineChars="200"/>
        <w:rPr>
          <w:rFonts w:hint="eastAsia"/>
          <w:color w:val="000000"/>
          <w:kern w:val="0"/>
          <w:szCs w:val="32"/>
        </w:rPr>
      </w:pPr>
      <w:r>
        <w:rPr>
          <w:rFonts w:hint="eastAsia" w:hAnsi="方正仿宋_GBK"/>
          <w:color w:val="000000"/>
          <w:kern w:val="0"/>
          <w:szCs w:val="32"/>
        </w:rPr>
        <w:t>为认真</w:t>
      </w:r>
      <w:r>
        <w:rPr>
          <w:rFonts w:hAnsi="方正仿宋_GBK"/>
          <w:color w:val="000000"/>
          <w:kern w:val="0"/>
          <w:szCs w:val="32"/>
        </w:rPr>
        <w:t>贯彻</w:t>
      </w:r>
      <w:r>
        <w:rPr>
          <w:rFonts w:hint="eastAsia" w:hAnsi="方正仿宋_GBK"/>
          <w:color w:val="000000"/>
          <w:kern w:val="0"/>
          <w:szCs w:val="32"/>
        </w:rPr>
        <w:t>落实</w:t>
      </w:r>
      <w:r>
        <w:rPr>
          <w:rFonts w:hAnsi="方正仿宋_GBK"/>
          <w:color w:val="000000"/>
          <w:kern w:val="0"/>
          <w:szCs w:val="32"/>
        </w:rPr>
        <w:t>习近平总书记关于安全生产、防灾减灾救灾系列重</w:t>
      </w:r>
      <w:r>
        <w:rPr>
          <w:rFonts w:hint="eastAsia" w:hAnsi="方正仿宋_GBK"/>
          <w:color w:val="000000"/>
          <w:kern w:val="0"/>
          <w:szCs w:val="32"/>
        </w:rPr>
        <w:t>要指示批示精神，</w:t>
      </w:r>
      <w:r>
        <w:rPr>
          <w:rFonts w:hint="eastAsia"/>
          <w:color w:val="000000"/>
          <w:kern w:val="0"/>
          <w:szCs w:val="32"/>
        </w:rPr>
        <w:t>根据《城口县安全生产委员会城口县减灾委员会关于在全县开展安全生产与自然灾害防治专项整治行动的通知》城安委发〔2021〕29号文件要求，结合我乡实际，制定本工作方案，请结合实际认真组织实施。</w:t>
      </w:r>
    </w:p>
    <w:p>
      <w:pPr>
        <w:widowControl/>
        <w:spacing w:line="540" w:lineRule="exact"/>
        <w:ind w:firstLine="640" w:firstLineChars="200"/>
        <w:rPr>
          <w:rFonts w:hint="eastAsia" w:eastAsia="方正仿宋_GBK"/>
          <w:color w:val="000000"/>
          <w:kern w:val="0"/>
          <w:szCs w:val="32"/>
          <w:lang w:eastAsia="zh-CN"/>
        </w:rPr>
      </w:pPr>
      <w:r>
        <w:rPr>
          <w:rFonts w:hint="eastAsia"/>
          <w:color w:val="000000"/>
          <w:kern w:val="0"/>
          <w:szCs w:val="32"/>
          <w:lang w:eastAsia="zh-CN"/>
        </w:rPr>
        <w:t>（此件公开发布</w:t>
      </w:r>
      <w:bookmarkStart w:id="0" w:name="_GoBack"/>
      <w:bookmarkEnd w:id="0"/>
      <w:r>
        <w:rPr>
          <w:rFonts w:hint="eastAsia"/>
          <w:color w:val="000000"/>
          <w:kern w:val="0"/>
          <w:szCs w:val="32"/>
          <w:lang w:eastAsia="zh-CN"/>
        </w:rPr>
        <w:t>）</w:t>
      </w:r>
    </w:p>
    <w:p>
      <w:pPr>
        <w:spacing w:line="540" w:lineRule="exact"/>
        <w:rPr>
          <w:szCs w:val="32"/>
        </w:rPr>
      </w:pPr>
    </w:p>
    <w:p>
      <w:pPr>
        <w:spacing w:line="540" w:lineRule="exact"/>
        <w:rPr>
          <w:szCs w:val="32"/>
        </w:rPr>
      </w:pPr>
    </w:p>
    <w:p>
      <w:pPr>
        <w:spacing w:line="540" w:lineRule="exact"/>
        <w:ind w:firstLine="5760" w:firstLineChars="1800"/>
        <w:rPr>
          <w:szCs w:val="32"/>
        </w:rPr>
      </w:pPr>
      <w:r>
        <w:rPr>
          <w:szCs w:val="32"/>
        </w:rPr>
        <w:t>左岚乡人民政府</w:t>
      </w:r>
    </w:p>
    <w:p>
      <w:pPr>
        <w:spacing w:line="540" w:lineRule="exact"/>
        <w:ind w:firstLine="5920" w:firstLineChars="1850"/>
        <w:rPr>
          <w:szCs w:val="32"/>
        </w:rPr>
      </w:pPr>
      <w:r>
        <w:rPr>
          <w:szCs w:val="32"/>
        </w:rPr>
        <w:t>20</w:t>
      </w:r>
      <w:r>
        <w:rPr>
          <w:rFonts w:hint="eastAsia"/>
          <w:szCs w:val="32"/>
        </w:rPr>
        <w:t>21</w:t>
      </w:r>
      <w:r>
        <w:rPr>
          <w:szCs w:val="32"/>
        </w:rPr>
        <w:t>年</w:t>
      </w:r>
      <w:r>
        <w:rPr>
          <w:rFonts w:hint="eastAsia"/>
          <w:szCs w:val="32"/>
        </w:rPr>
        <w:t>10</w:t>
      </w:r>
      <w:r>
        <w:rPr>
          <w:szCs w:val="32"/>
        </w:rPr>
        <w:t>月</w:t>
      </w:r>
      <w:r>
        <w:rPr>
          <w:rFonts w:hint="eastAsia"/>
          <w:szCs w:val="32"/>
        </w:rPr>
        <w:t>28</w:t>
      </w:r>
      <w:r>
        <w:rPr>
          <w:szCs w:val="32"/>
        </w:rPr>
        <w:t>日</w:t>
      </w:r>
    </w:p>
    <w:p>
      <w:pPr>
        <w:rPr>
          <w:szCs w:val="32"/>
        </w:rPr>
      </w:pPr>
      <w:r>
        <w:rPr>
          <w:szCs w:val="32"/>
        </w:rPr>
        <w:br w:type="page"/>
      </w:r>
    </w:p>
    <w:p>
      <w:pPr>
        <w:widowControl/>
        <w:spacing w:before="100" w:beforeAutospacing="1" w:after="100" w:afterAutospacing="1" w:line="600" w:lineRule="exact"/>
        <w:jc w:val="center"/>
        <w:outlineLvl w:val="0"/>
        <w:rPr>
          <w:rFonts w:eastAsia="方正小标宋_GBK"/>
          <w:bCs/>
          <w:kern w:val="36"/>
          <w:sz w:val="44"/>
          <w:szCs w:val="44"/>
        </w:rPr>
      </w:pPr>
      <w:r>
        <w:rPr>
          <w:rFonts w:hint="eastAsia" w:ascii="方正小标宋_GBK" w:hAnsi="宋体" w:eastAsia="方正小标宋_GBK" w:cs="宋体"/>
          <w:bCs/>
          <w:kern w:val="36"/>
          <w:sz w:val="44"/>
          <w:szCs w:val="44"/>
        </w:rPr>
        <w:t xml:space="preserve">左岚乡安全生产大排查、大整治、大执法     </w:t>
      </w:r>
      <w:r>
        <w:rPr>
          <w:rFonts w:hint="eastAsia" w:eastAsia="方正小标宋_GBK"/>
          <w:bCs/>
          <w:kern w:val="36"/>
          <w:sz w:val="44"/>
          <w:szCs w:val="44"/>
        </w:rPr>
        <w:t>行动方案</w:t>
      </w:r>
    </w:p>
    <w:p>
      <w:pPr>
        <w:widowControl/>
        <w:spacing w:line="560" w:lineRule="exact"/>
        <w:ind w:left="640"/>
        <w:rPr>
          <w:rFonts w:eastAsia="方正黑体_GBK"/>
          <w:bCs/>
          <w:color w:val="000000"/>
          <w:kern w:val="0"/>
          <w:szCs w:val="32"/>
        </w:rPr>
      </w:pPr>
    </w:p>
    <w:p>
      <w:pPr>
        <w:widowControl/>
        <w:spacing w:line="560" w:lineRule="exact"/>
        <w:ind w:left="640"/>
        <w:rPr>
          <w:rFonts w:eastAsia="方正黑体_GBK"/>
          <w:bCs/>
          <w:color w:val="000000"/>
          <w:kern w:val="0"/>
          <w:szCs w:val="32"/>
        </w:rPr>
      </w:pPr>
      <w:r>
        <w:rPr>
          <w:rFonts w:hint="eastAsia" w:eastAsia="方正黑体_GBK"/>
          <w:bCs/>
          <w:color w:val="000000"/>
          <w:kern w:val="0"/>
          <w:szCs w:val="32"/>
        </w:rPr>
        <w:t xml:space="preserve">一、总体要求 </w:t>
      </w:r>
    </w:p>
    <w:p>
      <w:pPr>
        <w:widowControl/>
        <w:spacing w:line="560" w:lineRule="exact"/>
        <w:ind w:firstLine="640" w:firstLineChars="200"/>
        <w:rPr>
          <w:color w:val="000000"/>
          <w:kern w:val="0"/>
          <w:szCs w:val="32"/>
        </w:rPr>
      </w:pPr>
      <w:r>
        <w:rPr>
          <w:rFonts w:hint="eastAsia"/>
          <w:color w:val="000000"/>
          <w:kern w:val="0"/>
          <w:szCs w:val="32"/>
        </w:rPr>
        <w:t xml:space="preserve">深入贯彻习近平总书记关于安全生产、防灾减灾救灾系列重 </w:t>
      </w:r>
    </w:p>
    <w:p>
      <w:pPr>
        <w:widowControl/>
        <w:spacing w:line="560" w:lineRule="exact"/>
        <w:rPr>
          <w:color w:val="000000"/>
          <w:kern w:val="0"/>
          <w:sz w:val="31"/>
          <w:szCs w:val="31"/>
        </w:rPr>
      </w:pPr>
      <w:r>
        <w:rPr>
          <w:rFonts w:hint="eastAsia"/>
          <w:color w:val="000000"/>
          <w:kern w:val="0"/>
          <w:szCs w:val="32"/>
        </w:rPr>
        <w:t>要指示批示精神，牢固树立安全发展理念，深刻汲取我县近期发生的多起事故教训，坚决落实安全生产专项整治三年行动攻坚战整体部署，坚持“控大事故、防大灾害”目标，严格管控各类风险，严肃整治突出隐患，严厉打击违法违规行为，找准薄弱环节，及时补齐短板，切实维护人民群众生命财产安全，为全乡经济社会发展营造良好的安全稳定环境。</w:t>
      </w:r>
    </w:p>
    <w:p>
      <w:pPr>
        <w:widowControl/>
        <w:spacing w:line="560" w:lineRule="exact"/>
        <w:ind w:left="640"/>
        <w:rPr>
          <w:rFonts w:eastAsia="方正黑体_GBK"/>
          <w:bCs/>
          <w:color w:val="000000"/>
          <w:kern w:val="0"/>
          <w:szCs w:val="32"/>
        </w:rPr>
      </w:pPr>
      <w:r>
        <w:rPr>
          <w:rFonts w:hint="eastAsia" w:eastAsia="方正黑体_GBK"/>
          <w:bCs/>
          <w:color w:val="000000"/>
          <w:kern w:val="0"/>
          <w:szCs w:val="32"/>
        </w:rPr>
        <w:t>二、专项行动内容</w:t>
      </w:r>
    </w:p>
    <w:p>
      <w:pPr>
        <w:widowControl/>
        <w:spacing w:line="560" w:lineRule="exact"/>
        <w:ind w:firstLine="640" w:firstLineChars="200"/>
        <w:rPr>
          <w:rFonts w:eastAsia="方正楷体_GBK"/>
          <w:color w:val="000000"/>
          <w:kern w:val="0"/>
          <w:szCs w:val="32"/>
        </w:rPr>
      </w:pPr>
      <w:r>
        <w:rPr>
          <w:rFonts w:hint="eastAsia" w:eastAsia="方正楷体_GBK"/>
          <w:color w:val="000000"/>
          <w:kern w:val="0"/>
          <w:szCs w:val="32"/>
        </w:rPr>
        <w:t>（一）结合当前安全生产重点工作任务，制定本辖区大排查、大整治、大执法工作方案，突出重点对象和薄弱环节，认真分析研判问题，制定措施手段，确保方案具有针对性和操作性。</w:t>
      </w:r>
    </w:p>
    <w:p>
      <w:pPr>
        <w:widowControl/>
        <w:spacing w:line="560" w:lineRule="exact"/>
        <w:ind w:firstLine="640" w:firstLineChars="200"/>
        <w:rPr>
          <w:color w:val="000000"/>
          <w:kern w:val="0"/>
          <w:szCs w:val="32"/>
        </w:rPr>
      </w:pPr>
      <w:r>
        <w:rPr>
          <w:rFonts w:hint="eastAsia" w:eastAsia="方正楷体_GBK"/>
          <w:color w:val="000000"/>
          <w:kern w:val="0"/>
          <w:szCs w:val="32"/>
        </w:rPr>
        <w:t>（二）召开动员部署会议，广泛发动、层层部署、落实责任，将行动部署到各村和各企业。</w:t>
      </w:r>
      <w:r>
        <w:rPr>
          <w:rFonts w:hint="eastAsia"/>
          <w:color w:val="000000"/>
          <w:kern w:val="0"/>
          <w:szCs w:val="32"/>
        </w:rPr>
        <w:t>认真梳理出本辖区重点监管对象，严格落实“六个必查”：对高危企业、重大危险源、近3年来发生事故的企业、非法违法行为突出的地方以及重点领域、重点时段、重要部位必须进行检查。按照“一企一组、一企一策、一企一结果”要求，落实到人头，实行“一对一”重点盯防。</w:t>
      </w:r>
    </w:p>
    <w:p>
      <w:pPr>
        <w:widowControl/>
        <w:spacing w:line="560" w:lineRule="exact"/>
        <w:ind w:firstLine="640" w:firstLineChars="200"/>
        <w:rPr>
          <w:rFonts w:eastAsia="方正楷体_GBK"/>
          <w:color w:val="000000"/>
          <w:kern w:val="0"/>
          <w:szCs w:val="32"/>
        </w:rPr>
      </w:pPr>
      <w:r>
        <w:rPr>
          <w:rFonts w:hint="eastAsia" w:eastAsia="方正楷体_GBK"/>
          <w:color w:val="000000"/>
          <w:kern w:val="0"/>
          <w:szCs w:val="32"/>
        </w:rPr>
        <w:t>（三）整合力量，开展联合执法，集中整治、依法整改消除一批重大隐患，停产整顿严重违规违法企业，关闭取缔非法违法生产经营单位。</w:t>
      </w:r>
    </w:p>
    <w:p>
      <w:pPr>
        <w:widowControl/>
        <w:spacing w:line="560" w:lineRule="exact"/>
        <w:ind w:firstLine="640" w:firstLineChars="200"/>
        <w:rPr>
          <w:rFonts w:eastAsia="方正楷体_GBK"/>
          <w:color w:val="000000"/>
          <w:kern w:val="0"/>
          <w:szCs w:val="32"/>
        </w:rPr>
      </w:pPr>
      <w:r>
        <w:rPr>
          <w:rFonts w:hint="eastAsia" w:eastAsia="方正楷体_GBK"/>
          <w:color w:val="000000"/>
          <w:kern w:val="0"/>
          <w:szCs w:val="32"/>
        </w:rPr>
        <w:t>（四）按照全覆盖要求，对本辖区所有领域、所有生产经营单位、作业场所，组织开展大排查、大整治、大执法行动，突出排查整治打击以下十二个重点行业领域的安全隐患和非法违法行为。</w:t>
      </w:r>
    </w:p>
    <w:p>
      <w:pPr>
        <w:widowControl/>
        <w:spacing w:line="560" w:lineRule="exact"/>
        <w:ind w:firstLine="640" w:firstLineChars="200"/>
        <w:rPr>
          <w:color w:val="000000"/>
          <w:kern w:val="0"/>
          <w:szCs w:val="32"/>
        </w:rPr>
      </w:pPr>
      <w:r>
        <w:rPr>
          <w:rFonts w:hint="eastAsia"/>
          <w:color w:val="000000"/>
          <w:kern w:val="0"/>
          <w:szCs w:val="32"/>
        </w:rPr>
        <w:t>1.道路交通：包括客运场站、客货运输车辆、面包车、摩托车、三轮车、农用车等安全管理。重点整治非法营运、不按规定驶入村级道路、摩托车无证，超载，不戴头盔等行为。</w:t>
      </w:r>
    </w:p>
    <w:p>
      <w:pPr>
        <w:widowControl/>
        <w:spacing w:line="560" w:lineRule="exact"/>
        <w:ind w:firstLine="640" w:firstLineChars="200"/>
        <w:rPr>
          <w:color w:val="000000"/>
          <w:kern w:val="0"/>
          <w:szCs w:val="32"/>
        </w:rPr>
      </w:pPr>
      <w:r>
        <w:rPr>
          <w:rFonts w:hint="eastAsia"/>
          <w:color w:val="000000"/>
          <w:kern w:val="0"/>
          <w:szCs w:val="32"/>
        </w:rPr>
        <w:t>2.建筑施工：所有建设施工项目，重点打击整治无资质施工、超资质范围承揽工程行为，整治不按设计方案施工、无相应资质证书从事建筑施工活动，“两防”措施落实不力，现场安全监管不到位等问题，同时抓好私人建房的安全监管。</w:t>
      </w:r>
    </w:p>
    <w:p>
      <w:pPr>
        <w:widowControl/>
        <w:spacing w:line="560" w:lineRule="exact"/>
        <w:ind w:firstLine="640" w:firstLineChars="200"/>
        <w:rPr>
          <w:color w:val="000000"/>
          <w:kern w:val="0"/>
          <w:szCs w:val="32"/>
        </w:rPr>
      </w:pPr>
      <w:r>
        <w:rPr>
          <w:rFonts w:hint="eastAsia"/>
          <w:color w:val="000000"/>
          <w:kern w:val="0"/>
          <w:szCs w:val="32"/>
        </w:rPr>
        <w:t>3.烟花爆竹和危险化学品：所有加油站、液化气零售点、烟花爆竹仓库及所有零售点等。重点打击整治危险化学品非法违法储存销售，非法储存销售烟花爆竹等行为。</w:t>
      </w:r>
    </w:p>
    <w:p>
      <w:pPr>
        <w:widowControl/>
        <w:spacing w:line="560" w:lineRule="exact"/>
        <w:ind w:firstLine="640" w:firstLineChars="200"/>
        <w:rPr>
          <w:color w:val="000000"/>
          <w:kern w:val="0"/>
          <w:szCs w:val="32"/>
        </w:rPr>
      </w:pPr>
      <w:r>
        <w:rPr>
          <w:rFonts w:hint="eastAsia"/>
          <w:color w:val="000000"/>
          <w:kern w:val="0"/>
          <w:szCs w:val="32"/>
        </w:rPr>
        <w:t>4.消防：所有人员密集场所，重点是“三合一”场所、超市、商场、娱乐场所、宾馆、敬老院、中小学校、幼儿园等单位。重点打击整治消防设计未经审核、消防设施未经验收投入使用行为，整治违规住人、违规使用聚苯乙烯和聚氨酯泡沫塑料作装修装饰材料、违规使用防火等级不达标的彩钢板搭建活动板房、消防设施缺失损坏、安全出口疏散通道堵塞锁闭，不按规定配备消防设施，没有相应的消防安全制度，未组织开展消防安全知识培训等问题。</w:t>
      </w:r>
    </w:p>
    <w:p>
      <w:pPr>
        <w:widowControl/>
        <w:spacing w:line="560" w:lineRule="exact"/>
        <w:ind w:firstLine="640" w:firstLineChars="200"/>
        <w:rPr>
          <w:color w:val="000000"/>
          <w:kern w:val="0"/>
          <w:szCs w:val="32"/>
        </w:rPr>
      </w:pPr>
      <w:r>
        <w:rPr>
          <w:rFonts w:hint="eastAsia"/>
          <w:color w:val="000000"/>
          <w:kern w:val="0"/>
          <w:szCs w:val="32"/>
        </w:rPr>
        <w:t>5.工贸行业：重点整治“三违”行为，劳动防护用品不按规定发放使用，职业卫生防范措施不落实，不按规程进行受限空间作业，违规使用可燃性彩色粉尘行为，整治作业场所违反《严防企业粉尘爆炸五条规定》（国家安全监管总局令第68号）存在除尘系统未采用泄爆措施、粉尘清理不及时等问题，是否严格落实工贸行业的相关安全规定。</w:t>
      </w:r>
    </w:p>
    <w:p>
      <w:pPr>
        <w:widowControl/>
        <w:spacing w:line="560" w:lineRule="exact"/>
        <w:ind w:firstLine="640" w:firstLineChars="200"/>
        <w:rPr>
          <w:color w:val="000000"/>
          <w:kern w:val="0"/>
          <w:szCs w:val="32"/>
        </w:rPr>
      </w:pPr>
      <w:r>
        <w:rPr>
          <w:rFonts w:hint="eastAsia"/>
          <w:color w:val="000000"/>
          <w:kern w:val="0"/>
          <w:szCs w:val="32"/>
        </w:rPr>
        <w:t>6.汛期及地质灾害防治：重点突出汛期安全措施制定落实以及地质灾害点监测监控。重点打击整治地灾点未落实“一对一”专人监控措施，未设置明显安全警示标识等问题，加强涉河违法整治。</w:t>
      </w:r>
    </w:p>
    <w:p>
      <w:pPr>
        <w:widowControl/>
        <w:spacing w:line="560" w:lineRule="exact"/>
        <w:ind w:firstLine="640" w:firstLineChars="200"/>
        <w:rPr>
          <w:color w:val="000000"/>
          <w:kern w:val="0"/>
          <w:szCs w:val="32"/>
        </w:rPr>
      </w:pPr>
      <w:r>
        <w:rPr>
          <w:rFonts w:hint="eastAsia"/>
          <w:color w:val="000000"/>
          <w:kern w:val="0"/>
          <w:szCs w:val="32"/>
        </w:rPr>
        <w:t>7.校园安全：重点针对校园建设工程、校园消防安全隐患，食品卫生、学生应急疏散演练、安全知识宣传教育、夏季防溺水等。</w:t>
      </w:r>
    </w:p>
    <w:p>
      <w:pPr>
        <w:widowControl/>
        <w:spacing w:line="560" w:lineRule="exact"/>
        <w:ind w:firstLine="640" w:firstLineChars="200"/>
        <w:rPr>
          <w:color w:val="000000"/>
          <w:kern w:val="0"/>
          <w:szCs w:val="32"/>
        </w:rPr>
      </w:pPr>
      <w:r>
        <w:rPr>
          <w:rFonts w:hint="eastAsia"/>
          <w:color w:val="000000"/>
          <w:kern w:val="0"/>
          <w:szCs w:val="32"/>
        </w:rPr>
        <w:t>8.电力：重点是电力设施设备建设、维护和使用，重点整治违反架空电力线路保护规定和电力线路下违规建房等行为。</w:t>
      </w:r>
    </w:p>
    <w:p>
      <w:pPr>
        <w:widowControl/>
        <w:spacing w:line="560" w:lineRule="exact"/>
        <w:ind w:firstLine="640" w:firstLineChars="200"/>
        <w:rPr>
          <w:color w:val="000000"/>
          <w:kern w:val="0"/>
          <w:szCs w:val="32"/>
        </w:rPr>
      </w:pPr>
      <w:r>
        <w:rPr>
          <w:rFonts w:hint="eastAsia"/>
          <w:color w:val="000000"/>
          <w:kern w:val="0"/>
          <w:szCs w:val="32"/>
        </w:rPr>
        <w:t>9.食品药品：重点整治餐饮行业是否落实餐饮食品的卫生要求，打击销售假冒伪劣药品、过期食品等行为。</w:t>
      </w:r>
    </w:p>
    <w:p>
      <w:pPr>
        <w:widowControl/>
        <w:spacing w:line="560" w:lineRule="exact"/>
        <w:ind w:firstLine="640" w:firstLineChars="200"/>
        <w:rPr>
          <w:color w:val="000000"/>
          <w:kern w:val="0"/>
          <w:szCs w:val="32"/>
        </w:rPr>
      </w:pPr>
      <w:r>
        <w:rPr>
          <w:rFonts w:hint="eastAsia"/>
          <w:color w:val="000000"/>
          <w:kern w:val="0"/>
          <w:szCs w:val="32"/>
        </w:rPr>
        <w:t>10.森林火灾：重点打击整治森林防火区内野外用火，林区违规建房等行为。</w:t>
      </w:r>
    </w:p>
    <w:p>
      <w:pPr>
        <w:widowControl/>
        <w:spacing w:line="560" w:lineRule="exact"/>
        <w:ind w:firstLine="640" w:firstLineChars="200"/>
        <w:rPr>
          <w:color w:val="000000"/>
          <w:kern w:val="0"/>
          <w:szCs w:val="32"/>
        </w:rPr>
      </w:pPr>
      <w:r>
        <w:rPr>
          <w:rFonts w:hint="eastAsia"/>
          <w:color w:val="000000"/>
          <w:kern w:val="0"/>
          <w:szCs w:val="32"/>
        </w:rPr>
        <w:t>11.应急救援：按照“分级负责，属地管理”原则，全面检查应急救援方案准备情况和救援队伍应急拉动情况。</w:t>
      </w:r>
    </w:p>
    <w:p>
      <w:pPr>
        <w:widowControl/>
        <w:spacing w:line="560" w:lineRule="exact"/>
        <w:ind w:firstLine="640" w:firstLineChars="200"/>
        <w:rPr>
          <w:color w:val="000000"/>
          <w:kern w:val="0"/>
          <w:szCs w:val="32"/>
        </w:rPr>
      </w:pPr>
      <w:r>
        <w:rPr>
          <w:rFonts w:hint="eastAsia"/>
          <w:color w:val="000000"/>
          <w:kern w:val="0"/>
          <w:szCs w:val="32"/>
        </w:rPr>
        <w:t>12.特种设备：加强特种设备风险防控和隐患排查治理，确保特种设备安全稳定运行。</w:t>
      </w:r>
    </w:p>
    <w:p>
      <w:pPr>
        <w:widowControl/>
        <w:spacing w:line="560" w:lineRule="exact"/>
        <w:ind w:firstLine="640" w:firstLineChars="200"/>
        <w:rPr>
          <w:rFonts w:eastAsia="方正黑体_GBK"/>
          <w:color w:val="000000"/>
          <w:kern w:val="0"/>
          <w:szCs w:val="32"/>
        </w:rPr>
      </w:pPr>
      <w:r>
        <w:rPr>
          <w:rFonts w:hint="eastAsia" w:eastAsia="方正黑体_GBK"/>
          <w:color w:val="000000"/>
          <w:kern w:val="0"/>
          <w:szCs w:val="32"/>
        </w:rPr>
        <w:t>三、进度安排</w:t>
      </w:r>
    </w:p>
    <w:p>
      <w:pPr>
        <w:widowControl/>
        <w:spacing w:line="560" w:lineRule="exact"/>
        <w:ind w:firstLine="640" w:firstLineChars="200"/>
        <w:rPr>
          <w:rFonts w:eastAsia="方正楷体_GBK"/>
          <w:color w:val="000000"/>
          <w:kern w:val="0"/>
          <w:szCs w:val="32"/>
        </w:rPr>
      </w:pPr>
      <w:r>
        <w:rPr>
          <w:rFonts w:hint="eastAsia" w:eastAsia="方正楷体_GBK"/>
          <w:color w:val="000000"/>
          <w:kern w:val="0"/>
          <w:szCs w:val="32"/>
        </w:rPr>
        <w:t>（一）企业单位自查。</w:t>
      </w:r>
      <w:r>
        <w:rPr>
          <w:rFonts w:hint="eastAsia"/>
          <w:color w:val="000000"/>
          <w:kern w:val="0"/>
          <w:szCs w:val="32"/>
        </w:rPr>
        <w:t>各生产经营单位按照相关法律法规、规程规范和技术标准要求，认真检查事故易发重点场所、要害部位、关键环节，对隐患实行清单管理，建立台账，制订整改方案，一律按照“五落实”要求整改，并对本单位安全生产状况进行全面评估。隐患排查、整改方案和整改结果，及时报送行业主管部门。</w:t>
      </w:r>
    </w:p>
    <w:p>
      <w:pPr>
        <w:widowControl/>
        <w:spacing w:line="560" w:lineRule="exact"/>
        <w:ind w:firstLine="640" w:firstLineChars="200"/>
        <w:rPr>
          <w:rFonts w:eastAsia="宋体"/>
          <w:sz w:val="21"/>
          <w:szCs w:val="20"/>
        </w:rPr>
      </w:pPr>
      <w:r>
        <w:rPr>
          <w:rFonts w:hint="eastAsia" w:eastAsia="方正楷体_GBK"/>
          <w:color w:val="000000"/>
          <w:kern w:val="0"/>
          <w:szCs w:val="32"/>
        </w:rPr>
        <w:t>（二）全面排查。</w:t>
      </w:r>
      <w:r>
        <w:rPr>
          <w:rFonts w:hint="eastAsia"/>
          <w:color w:val="000000"/>
          <w:kern w:val="0"/>
          <w:szCs w:val="32"/>
        </w:rPr>
        <w:t>即日起到11月26日，由组长亲自带队，至少开展3次集中行动。</w:t>
      </w:r>
    </w:p>
    <w:p>
      <w:pPr>
        <w:widowControl/>
        <w:spacing w:line="560" w:lineRule="exact"/>
        <w:ind w:firstLine="960" w:firstLineChars="300"/>
        <w:rPr>
          <w:rFonts w:eastAsia="宋体"/>
          <w:szCs w:val="32"/>
        </w:rPr>
      </w:pPr>
      <w:r>
        <w:rPr>
          <w:rFonts w:hint="eastAsia" w:eastAsia="方正黑体_GBK"/>
          <w:color w:val="000000"/>
          <w:kern w:val="0"/>
          <w:szCs w:val="32"/>
        </w:rPr>
        <w:t xml:space="preserve">四、保障措施 </w:t>
      </w:r>
    </w:p>
    <w:p>
      <w:pPr>
        <w:widowControl/>
        <w:spacing w:line="560" w:lineRule="exact"/>
        <w:ind w:firstLine="640" w:firstLineChars="200"/>
        <w:rPr>
          <w:color w:val="000000"/>
          <w:kern w:val="0"/>
          <w:szCs w:val="32"/>
        </w:rPr>
      </w:pPr>
      <w:r>
        <w:rPr>
          <w:rFonts w:hint="eastAsia" w:eastAsia="方正楷体_GBK"/>
          <w:color w:val="000000"/>
          <w:kern w:val="0"/>
          <w:szCs w:val="32"/>
        </w:rPr>
        <w:t>（一）加强组织领导。</w:t>
      </w:r>
      <w:r>
        <w:rPr>
          <w:rFonts w:hint="eastAsia"/>
          <w:color w:val="000000"/>
          <w:kern w:val="0"/>
          <w:szCs w:val="32"/>
        </w:rPr>
        <w:t>乡党委政府成立左岚乡安全生产大排查、大整治、大执法行动工作领导小组，由乡长任组长，分管安全生产副乡长任副组长，各安全生产监督责任的站、所、办主要负责人为成员。领导小组下设办公室于乡应急办。由应急办负责牵头处理领导小组安排的具体事务。</w:t>
      </w:r>
    </w:p>
    <w:p>
      <w:pPr>
        <w:widowControl/>
        <w:spacing w:line="560" w:lineRule="exact"/>
        <w:ind w:firstLine="640" w:firstLineChars="200"/>
        <w:rPr>
          <w:color w:val="000000"/>
          <w:kern w:val="0"/>
          <w:szCs w:val="32"/>
        </w:rPr>
      </w:pPr>
      <w:r>
        <w:rPr>
          <w:rFonts w:hint="eastAsia" w:eastAsia="方正楷体_GBK"/>
          <w:color w:val="000000"/>
          <w:kern w:val="0"/>
          <w:szCs w:val="32"/>
        </w:rPr>
        <w:t>（二）强化责任落实。</w:t>
      </w:r>
      <w:r>
        <w:rPr>
          <w:rFonts w:hint="eastAsia"/>
          <w:color w:val="000000"/>
          <w:kern w:val="0"/>
          <w:szCs w:val="32"/>
        </w:rPr>
        <w:t>要严格执法检查，对非法违法行为和重大安全隐患一律“零容忍”，做到从严查处、打击到位，上限处罚。要加强协调联动，强化联合执法，形成齐抓共管合力。坚决反对视察式、参观式检查，坚决反对只查不罚、以教代罚、重责轻罚。乡主要领导要对本辖区大排查、大整治、大执法工作进行常态化督查、检查，坚持传导压力，促进工作落实。</w:t>
      </w:r>
    </w:p>
    <w:p>
      <w:pPr>
        <w:widowControl/>
        <w:spacing w:line="560" w:lineRule="exact"/>
        <w:ind w:firstLine="640" w:firstLineChars="200"/>
        <w:rPr>
          <w:color w:val="000000"/>
          <w:kern w:val="0"/>
          <w:szCs w:val="32"/>
        </w:rPr>
      </w:pPr>
      <w:r>
        <w:rPr>
          <w:rFonts w:hint="eastAsia" w:eastAsia="方正楷体_GBK"/>
          <w:color w:val="000000"/>
          <w:kern w:val="0"/>
          <w:szCs w:val="32"/>
        </w:rPr>
        <w:t>（三）加强宣传报道。</w:t>
      </w:r>
      <w:r>
        <w:rPr>
          <w:rFonts w:hint="eastAsia"/>
          <w:color w:val="000000"/>
          <w:kern w:val="0"/>
          <w:szCs w:val="32"/>
        </w:rPr>
        <w:t>要充分利用平时开展其他工作的条件，切实加强安全宣传教育力度，加大先进典型经验交流推广和反面典型案例曝光力度，加强示范引领和警示教育，发现安全隐患及时处理并报告。</w:t>
      </w:r>
    </w:p>
    <w:p>
      <w:pPr>
        <w:spacing w:line="560" w:lineRule="exact"/>
        <w:rPr>
          <w:rFonts w:ascii="方正小标宋_GBK" w:hAnsi="方正小标宋_GBK" w:eastAsia="方正小标宋_GBK" w:cs="方正小标宋_GBK"/>
          <w:bCs/>
          <w:sz w:val="44"/>
          <w:szCs w:val="44"/>
        </w:rPr>
      </w:pPr>
    </w:p>
    <w:p>
      <w:pPr>
        <w:spacing w:line="560" w:lineRule="exact"/>
        <w:jc w:val="center"/>
        <w:rPr>
          <w:rFonts w:ascii="方正小标宋_GBK" w:hAnsi="方正小标宋_GBK" w:eastAsia="方正小标宋_GBK" w:cs="方正小标宋_GBK"/>
          <w:bCs/>
          <w:sz w:val="44"/>
          <w:szCs w:val="44"/>
        </w:rPr>
      </w:pPr>
    </w:p>
    <w:p>
      <w:pPr>
        <w:spacing w:line="540" w:lineRule="exact"/>
        <w:rPr>
          <w:rFonts w:ascii="方正仿宋_GBK" w:hAnsi="仿宋_GB2312" w:cs="仿宋_GB2312"/>
          <w:szCs w:val="32"/>
        </w:rPr>
      </w:pPr>
    </w:p>
    <w:p>
      <w:pPr>
        <w:spacing w:line="540" w:lineRule="exact"/>
        <w:rPr>
          <w:rFonts w:ascii="方正仿宋_GBK" w:hAnsi="仿宋_GB2312" w:cs="仿宋_GB2312"/>
          <w:szCs w:val="32"/>
        </w:rPr>
      </w:pPr>
    </w:p>
    <w:p>
      <w:pPr>
        <w:spacing w:line="540" w:lineRule="exact"/>
        <w:rPr>
          <w:rFonts w:ascii="方正仿宋_GBK" w:hAnsi="仿宋_GB2312" w:cs="仿宋_GB2312"/>
          <w:szCs w:val="32"/>
        </w:rPr>
      </w:pPr>
    </w:p>
    <w:p>
      <w:pPr>
        <w:topLinePunct/>
        <w:spacing w:line="579" w:lineRule="exact"/>
        <w:jc w:val="center"/>
        <w:rPr>
          <w:rFonts w:eastAsia="方正小标宋_GBK"/>
          <w:color w:val="000000"/>
          <w:sz w:val="44"/>
        </w:rPr>
      </w:pPr>
    </w:p>
    <w:p>
      <w:pPr>
        <w:topLinePunct/>
        <w:spacing w:line="579" w:lineRule="exact"/>
        <w:jc w:val="center"/>
        <w:rPr>
          <w:rFonts w:eastAsia="方正小标宋_GBK"/>
          <w:color w:val="000000"/>
          <w:sz w:val="44"/>
        </w:rPr>
      </w:pPr>
    </w:p>
    <w:p>
      <w:pPr>
        <w:topLinePunct/>
        <w:spacing w:line="579" w:lineRule="exact"/>
        <w:jc w:val="center"/>
        <w:rPr>
          <w:rFonts w:eastAsia="方正小标宋_GBK"/>
          <w:color w:val="000000"/>
          <w:sz w:val="44"/>
        </w:rPr>
      </w:pPr>
    </w:p>
    <w:p>
      <w:pPr>
        <w:topLinePunct/>
        <w:spacing w:line="579" w:lineRule="exact"/>
        <w:jc w:val="center"/>
        <w:rPr>
          <w:rFonts w:eastAsia="方正小标宋_GBK"/>
          <w:color w:val="000000"/>
          <w:sz w:val="44"/>
        </w:rPr>
      </w:pPr>
    </w:p>
    <w:p>
      <w:pPr>
        <w:topLinePunct/>
        <w:spacing w:line="579" w:lineRule="exact"/>
        <w:jc w:val="center"/>
        <w:rPr>
          <w:rFonts w:eastAsia="方正小标宋_GBK"/>
          <w:color w:val="000000"/>
          <w:sz w:val="44"/>
        </w:rPr>
      </w:pPr>
    </w:p>
    <w:p>
      <w:pPr>
        <w:topLinePunct/>
        <w:spacing w:line="579" w:lineRule="exact"/>
        <w:jc w:val="center"/>
        <w:rPr>
          <w:rFonts w:eastAsia="方正小标宋_GBK"/>
          <w:color w:val="000000"/>
          <w:sz w:val="44"/>
        </w:rPr>
      </w:pPr>
    </w:p>
    <w:p>
      <w:pPr>
        <w:topLinePunct/>
        <w:spacing w:line="579" w:lineRule="exact"/>
        <w:jc w:val="center"/>
        <w:rPr>
          <w:rFonts w:eastAsia="方正小标宋_GBK"/>
          <w:color w:val="000000"/>
          <w:sz w:val="44"/>
        </w:rPr>
      </w:pPr>
    </w:p>
    <w:p>
      <w:pPr>
        <w:topLinePunct/>
        <w:spacing w:line="579" w:lineRule="exact"/>
        <w:jc w:val="center"/>
        <w:rPr>
          <w:rFonts w:eastAsia="方正小标宋_GBK"/>
          <w:color w:val="000000"/>
          <w:sz w:val="44"/>
        </w:rPr>
      </w:pPr>
    </w:p>
    <w:p>
      <w:pPr>
        <w:topLinePunct/>
        <w:spacing w:line="579" w:lineRule="exact"/>
        <w:jc w:val="center"/>
        <w:rPr>
          <w:rFonts w:eastAsia="方正小标宋_GBK"/>
          <w:color w:val="000000"/>
          <w:sz w:val="44"/>
        </w:rPr>
      </w:pPr>
    </w:p>
    <w:p>
      <w:pPr>
        <w:adjustRightInd w:val="0"/>
        <w:snapToGrid w:val="0"/>
        <w:jc w:val="left"/>
        <w:rPr>
          <w:sz w:val="28"/>
          <w:szCs w:val="28"/>
        </w:rPr>
      </w:pPr>
    </w:p>
    <w:sectPr>
      <w:headerReference r:id="rId3" w:type="default"/>
      <w:footerReference r:id="rId5" w:type="default"/>
      <w:headerReference r:id="rId4" w:type="even"/>
      <w:footerReference r:id="rId6" w:type="even"/>
      <w:pgSz w:w="11906" w:h="16838"/>
      <w:pgMar w:top="2098" w:right="1474" w:bottom="1985" w:left="1588" w:header="851" w:footer="1361" w:gutter="0"/>
      <w:cols w:space="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right="28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5</w:t>
    </w:r>
    <w:r>
      <w:rPr>
        <w:rFonts w:ascii="宋体" w:hAnsi="宋体" w:eastAsia="宋体"/>
        <w:sz w:val="28"/>
        <w:szCs w:val="28"/>
      </w:rPr>
      <w:fldChar w:fldCharType="end"/>
    </w:r>
    <w:r>
      <w:rPr>
        <w:rFonts w:hint="eastAsia" w:ascii="宋体" w:hAnsi="宋体" w:eastAsia="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evenAndOddHeaders w:val="true"/>
  <w:drawingGridHorizontalSpacing w:val="158"/>
  <w:drawingGridVerticalSpacing w:val="579"/>
  <w:displayHorizontalDrawingGridEvery w:val="2"/>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D921C3"/>
    <w:rsid w:val="000004E3"/>
    <w:rsid w:val="0002311F"/>
    <w:rsid w:val="0005155C"/>
    <w:rsid w:val="00065FA8"/>
    <w:rsid w:val="000B625C"/>
    <w:rsid w:val="000E2AB1"/>
    <w:rsid w:val="0010072B"/>
    <w:rsid w:val="001021B2"/>
    <w:rsid w:val="001029E3"/>
    <w:rsid w:val="00115FA3"/>
    <w:rsid w:val="0016429F"/>
    <w:rsid w:val="00177F96"/>
    <w:rsid w:val="001E626C"/>
    <w:rsid w:val="00213A83"/>
    <w:rsid w:val="0029719C"/>
    <w:rsid w:val="002B7BEB"/>
    <w:rsid w:val="002F3849"/>
    <w:rsid w:val="003176AB"/>
    <w:rsid w:val="0033352F"/>
    <w:rsid w:val="00350BC8"/>
    <w:rsid w:val="00356E7B"/>
    <w:rsid w:val="0037526C"/>
    <w:rsid w:val="00377B11"/>
    <w:rsid w:val="003F5103"/>
    <w:rsid w:val="00403F41"/>
    <w:rsid w:val="00447D4D"/>
    <w:rsid w:val="004563C6"/>
    <w:rsid w:val="00471F44"/>
    <w:rsid w:val="004936D3"/>
    <w:rsid w:val="004A76F4"/>
    <w:rsid w:val="004E401F"/>
    <w:rsid w:val="00526535"/>
    <w:rsid w:val="00594C61"/>
    <w:rsid w:val="005A7FFB"/>
    <w:rsid w:val="005B6C93"/>
    <w:rsid w:val="00605B45"/>
    <w:rsid w:val="00622500"/>
    <w:rsid w:val="006260E0"/>
    <w:rsid w:val="00677BC5"/>
    <w:rsid w:val="006A733C"/>
    <w:rsid w:val="006E71BC"/>
    <w:rsid w:val="006F6856"/>
    <w:rsid w:val="0078559E"/>
    <w:rsid w:val="00801100"/>
    <w:rsid w:val="0088134A"/>
    <w:rsid w:val="0088500B"/>
    <w:rsid w:val="008B3FF3"/>
    <w:rsid w:val="008C10F0"/>
    <w:rsid w:val="009404FE"/>
    <w:rsid w:val="00963295"/>
    <w:rsid w:val="009B5542"/>
    <w:rsid w:val="00A24552"/>
    <w:rsid w:val="00A44405"/>
    <w:rsid w:val="00A52C6B"/>
    <w:rsid w:val="00A55A93"/>
    <w:rsid w:val="00A639FF"/>
    <w:rsid w:val="00AA19E4"/>
    <w:rsid w:val="00AC0723"/>
    <w:rsid w:val="00AC49C2"/>
    <w:rsid w:val="00AD05F8"/>
    <w:rsid w:val="00AD1E71"/>
    <w:rsid w:val="00AF1E8E"/>
    <w:rsid w:val="00B04E1F"/>
    <w:rsid w:val="00B13000"/>
    <w:rsid w:val="00B310D8"/>
    <w:rsid w:val="00B60BB1"/>
    <w:rsid w:val="00B93D55"/>
    <w:rsid w:val="00BE1989"/>
    <w:rsid w:val="00BF5D2C"/>
    <w:rsid w:val="00C2286A"/>
    <w:rsid w:val="00C2349E"/>
    <w:rsid w:val="00C30648"/>
    <w:rsid w:val="00C51A01"/>
    <w:rsid w:val="00C74D7B"/>
    <w:rsid w:val="00CE7A10"/>
    <w:rsid w:val="00CF2691"/>
    <w:rsid w:val="00CF5E37"/>
    <w:rsid w:val="00CF6856"/>
    <w:rsid w:val="00D428F5"/>
    <w:rsid w:val="00D921C3"/>
    <w:rsid w:val="00DC73BA"/>
    <w:rsid w:val="00DF3E33"/>
    <w:rsid w:val="00E12F99"/>
    <w:rsid w:val="00E63AAF"/>
    <w:rsid w:val="00E80A2A"/>
    <w:rsid w:val="00EB2A38"/>
    <w:rsid w:val="00EF31DA"/>
    <w:rsid w:val="00F1084D"/>
    <w:rsid w:val="00F25D2F"/>
    <w:rsid w:val="00F43CB0"/>
    <w:rsid w:val="00F66626"/>
    <w:rsid w:val="00FB4D80"/>
    <w:rsid w:val="00FE3EF2"/>
    <w:rsid w:val="00FF2EF0"/>
    <w:rsid w:val="00FF72CE"/>
    <w:rsid w:val="03AB3075"/>
    <w:rsid w:val="08233C32"/>
    <w:rsid w:val="0DF0463C"/>
    <w:rsid w:val="11D250EB"/>
    <w:rsid w:val="187068F6"/>
    <w:rsid w:val="1B630F77"/>
    <w:rsid w:val="2391645C"/>
    <w:rsid w:val="2440697E"/>
    <w:rsid w:val="24696A2F"/>
    <w:rsid w:val="2DB22B56"/>
    <w:rsid w:val="2EAE00EF"/>
    <w:rsid w:val="303B5EC1"/>
    <w:rsid w:val="31012E9D"/>
    <w:rsid w:val="33FD5556"/>
    <w:rsid w:val="3561484D"/>
    <w:rsid w:val="39F821B1"/>
    <w:rsid w:val="3FBD62C1"/>
    <w:rsid w:val="40BB470F"/>
    <w:rsid w:val="424178C0"/>
    <w:rsid w:val="44DA6226"/>
    <w:rsid w:val="44ED32D7"/>
    <w:rsid w:val="541F611C"/>
    <w:rsid w:val="54AC2053"/>
    <w:rsid w:val="5E176B4F"/>
    <w:rsid w:val="61D3B048"/>
    <w:rsid w:val="620439E9"/>
    <w:rsid w:val="65BC0517"/>
    <w:rsid w:val="65D876C6"/>
    <w:rsid w:val="673213EB"/>
    <w:rsid w:val="7680034E"/>
    <w:rsid w:val="77D763E6"/>
    <w:rsid w:val="7E892871"/>
    <w:rsid w:val="7F7D178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2"/>
      <w:lang w:val="en-US" w:eastAsia="zh-CN" w:bidi="ar-SA"/>
    </w:rPr>
  </w:style>
  <w:style w:type="paragraph" w:styleId="2">
    <w:name w:val="heading 2"/>
    <w:basedOn w:val="1"/>
    <w:next w:val="1"/>
    <w:link w:val="41"/>
    <w:qFormat/>
    <w:locked/>
    <w:uiPriority w:val="0"/>
    <w:pPr>
      <w:spacing w:before="100" w:beforeAutospacing="1" w:after="100" w:afterAutospacing="1"/>
      <w:jc w:val="left"/>
      <w:outlineLvl w:val="1"/>
    </w:pPr>
    <w:rPr>
      <w:rFonts w:hint="eastAsia" w:ascii="宋体" w:hAnsi="宋体" w:eastAsia="宋体"/>
      <w:b/>
      <w:kern w:val="0"/>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39"/>
    <w:qFormat/>
    <w:uiPriority w:val="0"/>
    <w:rPr>
      <w:rFonts w:eastAsia="宋体"/>
      <w:szCs w:val="20"/>
    </w:rPr>
  </w:style>
  <w:style w:type="paragraph" w:styleId="4">
    <w:name w:val="footer"/>
    <w:basedOn w:val="1"/>
    <w:link w:val="13"/>
    <w:qFormat/>
    <w:uiPriority w:val="0"/>
    <w:pPr>
      <w:tabs>
        <w:tab w:val="center" w:pos="4153"/>
        <w:tab w:val="right" w:pos="8306"/>
      </w:tabs>
      <w:snapToGrid w:val="0"/>
      <w:jc w:val="left"/>
    </w:pPr>
    <w:rPr>
      <w:sz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rPr>
  </w:style>
  <w:style w:type="paragraph" w:styleId="6">
    <w:name w:val="Normal (Web)"/>
    <w:basedOn w:val="1"/>
    <w:qFormat/>
    <w:uiPriority w:val="0"/>
    <w:rPr>
      <w:sz w:val="24"/>
    </w:rPr>
  </w:style>
  <w:style w:type="paragraph" w:styleId="7">
    <w:name w:val="Title"/>
    <w:basedOn w:val="1"/>
    <w:next w:val="1"/>
    <w:link w:val="40"/>
    <w:qFormat/>
    <w:locked/>
    <w:uiPriority w:val="0"/>
    <w:pPr>
      <w:spacing w:before="240" w:after="60"/>
      <w:jc w:val="center"/>
      <w:outlineLvl w:val="0"/>
    </w:pPr>
    <w:rPr>
      <w:rFonts w:ascii="Cambria" w:hAnsi="Cambria" w:eastAsia="宋体"/>
      <w:b/>
      <w:bCs/>
      <w:szCs w:val="32"/>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locked/>
    <w:uiPriority w:val="0"/>
    <w:rPr>
      <w:b/>
      <w:bCs/>
    </w:rPr>
  </w:style>
  <w:style w:type="character" w:styleId="12">
    <w:name w:val="page number"/>
    <w:basedOn w:val="10"/>
    <w:qFormat/>
    <w:uiPriority w:val="99"/>
    <w:rPr>
      <w:rFonts w:cs="Times New Roman"/>
    </w:rPr>
  </w:style>
  <w:style w:type="character" w:customStyle="1" w:styleId="13">
    <w:name w:val="页脚 Char"/>
    <w:basedOn w:val="10"/>
    <w:link w:val="4"/>
    <w:qFormat/>
    <w:locked/>
    <w:uiPriority w:val="99"/>
    <w:rPr>
      <w:rFonts w:eastAsia="方正仿宋_GBK" w:cs="Times New Roman"/>
      <w:sz w:val="18"/>
      <w:szCs w:val="18"/>
    </w:rPr>
  </w:style>
  <w:style w:type="character" w:customStyle="1" w:styleId="14">
    <w:name w:val="页眉 Char"/>
    <w:basedOn w:val="10"/>
    <w:link w:val="5"/>
    <w:semiHidden/>
    <w:qFormat/>
    <w:locked/>
    <w:uiPriority w:val="99"/>
    <w:rPr>
      <w:rFonts w:eastAsia="方正仿宋_GBK" w:cs="Times New Roman"/>
      <w:sz w:val="18"/>
      <w:szCs w:val="18"/>
    </w:rPr>
  </w:style>
  <w:style w:type="character" w:customStyle="1" w:styleId="15">
    <w:name w:val="keyword-span-wrap"/>
    <w:basedOn w:val="10"/>
    <w:qFormat/>
    <w:uiPriority w:val="99"/>
    <w:rPr>
      <w:rFonts w:cs="Times New Roman"/>
      <w:color w:val="19A97B"/>
    </w:rPr>
  </w:style>
  <w:style w:type="character" w:customStyle="1" w:styleId="16">
    <w:name w:val="pass-clearbtn-verifycode"/>
    <w:basedOn w:val="10"/>
    <w:qFormat/>
    <w:uiPriority w:val="99"/>
    <w:rPr>
      <w:rFonts w:cs="Times New Roman"/>
    </w:rPr>
  </w:style>
  <w:style w:type="character" w:customStyle="1" w:styleId="17">
    <w:name w:val="pass-clearbtn-verifycode1"/>
    <w:basedOn w:val="10"/>
    <w:qFormat/>
    <w:uiPriority w:val="99"/>
    <w:rPr>
      <w:rFonts w:cs="Times New Roman"/>
    </w:rPr>
  </w:style>
  <w:style w:type="character" w:customStyle="1" w:styleId="18">
    <w:name w:val="pass-clearbtn-verifycode2"/>
    <w:basedOn w:val="10"/>
    <w:qFormat/>
    <w:uiPriority w:val="99"/>
    <w:rPr>
      <w:rFonts w:cs="Times New Roman"/>
    </w:rPr>
  </w:style>
  <w:style w:type="character" w:customStyle="1" w:styleId="19">
    <w:name w:val="pass-placeholder-password"/>
    <w:basedOn w:val="10"/>
    <w:qFormat/>
    <w:uiPriority w:val="99"/>
    <w:rPr>
      <w:rFonts w:cs="Times New Roman"/>
    </w:rPr>
  </w:style>
  <w:style w:type="character" w:customStyle="1" w:styleId="20">
    <w:name w:val="pass-clearbtn-smsverifycode"/>
    <w:basedOn w:val="10"/>
    <w:qFormat/>
    <w:uiPriority w:val="99"/>
    <w:rPr>
      <w:rFonts w:cs="Times New Roman"/>
    </w:rPr>
  </w:style>
  <w:style w:type="character" w:customStyle="1" w:styleId="21">
    <w:name w:val="pass-clearbtn-smsverifycode1"/>
    <w:basedOn w:val="10"/>
    <w:qFormat/>
    <w:uiPriority w:val="99"/>
    <w:rPr>
      <w:rFonts w:cs="Times New Roman"/>
    </w:rPr>
  </w:style>
  <w:style w:type="character" w:customStyle="1" w:styleId="22">
    <w:name w:val="pass-clearbtn-smsverifycode2"/>
    <w:basedOn w:val="10"/>
    <w:qFormat/>
    <w:uiPriority w:val="99"/>
    <w:rPr>
      <w:rFonts w:cs="Times New Roman"/>
    </w:rPr>
  </w:style>
  <w:style w:type="character" w:customStyle="1" w:styleId="23">
    <w:name w:val="open"/>
    <w:basedOn w:val="10"/>
    <w:qFormat/>
    <w:uiPriority w:val="99"/>
    <w:rPr>
      <w:rFonts w:cs="Times New Roman"/>
    </w:rPr>
  </w:style>
  <w:style w:type="character" w:customStyle="1" w:styleId="24">
    <w:name w:val="pass-placeholder-smsphone"/>
    <w:basedOn w:val="10"/>
    <w:qFormat/>
    <w:uiPriority w:val="99"/>
    <w:rPr>
      <w:rFonts w:cs="Times New Roman"/>
    </w:rPr>
  </w:style>
  <w:style w:type="character" w:customStyle="1" w:styleId="25">
    <w:name w:val="pass-placeholder-smsphone1"/>
    <w:basedOn w:val="10"/>
    <w:qFormat/>
    <w:uiPriority w:val="99"/>
    <w:rPr>
      <w:rFonts w:cs="Times New Roman"/>
    </w:rPr>
  </w:style>
  <w:style w:type="character" w:customStyle="1" w:styleId="26">
    <w:name w:val="pass-placeholder-smsphone2"/>
    <w:basedOn w:val="10"/>
    <w:qFormat/>
    <w:uiPriority w:val="99"/>
    <w:rPr>
      <w:rFonts w:cs="Times New Roman"/>
    </w:rPr>
  </w:style>
  <w:style w:type="character" w:customStyle="1" w:styleId="27">
    <w:name w:val="pass-generalerror"/>
    <w:basedOn w:val="10"/>
    <w:qFormat/>
    <w:uiPriority w:val="99"/>
    <w:rPr>
      <w:rFonts w:cs="Times New Roman"/>
      <w:color w:val="FC4343"/>
      <w:sz w:val="18"/>
      <w:szCs w:val="18"/>
    </w:rPr>
  </w:style>
  <w:style w:type="character" w:customStyle="1" w:styleId="28">
    <w:name w:val="pass-placeholder2"/>
    <w:basedOn w:val="10"/>
    <w:qFormat/>
    <w:uiPriority w:val="99"/>
    <w:rPr>
      <w:rFonts w:cs="Times New Roman"/>
    </w:rPr>
  </w:style>
  <w:style w:type="character" w:customStyle="1" w:styleId="29">
    <w:name w:val="pass-placeholder3"/>
    <w:basedOn w:val="10"/>
    <w:qFormat/>
    <w:uiPriority w:val="99"/>
    <w:rPr>
      <w:rFonts w:cs="Times New Roman"/>
    </w:rPr>
  </w:style>
  <w:style w:type="character" w:customStyle="1" w:styleId="30">
    <w:name w:val="pass-placeholder4"/>
    <w:basedOn w:val="10"/>
    <w:qFormat/>
    <w:uiPriority w:val="99"/>
    <w:rPr>
      <w:rFonts w:cs="Times New Roman"/>
    </w:rPr>
  </w:style>
  <w:style w:type="character" w:customStyle="1" w:styleId="31">
    <w:name w:val="pass-placeholder5"/>
    <w:basedOn w:val="10"/>
    <w:qFormat/>
    <w:uiPriority w:val="99"/>
    <w:rPr>
      <w:rFonts w:cs="Times New Roman"/>
    </w:rPr>
  </w:style>
  <w:style w:type="character" w:customStyle="1" w:styleId="32">
    <w:name w:val="pass-placeholder-username"/>
    <w:basedOn w:val="10"/>
    <w:qFormat/>
    <w:uiPriority w:val="99"/>
    <w:rPr>
      <w:rFonts w:cs="Times New Roman"/>
    </w:rPr>
  </w:style>
  <w:style w:type="character" w:customStyle="1" w:styleId="33">
    <w:name w:val="pass-placeholder-username1"/>
    <w:basedOn w:val="10"/>
    <w:qFormat/>
    <w:uiPriority w:val="99"/>
    <w:rPr>
      <w:rFonts w:cs="Times New Roman"/>
    </w:rPr>
  </w:style>
  <w:style w:type="character" w:customStyle="1" w:styleId="34">
    <w:name w:val="pass-placeholder-username2"/>
    <w:basedOn w:val="10"/>
    <w:qFormat/>
    <w:uiPriority w:val="99"/>
    <w:rPr>
      <w:rFonts w:cs="Times New Roman"/>
    </w:rPr>
  </w:style>
  <w:style w:type="character" w:customStyle="1" w:styleId="35">
    <w:name w:val="pass-placeholder-password1"/>
    <w:basedOn w:val="10"/>
    <w:qFormat/>
    <w:uiPriority w:val="99"/>
    <w:rPr>
      <w:rFonts w:cs="Times New Roman"/>
    </w:rPr>
  </w:style>
  <w:style w:type="character" w:customStyle="1" w:styleId="36">
    <w:name w:val="pass-placeholder-password2"/>
    <w:basedOn w:val="10"/>
    <w:qFormat/>
    <w:uiPriority w:val="99"/>
    <w:rPr>
      <w:rFonts w:cs="Times New Roman"/>
    </w:rPr>
  </w:style>
  <w:style w:type="character" w:customStyle="1" w:styleId="37">
    <w:name w:val="pass-placeholder"/>
    <w:basedOn w:val="10"/>
    <w:qFormat/>
    <w:uiPriority w:val="99"/>
    <w:rPr>
      <w:rFonts w:cs="Times New Roman"/>
    </w:rPr>
  </w:style>
  <w:style w:type="character" w:customStyle="1" w:styleId="38">
    <w:name w:val="pass-placeholder1"/>
    <w:basedOn w:val="10"/>
    <w:qFormat/>
    <w:uiPriority w:val="99"/>
    <w:rPr>
      <w:rFonts w:cs="Times New Roman"/>
    </w:rPr>
  </w:style>
  <w:style w:type="character" w:customStyle="1" w:styleId="39">
    <w:name w:val="日期 Char"/>
    <w:basedOn w:val="10"/>
    <w:link w:val="3"/>
    <w:qFormat/>
    <w:uiPriority w:val="0"/>
    <w:rPr>
      <w:sz w:val="32"/>
      <w:szCs w:val="20"/>
    </w:rPr>
  </w:style>
  <w:style w:type="character" w:customStyle="1" w:styleId="40">
    <w:name w:val="标题 Char"/>
    <w:basedOn w:val="10"/>
    <w:link w:val="7"/>
    <w:qFormat/>
    <w:uiPriority w:val="0"/>
    <w:rPr>
      <w:rFonts w:ascii="Cambria" w:hAnsi="Cambria" w:cs="Times New Roman"/>
      <w:b/>
      <w:bCs/>
      <w:sz w:val="32"/>
      <w:szCs w:val="32"/>
    </w:rPr>
  </w:style>
  <w:style w:type="character" w:customStyle="1" w:styleId="41">
    <w:name w:val="标题 2 Char"/>
    <w:basedOn w:val="10"/>
    <w:link w:val="2"/>
    <w:qFormat/>
    <w:uiPriority w:val="0"/>
    <w:rPr>
      <w:rFonts w:ascii="宋体" w:hAnsi="宋体"/>
      <w:b/>
      <w:sz w:val="36"/>
      <w:szCs w:val="36"/>
    </w:rPr>
  </w:style>
  <w:style w:type="paragraph" w:styleId="42">
    <w:name w:val="List Paragraph"/>
    <w:basedOn w:val="1"/>
    <w:qFormat/>
    <w:uiPriority w:val="1"/>
    <w:rPr>
      <w:rFonts w:eastAsia="宋体"/>
      <w:sz w:val="21"/>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372</Words>
  <Characters>2125</Characters>
  <Lines>17</Lines>
  <Paragraphs>4</Paragraphs>
  <TotalTime>36</TotalTime>
  <ScaleCrop>false</ScaleCrop>
  <LinksUpToDate>false</LinksUpToDate>
  <CharactersWithSpaces>2493</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2020-12-28T23:35:00Z</dcterms:created>
  <dc:creator>Administrator</dc:creator>
  <cp:lastModifiedBy>ckuos</cp:lastModifiedBy>
  <cp:lastPrinted>2020-12-21T22:29:00Z</cp:lastPrinted>
  <dcterms:modified xsi:type="dcterms:W3CDTF">2024-09-05T10:50:19Z</dcterms:modified>
  <dc:title>城口县厚坪乡人民政府</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