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城口县岚天乡2023</w:t>
      </w:r>
      <w:r>
        <w:rPr>
          <w:rFonts w:eastAsia="方正小标宋_GBK"/>
          <w:kern w:val="0"/>
          <w:sz w:val="44"/>
          <w:szCs w:val="44"/>
        </w:rPr>
        <w:t>年财政预算执行情况及</w:t>
      </w:r>
      <w:r>
        <w:rPr>
          <w:rFonts w:hint="eastAsia" w:eastAsia="方正小标宋_GBK"/>
          <w:kern w:val="0"/>
          <w:sz w:val="44"/>
          <w:szCs w:val="44"/>
        </w:rPr>
        <w:t>2024</w:t>
      </w:r>
      <w:r>
        <w:rPr>
          <w:rFonts w:eastAsia="方正小标宋_GBK"/>
          <w:kern w:val="0"/>
          <w:sz w:val="44"/>
          <w:szCs w:val="44"/>
        </w:rPr>
        <w:t>年财政预算的报告</w:t>
      </w:r>
      <w:r>
        <w:rPr>
          <w:rFonts w:hint="eastAsia" w:eastAsia="方正小标宋_GBK"/>
          <w:kern w:val="0"/>
          <w:sz w:val="44"/>
          <w:szCs w:val="44"/>
        </w:rPr>
        <w:t>（</w:t>
      </w:r>
      <w:r>
        <w:rPr>
          <w:rFonts w:eastAsia="方正小标宋_GBK"/>
          <w:kern w:val="0"/>
          <w:sz w:val="44"/>
          <w:szCs w:val="44"/>
        </w:rPr>
        <w:t>草案</w:t>
      </w:r>
      <w:r>
        <w:rPr>
          <w:rFonts w:hint="eastAsia" w:eastAsia="方正小标宋_GBK"/>
          <w:kern w:val="0"/>
          <w:sz w:val="44"/>
          <w:szCs w:val="44"/>
        </w:rPr>
        <w:t>）</w:t>
      </w:r>
    </w:p>
    <w:p>
      <w:pPr>
        <w:spacing w:line="579" w:lineRule="exact"/>
        <w:jc w:val="center"/>
        <w:rPr>
          <w:rFonts w:ascii="方正楷体_GBK" w:eastAsia="方正楷体_GBK"/>
          <w:color w:val="FF0000"/>
          <w:sz w:val="24"/>
          <w:szCs w:val="24"/>
        </w:rPr>
      </w:pPr>
      <w:r>
        <w:rPr>
          <w:rFonts w:hint="eastAsia" w:ascii="方正楷体_GBK" w:eastAsia="方正楷体_GBK"/>
          <w:sz w:val="28"/>
          <w:szCs w:val="28"/>
        </w:rPr>
        <w:t>——</w:t>
      </w:r>
      <w:r>
        <w:rPr>
          <w:rFonts w:hint="eastAsia" w:ascii="方正楷体_GBK" w:eastAsia="方正楷体_GBK"/>
          <w:sz w:val="24"/>
          <w:szCs w:val="24"/>
        </w:rPr>
        <w:t>在2024年2月28日岚天乡第十九届人民代表大会第五次会议上</w:t>
      </w:r>
    </w:p>
    <w:p>
      <w:pPr>
        <w:widowControl/>
        <w:spacing w:line="579" w:lineRule="exact"/>
        <w:jc w:val="center"/>
        <w:rPr>
          <w:rFonts w:eastAsia="方正小标宋_GBK"/>
          <w:kern w:val="0"/>
          <w:sz w:val="44"/>
          <w:szCs w:val="44"/>
        </w:rPr>
      </w:pPr>
    </w:p>
    <w:p>
      <w:pPr>
        <w:spacing w:line="579" w:lineRule="exact"/>
      </w:pPr>
      <w:r>
        <w:t>各位代表：</w:t>
      </w:r>
    </w:p>
    <w:p>
      <w:pPr>
        <w:spacing w:line="579" w:lineRule="exact"/>
        <w:ind w:firstLine="640" w:firstLineChars="200"/>
      </w:pPr>
      <w:r>
        <w:t>我受</w:t>
      </w:r>
      <w:r>
        <w:rPr>
          <w:rFonts w:hint="eastAsia"/>
        </w:rPr>
        <w:t>乡</w:t>
      </w:r>
      <w:r>
        <w:t>人民政府委托，现向大会作《</w:t>
      </w:r>
      <w:r>
        <w:rPr>
          <w:rFonts w:hint="eastAsia"/>
        </w:rPr>
        <w:t>2023</w:t>
      </w:r>
      <w:r>
        <w:t>年财政预算执行情况和</w:t>
      </w:r>
      <w:r>
        <w:rPr>
          <w:rFonts w:hint="eastAsia"/>
        </w:rPr>
        <w:t>2024</w:t>
      </w:r>
      <w:r>
        <w:t>年财政预算的报告（草案）》，请予审议，并请各位代表及列席人员提出意见或建议。</w:t>
      </w:r>
    </w:p>
    <w:p>
      <w:pPr>
        <w:spacing w:line="579" w:lineRule="exact"/>
        <w:ind w:firstLine="640" w:firstLineChars="200"/>
        <w:rPr>
          <w:rFonts w:eastAsia="方正黑体_GBK"/>
        </w:rPr>
      </w:pPr>
      <w:r>
        <w:rPr>
          <w:rFonts w:eastAsia="方正黑体_GBK"/>
        </w:rPr>
        <w:t>一、</w:t>
      </w:r>
      <w:r>
        <w:rPr>
          <w:rFonts w:hint="eastAsia" w:eastAsia="方正黑体_GBK"/>
        </w:rPr>
        <w:t>2023</w:t>
      </w:r>
      <w:r>
        <w:rPr>
          <w:rFonts w:eastAsia="方正黑体_GBK"/>
        </w:rPr>
        <w:t>年财政预算执行情况</w:t>
      </w:r>
    </w:p>
    <w:p>
      <w:pPr>
        <w:spacing w:line="579" w:lineRule="exact"/>
        <w:ind w:firstLine="640" w:firstLineChars="200"/>
      </w:pPr>
      <w:r>
        <w:rPr>
          <w:rFonts w:hint="eastAsia"/>
        </w:rPr>
        <w:t>2023</w:t>
      </w:r>
      <w:r>
        <w:t>年，我</w:t>
      </w:r>
      <w:r>
        <w:rPr>
          <w:rFonts w:hint="eastAsia"/>
        </w:rPr>
        <w:t>乡</w:t>
      </w:r>
      <w:r>
        <w:t>以习近平新时代中国特色社会主义思想为指导，</w:t>
      </w:r>
      <w:r>
        <w:rPr>
          <w:rFonts w:hint="eastAsia"/>
        </w:rPr>
        <w:t>认真</w:t>
      </w:r>
      <w:r>
        <w:t>落实党的</w:t>
      </w:r>
      <w:r>
        <w:rPr>
          <w:rFonts w:hint="eastAsia"/>
        </w:rPr>
        <w:t>二十大</w:t>
      </w:r>
      <w:r>
        <w:t>精神，</w:t>
      </w:r>
      <w:r>
        <w:rPr>
          <w:rFonts w:hint="eastAsia"/>
        </w:rPr>
        <w:t>贯彻</w:t>
      </w:r>
      <w:r>
        <w:t>市委、市政府和县委、县政府重大决策部署，财政工作在上级</w:t>
      </w:r>
      <w:r>
        <w:rPr>
          <w:rFonts w:hint="eastAsia"/>
        </w:rPr>
        <w:t>各</w:t>
      </w:r>
      <w:r>
        <w:t>部门的指导和</w:t>
      </w:r>
      <w:r>
        <w:rPr>
          <w:rFonts w:hint="eastAsia"/>
        </w:rPr>
        <w:t>乡</w:t>
      </w:r>
      <w:r>
        <w:t>党委、政府的正确领导下，在</w:t>
      </w:r>
      <w:r>
        <w:rPr>
          <w:rFonts w:hint="eastAsia"/>
        </w:rPr>
        <w:t>乡</w:t>
      </w:r>
      <w:r>
        <w:t>人大、</w:t>
      </w:r>
      <w:r>
        <w:rPr>
          <w:rFonts w:hint="eastAsia"/>
        </w:rPr>
        <w:t>乡</w:t>
      </w:r>
      <w:r>
        <w:t>纪委的监督下，</w:t>
      </w:r>
      <w:r>
        <w:rPr>
          <w:rFonts w:hint="eastAsia"/>
        </w:rPr>
        <w:t>我乡坚持依法理财，科学合理调度资金，不断优化支出结构，认真落实各项政策措施，</w:t>
      </w:r>
      <w:r>
        <w:t>较好地完成了全年预算和各项财政工作任务。</w:t>
      </w:r>
    </w:p>
    <w:p>
      <w:pPr>
        <w:spacing w:line="579" w:lineRule="exact"/>
        <w:ind w:firstLine="640" w:firstLineChars="200"/>
        <w:rPr>
          <w:rFonts w:eastAsia="方正楷体_GBK"/>
          <w:b/>
        </w:rPr>
      </w:pPr>
      <w:r>
        <w:rPr>
          <w:rFonts w:eastAsia="方正楷体_GBK"/>
          <w:b/>
        </w:rPr>
        <w:t>（一）</w:t>
      </w:r>
      <w:r>
        <w:rPr>
          <w:rFonts w:hint="eastAsia" w:eastAsia="方正楷体_GBK"/>
          <w:b/>
        </w:rPr>
        <w:t>2023</w:t>
      </w:r>
      <w:r>
        <w:rPr>
          <w:rFonts w:eastAsia="方正楷体_GBK"/>
          <w:b/>
        </w:rPr>
        <w:t>年财政收入情况</w:t>
      </w:r>
    </w:p>
    <w:p>
      <w:pPr>
        <w:spacing w:line="579" w:lineRule="exact"/>
        <w:ind w:firstLine="604"/>
      </w:pPr>
      <w:r>
        <w:rPr>
          <w:rFonts w:hint="eastAsia"/>
        </w:rPr>
        <w:t>1、</w:t>
      </w:r>
      <w:r>
        <w:t>财政预算收入</w:t>
      </w:r>
      <w:r>
        <w:rPr>
          <w:rFonts w:hint="eastAsia"/>
        </w:rPr>
        <w:t>情况。2023</w:t>
      </w:r>
      <w:r>
        <w:t>年，全</w:t>
      </w:r>
      <w:r>
        <w:rPr>
          <w:rFonts w:hint="eastAsia"/>
        </w:rPr>
        <w:t>乡</w:t>
      </w:r>
      <w:r>
        <w:t>完成财政总收入</w:t>
      </w:r>
      <w:r>
        <w:rPr>
          <w:rFonts w:hint="eastAsia"/>
        </w:rPr>
        <w:t>1526.42</w:t>
      </w:r>
      <w:r>
        <w:t>万元，一般公共预算收入</w:t>
      </w:r>
      <w:r>
        <w:rPr>
          <w:rFonts w:hint="eastAsia"/>
        </w:rPr>
        <w:t>1514.95</w:t>
      </w:r>
      <w:r>
        <w:t>万元（其中年初预算为</w:t>
      </w:r>
      <w:r>
        <w:rPr>
          <w:rFonts w:hint="eastAsia"/>
        </w:rPr>
        <w:t>909.10</w:t>
      </w:r>
      <w:r>
        <w:t>万元，调整预算为</w:t>
      </w:r>
      <w:r>
        <w:rPr>
          <w:rFonts w:hint="eastAsia"/>
        </w:rPr>
        <w:t>605.85</w:t>
      </w:r>
      <w:r>
        <w:t>万元）</w:t>
      </w:r>
      <w:r>
        <w:rPr>
          <w:rFonts w:hint="eastAsia"/>
        </w:rPr>
        <w:t>，政府性基金预算收入11.47万元。</w:t>
      </w:r>
    </w:p>
    <w:p>
      <w:pPr>
        <w:spacing w:line="579" w:lineRule="exact"/>
        <w:ind w:firstLine="604"/>
      </w:pPr>
      <w:r>
        <w:rPr>
          <w:rFonts w:hint="eastAsia"/>
        </w:rPr>
        <w:t>2、非税收入完成情况。</w:t>
      </w:r>
      <w:r>
        <w:t>非税收入</w:t>
      </w:r>
      <w:r>
        <w:rPr>
          <w:rFonts w:hint="eastAsia"/>
        </w:rPr>
        <w:t>4.3</w:t>
      </w:r>
      <w:r>
        <w:t>万元（其中城市建设配套费</w:t>
      </w:r>
      <w:r>
        <w:rPr>
          <w:rFonts w:hint="eastAsia"/>
        </w:rPr>
        <w:t>0.5</w:t>
      </w:r>
      <w:r>
        <w:t>万元</w:t>
      </w:r>
      <w:r>
        <w:rPr>
          <w:rFonts w:hint="eastAsia"/>
        </w:rPr>
        <w:t>，垃圾处置费3.8万元</w:t>
      </w:r>
      <w:r>
        <w:t>）</w:t>
      </w:r>
      <w:r>
        <w:rPr>
          <w:rFonts w:hint="eastAsia"/>
        </w:rPr>
        <w:t>。</w:t>
      </w:r>
    </w:p>
    <w:p>
      <w:pPr>
        <w:spacing w:line="579" w:lineRule="exact"/>
        <w:ind w:firstLine="640" w:firstLineChars="200"/>
        <w:rPr>
          <w:rFonts w:eastAsia="方正楷体_GBK"/>
          <w:b/>
        </w:rPr>
      </w:pPr>
      <w:r>
        <w:rPr>
          <w:rFonts w:eastAsia="方正楷体_GBK"/>
          <w:b/>
        </w:rPr>
        <w:t>（二）</w:t>
      </w:r>
      <w:r>
        <w:rPr>
          <w:rFonts w:hint="eastAsia" w:eastAsia="方正楷体_GBK"/>
          <w:b/>
        </w:rPr>
        <w:t>2023</w:t>
      </w:r>
      <w:r>
        <w:rPr>
          <w:rFonts w:eastAsia="方正楷体_GBK"/>
          <w:b/>
        </w:rPr>
        <w:t>年财政支出情况</w:t>
      </w:r>
    </w:p>
    <w:p>
      <w:pPr>
        <w:spacing w:line="579" w:lineRule="exact"/>
        <w:rPr>
          <w:rFonts w:ascii="方正仿宋_GBK" w:hAnsi="方正仿宋_GBK" w:cs="方正仿宋_GBK"/>
        </w:rPr>
      </w:pPr>
      <w:r>
        <w:t xml:space="preserve">  </w:t>
      </w:r>
      <w:r>
        <w:rPr>
          <w:rFonts w:hint="eastAsia"/>
        </w:rPr>
        <w:t xml:space="preserve">  2023</w:t>
      </w:r>
      <w:r>
        <w:t>年财政</w:t>
      </w:r>
      <w:r>
        <w:rPr>
          <w:rFonts w:hint="eastAsia"/>
        </w:rPr>
        <w:t>预算</w:t>
      </w:r>
      <w:r>
        <w:t>总支出</w:t>
      </w:r>
      <w:r>
        <w:rPr>
          <w:rFonts w:hint="eastAsia"/>
        </w:rPr>
        <w:t>1526.42</w:t>
      </w:r>
      <w:r>
        <w:t>万元，占</w:t>
      </w:r>
      <w:r>
        <w:rPr>
          <w:rFonts w:hint="eastAsia"/>
        </w:rPr>
        <w:t>全年</w:t>
      </w:r>
      <w:r>
        <w:t>预算总收入的</w:t>
      </w:r>
      <w:r>
        <w:rPr>
          <w:rFonts w:hint="eastAsia"/>
        </w:rPr>
        <w:t>100</w:t>
      </w:r>
      <w:r>
        <w:t>%，</w:t>
      </w:r>
      <w:r>
        <w:rPr>
          <w:rFonts w:hint="eastAsia"/>
        </w:rPr>
        <w:t>较好的完成了全年预算支出，具体支出项目为：</w:t>
      </w:r>
    </w:p>
    <w:p>
      <w:pPr>
        <w:spacing w:line="579" w:lineRule="exact"/>
        <w:ind w:firstLine="640" w:firstLineChars="200"/>
        <w:rPr>
          <w:b/>
          <w:bCs/>
        </w:rPr>
      </w:pPr>
      <w:r>
        <w:rPr>
          <w:b/>
          <w:bCs/>
        </w:rPr>
        <w:t>1.基本支出</w:t>
      </w:r>
      <w:r>
        <w:rPr>
          <w:rFonts w:hint="eastAsia"/>
          <w:b/>
          <w:bCs/>
        </w:rPr>
        <w:t>698.08</w:t>
      </w:r>
      <w:r>
        <w:rPr>
          <w:b/>
          <w:bCs/>
        </w:rPr>
        <w:t>万元</w:t>
      </w:r>
    </w:p>
    <w:p>
      <w:pPr>
        <w:spacing w:line="579" w:lineRule="exact"/>
        <w:ind w:firstLine="640" w:firstLineChars="200"/>
      </w:pPr>
      <w:r>
        <w:rPr>
          <w:b/>
          <w:bCs/>
        </w:rPr>
        <w:t>一是</w:t>
      </w:r>
      <w:r>
        <w:rPr>
          <w:rFonts w:hint="eastAsia"/>
        </w:rPr>
        <w:t>一般公共服务支出309.58</w:t>
      </w:r>
      <w:r>
        <w:t>万元，其中含人大事务</w:t>
      </w:r>
      <w:r>
        <w:rPr>
          <w:rFonts w:hint="eastAsia"/>
        </w:rPr>
        <w:t>7.77</w:t>
      </w:r>
      <w:r>
        <w:t>万元、党委事务</w:t>
      </w:r>
      <w:r>
        <w:rPr>
          <w:rFonts w:hint="eastAsia"/>
        </w:rPr>
        <w:t>27.54</w:t>
      </w:r>
      <w:r>
        <w:t>万元、政府事务</w:t>
      </w:r>
      <w:r>
        <w:rPr>
          <w:rFonts w:hint="eastAsia"/>
        </w:rPr>
        <w:t>271.86</w:t>
      </w:r>
      <w:r>
        <w:t>万元</w:t>
      </w:r>
      <w:r>
        <w:rPr>
          <w:rFonts w:hint="eastAsia"/>
        </w:rPr>
        <w:t>、其他共产党事务2.40万元</w:t>
      </w:r>
      <w:r>
        <w:t>；</w:t>
      </w:r>
      <w:r>
        <w:rPr>
          <w:b/>
          <w:bCs/>
        </w:rPr>
        <w:t>二是</w:t>
      </w:r>
      <w:r>
        <w:t>农林水</w:t>
      </w:r>
      <w:r>
        <w:rPr>
          <w:rFonts w:hint="eastAsia"/>
        </w:rPr>
        <w:t>支出224.12</w:t>
      </w:r>
      <w:r>
        <w:t>万元；</w:t>
      </w:r>
      <w:r>
        <w:rPr>
          <w:b/>
          <w:bCs/>
        </w:rPr>
        <w:t>三是</w:t>
      </w:r>
      <w:r>
        <w:rPr>
          <w:rFonts w:hint="eastAsia"/>
        </w:rPr>
        <w:t>文化旅游体育及传媒支出10.43</w:t>
      </w:r>
      <w:r>
        <w:t>万元；</w:t>
      </w:r>
      <w:r>
        <w:rPr>
          <w:b/>
          <w:bCs/>
        </w:rPr>
        <w:t>四是</w:t>
      </w:r>
      <w:r>
        <w:t>社会保障和就业</w:t>
      </w:r>
      <w:r>
        <w:rPr>
          <w:rFonts w:hint="eastAsia"/>
        </w:rPr>
        <w:t>支出95.87</w:t>
      </w:r>
      <w:r>
        <w:t>万元；</w:t>
      </w:r>
      <w:r>
        <w:rPr>
          <w:b/>
          <w:bCs/>
        </w:rPr>
        <w:t>五是</w:t>
      </w:r>
      <w:r>
        <w:t>卫生健康</w:t>
      </w:r>
      <w:r>
        <w:rPr>
          <w:rFonts w:hint="eastAsia"/>
        </w:rPr>
        <w:t>支出20.09</w:t>
      </w:r>
      <w:r>
        <w:t>万元；</w:t>
      </w:r>
      <w:r>
        <w:rPr>
          <w:rFonts w:hint="eastAsia"/>
          <w:b/>
          <w:bCs/>
        </w:rPr>
        <w:t>六是</w:t>
      </w:r>
      <w:r>
        <w:rPr>
          <w:rFonts w:hint="eastAsia"/>
        </w:rPr>
        <w:t>住房保障支出38.00万元。</w:t>
      </w:r>
    </w:p>
    <w:p>
      <w:pPr>
        <w:spacing w:line="579" w:lineRule="exact"/>
        <w:rPr>
          <w:b/>
          <w:bCs/>
        </w:rPr>
      </w:pPr>
      <w:r>
        <w:rPr>
          <w:b/>
          <w:bCs/>
        </w:rPr>
        <w:t xml:space="preserve">   2.项目支出</w:t>
      </w:r>
      <w:r>
        <w:rPr>
          <w:rFonts w:hint="eastAsia"/>
          <w:b/>
          <w:bCs/>
        </w:rPr>
        <w:t>828.33</w:t>
      </w:r>
      <w:r>
        <w:rPr>
          <w:b/>
          <w:bCs/>
        </w:rPr>
        <w:t>万元</w:t>
      </w:r>
    </w:p>
    <w:p>
      <w:pPr>
        <w:spacing w:line="579" w:lineRule="exact"/>
        <w:ind w:firstLine="640" w:firstLineChars="200"/>
      </w:pPr>
      <w:r>
        <w:rPr>
          <w:b/>
          <w:bCs/>
        </w:rPr>
        <w:t>一是</w:t>
      </w:r>
      <w:r>
        <w:rPr>
          <w:rFonts w:hint="eastAsia"/>
        </w:rPr>
        <w:t>一般公共服务支出87.40万元。主要用于基层政权建设、40年农村老党员、困难乡镇补助资金等；</w:t>
      </w:r>
      <w:r>
        <w:rPr>
          <w:rFonts w:hint="eastAsia"/>
          <w:b/>
          <w:bCs/>
        </w:rPr>
        <w:t>二是</w:t>
      </w:r>
      <w:r>
        <w:rPr>
          <w:rFonts w:hint="eastAsia"/>
        </w:rPr>
        <w:t>社会保障和就业支出0.16万元。主要用于临时救助资金等；</w:t>
      </w:r>
      <w:r>
        <w:rPr>
          <w:rFonts w:hint="eastAsia"/>
          <w:b/>
          <w:bCs/>
        </w:rPr>
        <w:t>三是</w:t>
      </w:r>
      <w:r>
        <w:rPr>
          <w:rFonts w:hint="eastAsia"/>
        </w:rPr>
        <w:t>卫生健康支出27.25万元。主要用于基层医疗保障能力提升；</w:t>
      </w:r>
      <w:r>
        <w:rPr>
          <w:rFonts w:hint="eastAsia"/>
          <w:b/>
          <w:bCs/>
        </w:rPr>
        <w:t>四是</w:t>
      </w:r>
      <w:r>
        <w:rPr>
          <w:rFonts w:hint="eastAsia"/>
        </w:rPr>
        <w:t>农林水支出641.75万元。用于农业防灾减灾和水利救灾、红岸水源补充工程、产业到户扶持、岚溪村民房收储改造民宿项目、三河村集体经济组织试点资金、现代产业综合示范园、中药材产业提升示范基地等项目支出；</w:t>
      </w:r>
      <w:r>
        <w:rPr>
          <w:rFonts w:hint="eastAsia"/>
          <w:b/>
          <w:bCs/>
        </w:rPr>
        <w:t>五是</w:t>
      </w:r>
      <w:r>
        <w:rPr>
          <w:rFonts w:hint="eastAsia"/>
        </w:rPr>
        <w:t>灾害防治及应急管理支出5万元。主要用于洪涝救灾等方面的支出；</w:t>
      </w:r>
      <w:r>
        <w:rPr>
          <w:rFonts w:hint="eastAsia"/>
          <w:b/>
          <w:bCs/>
        </w:rPr>
        <w:t>六是</w:t>
      </w:r>
      <w:r>
        <w:rPr>
          <w:rFonts w:hint="eastAsia"/>
        </w:rPr>
        <w:t>文化旅游体育与传媒支出13.12万元。主要用于文化服务中心免费开放、全民健身中心维护运行项目；</w:t>
      </w:r>
      <w:r>
        <w:rPr>
          <w:rFonts w:hint="eastAsia"/>
          <w:b/>
          <w:bCs/>
        </w:rPr>
        <w:t>七是</w:t>
      </w:r>
      <w:r>
        <w:rPr>
          <w:rFonts w:hint="eastAsia"/>
        </w:rPr>
        <w:t>城乡社区支出37.78万元。主要用于市政和公益设施运行维护；</w:t>
      </w:r>
      <w:r>
        <w:rPr>
          <w:rFonts w:hint="eastAsia"/>
          <w:b/>
          <w:bCs/>
        </w:rPr>
        <w:t>八是</w:t>
      </w:r>
      <w:r>
        <w:rPr>
          <w:rFonts w:hint="eastAsia"/>
        </w:rPr>
        <w:t>交通运输支出15.87万元。主要用于公路养护、农村公路项目。</w:t>
      </w:r>
    </w:p>
    <w:p>
      <w:pPr>
        <w:spacing w:line="579" w:lineRule="exact"/>
        <w:jc w:val="center"/>
        <w:rPr>
          <w:rFonts w:eastAsia="黑体"/>
          <w:bCs/>
        </w:rPr>
      </w:pPr>
      <w:r>
        <w:rPr>
          <w:rFonts w:hint="eastAsia" w:eastAsia="黑体"/>
          <w:bCs/>
        </w:rPr>
        <w:t>岚天2023</w:t>
      </w:r>
      <w:r>
        <w:rPr>
          <w:rFonts w:eastAsia="黑体"/>
          <w:bCs/>
        </w:rPr>
        <w:t>年预算收支平衡表</w:t>
      </w:r>
    </w:p>
    <w:p>
      <w:pPr>
        <w:spacing w:line="579" w:lineRule="exact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单位：万元</w:t>
      </w:r>
    </w:p>
    <w:tbl>
      <w:tblPr>
        <w:tblStyle w:val="5"/>
        <w:tblpPr w:leftFromText="180" w:rightFromText="180" w:vertAnchor="text" w:horzAnchor="page" w:tblpX="1603" w:tblpY="550"/>
        <w:tblOverlap w:val="never"/>
        <w:tblW w:w="88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6"/>
        <w:gridCol w:w="1600"/>
        <w:gridCol w:w="3084"/>
        <w:gridCol w:w="1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黑体"/>
                <w:bCs/>
                <w:sz w:val="24"/>
                <w:szCs w:val="24"/>
              </w:rPr>
              <w:t>收    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黑体"/>
                <w:bCs/>
                <w:sz w:val="24"/>
                <w:szCs w:val="24"/>
              </w:rPr>
              <w:t>执行数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黑体"/>
                <w:bCs/>
                <w:sz w:val="24"/>
                <w:szCs w:val="24"/>
              </w:rPr>
              <w:t>支    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黑体"/>
                <w:bCs/>
                <w:sz w:val="24"/>
                <w:szCs w:val="24"/>
              </w:rPr>
              <w:t>执行数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总  计</w:t>
            </w:r>
          </w:p>
        </w:tc>
        <w:tc>
          <w:tcPr>
            <w:tcW w:w="1600" w:type="dxa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1526.42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总计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1526.42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一、财政预算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总</w:t>
            </w:r>
            <w:r>
              <w:rPr>
                <w:rFonts w:eastAsia="黑体"/>
                <w:kern w:val="0"/>
                <w:sz w:val="24"/>
                <w:szCs w:val="24"/>
              </w:rPr>
              <w:t>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1526.42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一、预算支出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1526.42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ind w:firstLine="400" w:firstLineChars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一般</w:t>
            </w:r>
            <w:r>
              <w:rPr>
                <w:rFonts w:hint="eastAsia"/>
                <w:kern w:val="0"/>
                <w:sz w:val="20"/>
                <w:szCs w:val="20"/>
              </w:rPr>
              <w:t>公共预算收入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1514.94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ind w:firstLine="400" w:firstLineChars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396.98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ind w:firstLine="400" w:firstLineChars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政府性基金</w:t>
            </w:r>
            <w:r>
              <w:rPr>
                <w:kern w:val="0"/>
                <w:sz w:val="20"/>
                <w:szCs w:val="20"/>
              </w:rPr>
              <w:t>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11.47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ind w:firstLine="400" w:firstLineChars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23.55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rPr>
                <w:rFonts w:eastAsia="宋体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二、上年结转收入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ind w:firstLine="400" w:firstLineChars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96.03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ind w:firstLine="660" w:firstLineChars="30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ind w:firstLine="400" w:firstLineChars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卫生健康</w:t>
            </w:r>
            <w:r>
              <w:rPr>
                <w:kern w:val="0"/>
                <w:sz w:val="20"/>
                <w:szCs w:val="20"/>
              </w:rPr>
              <w:t>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47.34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ind w:firstLine="660" w:firstLineChars="30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ind w:firstLine="400" w:firstLineChars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37.78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ind w:firstLine="400" w:firstLineChars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865.87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ind w:firstLine="400" w:firstLineChars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15.87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ind w:firstLine="400" w:firstLineChars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ind w:firstLine="400" w:firstLineChars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38</w:t>
            </w:r>
          </w:p>
        </w:tc>
      </w:tr>
    </w:tbl>
    <w:p>
      <w:pPr>
        <w:spacing w:line="579" w:lineRule="exact"/>
      </w:pPr>
    </w:p>
    <w:p>
      <w:pPr>
        <w:spacing w:line="579" w:lineRule="exact"/>
      </w:pPr>
    </w:p>
    <w:p>
      <w:pPr>
        <w:pStyle w:val="2"/>
        <w:ind w:firstLine="640"/>
      </w:pPr>
    </w:p>
    <w:p>
      <w:pPr>
        <w:spacing w:line="579" w:lineRule="exact"/>
        <w:ind w:firstLine="640" w:firstLineChars="200"/>
        <w:rPr>
          <w:rFonts w:eastAsia="方正楷体_GBK"/>
          <w:b/>
        </w:rPr>
      </w:pPr>
      <w:r>
        <w:rPr>
          <w:rFonts w:eastAsia="方正楷体_GBK"/>
          <w:b/>
        </w:rPr>
        <w:t>（三）</w:t>
      </w:r>
      <w:r>
        <w:rPr>
          <w:rFonts w:hint="eastAsia" w:eastAsia="方正楷体_GBK"/>
          <w:b/>
        </w:rPr>
        <w:t>2023</w:t>
      </w:r>
      <w:r>
        <w:rPr>
          <w:rFonts w:eastAsia="方正楷体_GBK"/>
          <w:b/>
        </w:rPr>
        <w:t>年财政预算开展情况</w:t>
      </w:r>
    </w:p>
    <w:p>
      <w:pPr>
        <w:spacing w:line="579" w:lineRule="exact"/>
        <w:ind w:firstLine="640" w:firstLineChars="200"/>
      </w:pPr>
      <w:r>
        <w:rPr>
          <w:rFonts w:hint="eastAsia"/>
        </w:rPr>
        <w:t>2023年财政工作紧紧围绕全面实现财政各项目标任务，坚持“保工资、保运转、保基本民生”的工作总基调，在优化财政制度，提高理财水平，服务全乡经济建设和社会发展，具体做了以下几项工作：</w:t>
      </w:r>
    </w:p>
    <w:p>
      <w:pPr>
        <w:pStyle w:val="2"/>
        <w:spacing w:line="579" w:lineRule="exact"/>
        <w:ind w:firstLine="640"/>
      </w:pPr>
      <w:r>
        <w:rPr>
          <w:rFonts w:hint="eastAsia"/>
          <w:b/>
          <w:bCs/>
        </w:rPr>
        <w:t>一是统筹安排财力，确保政府正常运转。</w:t>
      </w:r>
      <w:r>
        <w:rPr>
          <w:rFonts w:hint="eastAsia"/>
        </w:rPr>
        <w:t>我乡在2023年将支出重点进一步转移到政府正常运转和基本民生的需求上来。保障乡村两级干部职工工资及时足额拨付，在保证合理的日常耗材开支前提下，按照上级“过紧日子”举措的要求，压缩一般支出、杜绝浪费，确保了机关内部的正常运转。</w:t>
      </w:r>
    </w:p>
    <w:p>
      <w:pPr>
        <w:spacing w:line="579" w:lineRule="exact"/>
        <w:ind w:firstLine="640" w:firstLineChars="200"/>
      </w:pPr>
      <w:r>
        <w:rPr>
          <w:rFonts w:hint="eastAsia"/>
          <w:b/>
          <w:bCs/>
        </w:rPr>
        <w:t>二是落实各项政策，重点工作顺利开展。</w:t>
      </w:r>
      <w:r>
        <w:rPr>
          <w:rFonts w:hint="eastAsia"/>
        </w:rPr>
        <w:t>为全面落实国家各种惠民及涉农政策，把事关全乡群众切身利益、全乡经济发展的大事办实、办好，在乡党委、政府高度重视下，加强了各类资金的管理，各职能科室职责分明，密切配合，用于乡村振兴的各项开支超1千万元，其中累计发放产业到户资金超50万元。</w:t>
      </w:r>
    </w:p>
    <w:p>
      <w:pPr>
        <w:pStyle w:val="2"/>
        <w:spacing w:line="579" w:lineRule="exact"/>
        <w:ind w:firstLine="640"/>
      </w:pPr>
      <w:r>
        <w:rPr>
          <w:rFonts w:hint="eastAsia"/>
          <w:b/>
          <w:bCs/>
          <w:szCs w:val="32"/>
        </w:rPr>
        <w:t>三是加强资金监管，完善财政管理制度。</w:t>
      </w:r>
      <w:r>
        <w:rPr>
          <w:rFonts w:hint="eastAsia"/>
        </w:rPr>
        <w:t>细化预算编制和审核，全面公开预决算，继续认真执行中央八项规定精神，严格控制“三公经费”支出，坚持以监督检查为手段，继续在“严监督、促规范”上下功夫。在农业项目、村级财务等重点领域加大监督检查力度，建立健全财政资金使用的预算管理机制，提升财政资金使用效益。</w:t>
      </w:r>
    </w:p>
    <w:p>
      <w:pPr>
        <w:spacing w:line="579" w:lineRule="exact"/>
        <w:ind w:firstLine="640" w:firstLineChars="200"/>
        <w:jc w:val="left"/>
        <w:rPr>
          <w:rFonts w:eastAsia="方正黑体_GBK"/>
        </w:rPr>
      </w:pPr>
    </w:p>
    <w:p>
      <w:pPr>
        <w:spacing w:line="579" w:lineRule="exact"/>
        <w:ind w:firstLine="640" w:firstLineChars="200"/>
        <w:jc w:val="left"/>
        <w:rPr>
          <w:rFonts w:eastAsia="方正黑体_GBK"/>
        </w:rPr>
      </w:pPr>
      <w:r>
        <w:rPr>
          <w:rFonts w:eastAsia="方正黑体_GBK"/>
        </w:rPr>
        <w:t>二、</w:t>
      </w:r>
      <w:r>
        <w:rPr>
          <w:rFonts w:hint="eastAsia" w:eastAsia="方正黑体_GBK"/>
        </w:rPr>
        <w:t>2024</w:t>
      </w:r>
      <w:r>
        <w:rPr>
          <w:rFonts w:eastAsia="方正黑体_GBK"/>
        </w:rPr>
        <w:t>年度财政预算安排</w:t>
      </w:r>
    </w:p>
    <w:p>
      <w:pPr>
        <w:spacing w:line="579" w:lineRule="exact"/>
        <w:ind w:firstLine="640" w:firstLineChars="200"/>
      </w:pPr>
      <w:r>
        <w:rPr>
          <w:rFonts w:hint="eastAsia"/>
        </w:rPr>
        <w:t>2024年我乡的预算编制工作严格执行《中华人民共和国预算法》，自加压力；坚持量入为出，量力而行，调整支出结构，确保重点需要；坚持常态化过“紧日子”，严格按标准发放津补贴，大力压缩办公经费，严控一般性支出，做到不该花钱的坚决不花，该花的钱省着花，把有限的资金用在“刀刃”上</w:t>
      </w:r>
      <w:r>
        <w:t>。</w:t>
      </w:r>
    </w:p>
    <w:p>
      <w:pPr>
        <w:spacing w:line="579" w:lineRule="exact"/>
        <w:ind w:firstLine="640" w:firstLineChars="200"/>
      </w:pPr>
      <w:r>
        <w:t>根据上述原则和</w:t>
      </w:r>
      <w:r>
        <w:rPr>
          <w:rFonts w:hint="eastAsia"/>
        </w:rPr>
        <w:t>2024</w:t>
      </w:r>
      <w:r>
        <w:t>年经济社会发展目标，综合考虑我</w:t>
      </w:r>
      <w:r>
        <w:rPr>
          <w:rFonts w:hint="eastAsia"/>
        </w:rPr>
        <w:t>乡</w:t>
      </w:r>
      <w:r>
        <w:t>的实际情况，经测算，编制了</w:t>
      </w:r>
      <w:r>
        <w:rPr>
          <w:rFonts w:hint="eastAsia"/>
        </w:rPr>
        <w:t>2024</w:t>
      </w:r>
      <w:r>
        <w:t>年财政预算草案，具体安排如下：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hint="eastAsia"/>
        </w:rPr>
      </w:pPr>
      <w:r>
        <w:rPr>
          <w:rFonts w:hint="eastAsia"/>
        </w:rPr>
        <w:t>收入预算：预算数816.79万元，其中：一般公共预算拨款816.79万元，比2023年减少553.16万元，主要是因为年初预算项目减少；政府性基金预算拨款0万元，国有资本经营预算收入0万元，事业收入0万元，事业单位经营收入0万元，其他收入0万元。年初预算数较2023年年初预算数减少541.69万元，主要是年初下达的预算项目与政府性基金预算拨款减少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="217" w:beforeLines="50" w:line="579" w:lineRule="exact"/>
        <w:jc w:val="center"/>
        <w:rPr>
          <w:rFonts w:hint="eastAsia" w:ascii="Times New Roman" w:hAnsi="Times New Roman" w:eastAsia="方正小标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32"/>
          <w:szCs w:val="32"/>
          <w:lang w:val="en-US" w:eastAsia="zh-CN"/>
        </w:rPr>
        <w:t>分单位预算明细表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left="0" w:right="0" w:firstLine="6720" w:firstLineChars="2800"/>
        <w:jc w:val="left"/>
        <w:rPr>
          <w:rFonts w:hint="eastAsia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417"/>
        <w:gridCol w:w="1100"/>
        <w:gridCol w:w="1467"/>
        <w:gridCol w:w="1316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单位编码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人员类经费小计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公用经费类小计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项目类小计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903001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城口县岚天乡人民政府（本级）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541.72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367.20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19.78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154.74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903002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岚天乡农业服务中心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169.32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150.68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18.65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903003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岚天乡文化服务中心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29.17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29.17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903004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岚天乡劳动就业和社会保障服务所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27.92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27.92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903005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岚天乡退役军人服务站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16.04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16.04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903006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岚天乡综合行政执法大队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32.61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32.61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numPr>
          <w:numId w:val="0"/>
        </w:numPr>
      </w:pPr>
    </w:p>
    <w:p>
      <w:pPr>
        <w:numPr>
          <w:ilvl w:val="0"/>
          <w:numId w:val="1"/>
        </w:numPr>
        <w:spacing w:line="579" w:lineRule="exact"/>
        <w:ind w:left="0" w:leftChars="0" w:firstLine="640" w:firstLineChars="200"/>
        <w:rPr>
          <w:rFonts w:hint="eastAsia"/>
        </w:rPr>
      </w:pPr>
      <w:r>
        <w:rPr>
          <w:rFonts w:hint="eastAsia"/>
        </w:rPr>
        <w:t>支出预算：支出预算：2024年年初预算数816.79万元，其中：一般公共服务支出预算341.76万元，比2023年减少26.89万元，主要是人员待遇减少；社会保障和就业支出预算120.46万元，比2023年增加12.6万元，主要是社会保险费增加；卫生健康支出预算32.51万元，比2023年增加8.88万元，主要是医疗相关开支略有增加；住房保障支出预算40.53万元，比2023年增加2.53万元，主要是因为住房公积金调整标准；城乡社区支出30万元，比2023年减少了11.47万元，主要是公路养护项目资金的减少；农林水支出232.50万元，比2023年减少532.41万元，主要原因是非刚性项目减少，产业类项目增加；文化旅游体育与传媒支出19.02万元，比2023年减少6.41万元，主要是在年初预算体育馆的相关开支减少了。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bidi w:val="0"/>
        <w:spacing w:before="217" w:beforeLines="50" w:line="579" w:lineRule="exact"/>
        <w:jc w:val="center"/>
        <w:rPr>
          <w:rFonts w:hint="eastAsia" w:ascii="Times New Roman" w:hAnsi="Times New Roman" w:eastAsia="方正小标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32"/>
          <w:szCs w:val="32"/>
          <w:lang w:val="en-US" w:eastAsia="zh-CN"/>
        </w:rPr>
        <w:t>分单位预算明细表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left="0" w:right="0" w:firstLine="6720" w:firstLineChars="2800"/>
        <w:jc w:val="left"/>
        <w:rPr>
          <w:rFonts w:hint="eastAsia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417"/>
        <w:gridCol w:w="1100"/>
        <w:gridCol w:w="1467"/>
        <w:gridCol w:w="1316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单位编码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人员类经费小计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公用经费类小计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项目类小计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903001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城口县岚天乡人民政府（本级）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541.72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367.20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19.78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154.74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903002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岚天乡农业服务中心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169.32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150.68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18.65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903003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岚天乡文化服务中心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29.17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29.17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903004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岚天乡劳动就业和社会保障服务所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27.92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27.92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903005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岚天乡退役军人服务站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16.04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16.04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903006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岚天乡综合行政执法大队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32.61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32.61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8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numPr>
          <w:numId w:val="0"/>
        </w:numPr>
        <w:ind w:leftChars="200"/>
      </w:pPr>
    </w:p>
    <w:p>
      <w:pPr>
        <w:spacing w:line="579" w:lineRule="exact"/>
        <w:ind w:firstLine="640" w:firstLineChars="200"/>
        <w:jc w:val="left"/>
        <w:rPr>
          <w:rFonts w:eastAsia="方正黑体_GBK"/>
        </w:rPr>
      </w:pPr>
      <w:r>
        <w:rPr>
          <w:rFonts w:eastAsia="方正黑体_GBK"/>
        </w:rPr>
        <w:t>三、</w:t>
      </w:r>
      <w:r>
        <w:rPr>
          <w:rFonts w:hint="eastAsia" w:eastAsia="方正黑体_GBK"/>
        </w:rPr>
        <w:t>2024</w:t>
      </w:r>
      <w:r>
        <w:rPr>
          <w:rFonts w:eastAsia="方正黑体_GBK"/>
        </w:rPr>
        <w:t>年财政主要工作</w:t>
      </w:r>
    </w:p>
    <w:p>
      <w:pPr>
        <w:spacing w:line="579" w:lineRule="exact"/>
        <w:ind w:firstLine="640" w:firstLineChars="200"/>
      </w:pPr>
      <w:r>
        <w:t>各位代表，</w:t>
      </w:r>
      <w:r>
        <w:rPr>
          <w:rFonts w:hint="eastAsia"/>
        </w:rPr>
        <w:t>2024年我们将在乡党委的坚强领导下，在乡人大监督下，适应新常态，落实新举措，重点抓好以下工作：</w:t>
      </w:r>
    </w:p>
    <w:p>
      <w:pPr>
        <w:spacing w:line="579" w:lineRule="exact"/>
        <w:ind w:firstLine="640" w:firstLineChars="200"/>
        <w:rPr>
          <w:b/>
          <w:bCs/>
        </w:rPr>
      </w:pPr>
      <w:r>
        <w:rPr>
          <w:rFonts w:hint="eastAsia" w:ascii="方正楷体_GBK" w:eastAsia="方正楷体_GBK"/>
          <w:b/>
          <w:bCs/>
        </w:rPr>
        <w:t>（一）优化结构，支持全乡发展</w:t>
      </w:r>
      <w:r>
        <w:rPr>
          <w:rFonts w:hint="eastAsia"/>
          <w:b/>
          <w:bCs/>
        </w:rPr>
        <w:t>。</w:t>
      </w:r>
    </w:p>
    <w:p>
      <w:pPr>
        <w:spacing w:line="579" w:lineRule="exact"/>
        <w:ind w:firstLine="640" w:firstLineChars="200"/>
      </w:pPr>
      <w:r>
        <w:rPr>
          <w:rFonts w:hint="eastAsia"/>
        </w:rPr>
        <w:t>一是继续优化乡村振兴相关项目的资金使用，做好资金管理台账、数据统计分析等工作；二是财政保障重点突出，加大资金统筹，优先用于“保工资、保运转、保基本民生”。</w:t>
      </w:r>
    </w:p>
    <w:p>
      <w:pPr>
        <w:spacing w:line="579" w:lineRule="exact"/>
        <w:ind w:firstLine="640" w:firstLineChars="200"/>
        <w:rPr>
          <w:rFonts w:ascii="方正楷体_GBK" w:eastAsia="方正楷体_GBK"/>
          <w:b/>
          <w:bCs/>
        </w:rPr>
      </w:pPr>
      <w:r>
        <w:rPr>
          <w:rFonts w:hint="eastAsia" w:ascii="方正楷体_GBK" w:eastAsia="方正楷体_GBK"/>
          <w:b/>
          <w:bCs/>
        </w:rPr>
        <w:t>（二）深化改革，加强财政管理。</w:t>
      </w:r>
    </w:p>
    <w:p>
      <w:pPr>
        <w:spacing w:line="579" w:lineRule="exact"/>
        <w:ind w:firstLine="640" w:firstLineChars="200"/>
      </w:pPr>
      <w:r>
        <w:rPr>
          <w:rFonts w:hint="eastAsia"/>
        </w:rPr>
        <w:t>一是不断完善财政预算管理改革，切实缓解财政困难；二是进一步提升财政科学化精细化管理水平，不断完善财政监督机制，主动接受乡人大监督，提高财政资金的使用效益。</w:t>
      </w:r>
    </w:p>
    <w:p>
      <w:pPr>
        <w:spacing w:line="579" w:lineRule="exact"/>
        <w:ind w:firstLine="640" w:firstLineChars="200"/>
        <w:rPr>
          <w:rFonts w:ascii="方正楷体_GBK" w:eastAsia="方正楷体_GBK"/>
          <w:b/>
          <w:bCs/>
        </w:rPr>
      </w:pPr>
      <w:r>
        <w:rPr>
          <w:rFonts w:hint="eastAsia" w:ascii="方正楷体_GBK" w:eastAsia="方正楷体_GBK"/>
          <w:b/>
          <w:bCs/>
        </w:rPr>
        <w:t>（三）服务大局，提升工作能力。</w:t>
      </w:r>
    </w:p>
    <w:p>
      <w:pPr>
        <w:spacing w:line="579" w:lineRule="exact"/>
        <w:ind w:firstLine="640" w:firstLineChars="200"/>
      </w:pPr>
      <w:r>
        <w:rPr>
          <w:rFonts w:hint="eastAsia"/>
        </w:rPr>
        <w:t>加强学习，不断提升财务素养：学党规党纪，守做人做事底线；学专业知识，提升财务业务能力；学职业操守，预防原则性错误。做到心中有数、心有戒尺，不越界、不超标、不违规，做坚决执行财经纪律法规的明白人和带头人。</w:t>
      </w:r>
    </w:p>
    <w:p>
      <w:pPr>
        <w:spacing w:line="579" w:lineRule="exact"/>
        <w:ind w:firstLine="640" w:firstLineChars="200"/>
      </w:pPr>
      <w:r>
        <w:rPr>
          <w:rFonts w:hint="eastAsia"/>
        </w:rPr>
        <w:t>过去一年，我乡财政工作稳中求进，取得的成绩来之不易。这是乡党委正确领导的结果，是乡人大关心帮助的结果，是全乡上下齐心协力努力的结果。借此机会，谨向各位代表对财政工作的理解和支持表示衷心的感谢！在取得成绩的同时，我们也清醒地看到工作中存在的薄弱环节和须完善的地方，对此，我们坚持问题导向，提振信心，共克时艰。2024年，我们要正确运用财政政策，充分理解，积极配合，按照乡党委、政府的年度安排，求真务实、真抓实干，力争财政工作迈上新的台阶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4A64C"/>
    <w:multiLevelType w:val="singleLevel"/>
    <w:tmpl w:val="6C54A6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1Y2FkNDlmYjE0YTY4ZTFjZjA5OGQxZjE4ZWY3ZmIifQ=="/>
    <w:docVar w:name="KSO_WPS_MARK_KEY" w:val="eabc2921-38f1-4456-aef5-ebd8419accaa"/>
  </w:docVars>
  <w:rsids>
    <w:rsidRoot w:val="036A69FF"/>
    <w:rsid w:val="00022088"/>
    <w:rsid w:val="00096BA5"/>
    <w:rsid w:val="000D2132"/>
    <w:rsid w:val="000E5605"/>
    <w:rsid w:val="00174298"/>
    <w:rsid w:val="001C42F8"/>
    <w:rsid w:val="00251FCC"/>
    <w:rsid w:val="002B070F"/>
    <w:rsid w:val="002F6CEC"/>
    <w:rsid w:val="0031612E"/>
    <w:rsid w:val="00352193"/>
    <w:rsid w:val="00371493"/>
    <w:rsid w:val="00376783"/>
    <w:rsid w:val="003A0012"/>
    <w:rsid w:val="003B580E"/>
    <w:rsid w:val="00437038"/>
    <w:rsid w:val="00530A2F"/>
    <w:rsid w:val="00571BE2"/>
    <w:rsid w:val="005845ED"/>
    <w:rsid w:val="005B3323"/>
    <w:rsid w:val="00614218"/>
    <w:rsid w:val="006404DD"/>
    <w:rsid w:val="00645762"/>
    <w:rsid w:val="007200AE"/>
    <w:rsid w:val="0072212E"/>
    <w:rsid w:val="007C4868"/>
    <w:rsid w:val="00815785"/>
    <w:rsid w:val="00864952"/>
    <w:rsid w:val="008F6F0E"/>
    <w:rsid w:val="0097705E"/>
    <w:rsid w:val="009D0DF8"/>
    <w:rsid w:val="009F2890"/>
    <w:rsid w:val="009F6EAD"/>
    <w:rsid w:val="00A4361E"/>
    <w:rsid w:val="00AF0E76"/>
    <w:rsid w:val="00AF30B3"/>
    <w:rsid w:val="00B500B0"/>
    <w:rsid w:val="00B712E8"/>
    <w:rsid w:val="00B93253"/>
    <w:rsid w:val="00BA773F"/>
    <w:rsid w:val="00BE4592"/>
    <w:rsid w:val="00C152BB"/>
    <w:rsid w:val="00C17E4E"/>
    <w:rsid w:val="00C94BAE"/>
    <w:rsid w:val="00CA708A"/>
    <w:rsid w:val="00CF1E56"/>
    <w:rsid w:val="00EF593F"/>
    <w:rsid w:val="00F07CB0"/>
    <w:rsid w:val="00F369EB"/>
    <w:rsid w:val="00F461CA"/>
    <w:rsid w:val="00FA2A82"/>
    <w:rsid w:val="00FE4242"/>
    <w:rsid w:val="016320EC"/>
    <w:rsid w:val="0179586B"/>
    <w:rsid w:val="018856AF"/>
    <w:rsid w:val="0192652E"/>
    <w:rsid w:val="01FC137D"/>
    <w:rsid w:val="02773BFA"/>
    <w:rsid w:val="02900CBF"/>
    <w:rsid w:val="02DA1F3A"/>
    <w:rsid w:val="0308202D"/>
    <w:rsid w:val="030F42DA"/>
    <w:rsid w:val="035E6819"/>
    <w:rsid w:val="03661A20"/>
    <w:rsid w:val="036A69FF"/>
    <w:rsid w:val="037F208C"/>
    <w:rsid w:val="03990198"/>
    <w:rsid w:val="039C3367"/>
    <w:rsid w:val="03B6495C"/>
    <w:rsid w:val="04304206"/>
    <w:rsid w:val="048900BC"/>
    <w:rsid w:val="04964816"/>
    <w:rsid w:val="04B81CC7"/>
    <w:rsid w:val="05432019"/>
    <w:rsid w:val="05573E0F"/>
    <w:rsid w:val="05DD06BF"/>
    <w:rsid w:val="06066D99"/>
    <w:rsid w:val="06205024"/>
    <w:rsid w:val="06500E91"/>
    <w:rsid w:val="06622900"/>
    <w:rsid w:val="0679141B"/>
    <w:rsid w:val="06844541"/>
    <w:rsid w:val="06904454"/>
    <w:rsid w:val="069F7270"/>
    <w:rsid w:val="06B058C5"/>
    <w:rsid w:val="06E3407D"/>
    <w:rsid w:val="073A38EF"/>
    <w:rsid w:val="07E01DA1"/>
    <w:rsid w:val="080A32C2"/>
    <w:rsid w:val="081C4DA3"/>
    <w:rsid w:val="082A119F"/>
    <w:rsid w:val="08592CFB"/>
    <w:rsid w:val="086C1887"/>
    <w:rsid w:val="088315C7"/>
    <w:rsid w:val="089424EA"/>
    <w:rsid w:val="089B3ED6"/>
    <w:rsid w:val="08B600A0"/>
    <w:rsid w:val="08D06EA8"/>
    <w:rsid w:val="096766B3"/>
    <w:rsid w:val="09D23A07"/>
    <w:rsid w:val="09EC2C31"/>
    <w:rsid w:val="0A726EFC"/>
    <w:rsid w:val="0AC3352F"/>
    <w:rsid w:val="0AE63F52"/>
    <w:rsid w:val="0AF629C3"/>
    <w:rsid w:val="0B127A9E"/>
    <w:rsid w:val="0B235973"/>
    <w:rsid w:val="0BC27018"/>
    <w:rsid w:val="0C1116EC"/>
    <w:rsid w:val="0C4D7C21"/>
    <w:rsid w:val="0CDF7D81"/>
    <w:rsid w:val="0D6D5497"/>
    <w:rsid w:val="0EE54141"/>
    <w:rsid w:val="0EFD148A"/>
    <w:rsid w:val="0F4C5F6E"/>
    <w:rsid w:val="0FB0474F"/>
    <w:rsid w:val="0FBB0832"/>
    <w:rsid w:val="0FBE106C"/>
    <w:rsid w:val="104065AF"/>
    <w:rsid w:val="1053332C"/>
    <w:rsid w:val="10817E99"/>
    <w:rsid w:val="10D2481C"/>
    <w:rsid w:val="110C7558"/>
    <w:rsid w:val="111A059F"/>
    <w:rsid w:val="116E1E16"/>
    <w:rsid w:val="117436F1"/>
    <w:rsid w:val="11AE50A3"/>
    <w:rsid w:val="11E51DE0"/>
    <w:rsid w:val="11FD79F3"/>
    <w:rsid w:val="12041F1B"/>
    <w:rsid w:val="122C31B5"/>
    <w:rsid w:val="12367382"/>
    <w:rsid w:val="124141DE"/>
    <w:rsid w:val="125064AD"/>
    <w:rsid w:val="12D544CC"/>
    <w:rsid w:val="148443FC"/>
    <w:rsid w:val="151412DC"/>
    <w:rsid w:val="151C0C01"/>
    <w:rsid w:val="1573694A"/>
    <w:rsid w:val="157A40EC"/>
    <w:rsid w:val="15F01D49"/>
    <w:rsid w:val="161F40FD"/>
    <w:rsid w:val="16273291"/>
    <w:rsid w:val="16730284"/>
    <w:rsid w:val="16B335E3"/>
    <w:rsid w:val="16CF5E02"/>
    <w:rsid w:val="179C0B07"/>
    <w:rsid w:val="188C3E96"/>
    <w:rsid w:val="189C160A"/>
    <w:rsid w:val="18FE29CF"/>
    <w:rsid w:val="193208CA"/>
    <w:rsid w:val="198942B4"/>
    <w:rsid w:val="19F85670"/>
    <w:rsid w:val="1A0607B4"/>
    <w:rsid w:val="1A3C5681"/>
    <w:rsid w:val="1A4F21E1"/>
    <w:rsid w:val="1BC25857"/>
    <w:rsid w:val="1C6034FA"/>
    <w:rsid w:val="1D8334A3"/>
    <w:rsid w:val="1D84165D"/>
    <w:rsid w:val="1D8D2573"/>
    <w:rsid w:val="1E072BBD"/>
    <w:rsid w:val="1EF04B68"/>
    <w:rsid w:val="1F100DF1"/>
    <w:rsid w:val="1F642E60"/>
    <w:rsid w:val="1F72557D"/>
    <w:rsid w:val="1FB42039"/>
    <w:rsid w:val="21665E8A"/>
    <w:rsid w:val="21935C7E"/>
    <w:rsid w:val="22816680"/>
    <w:rsid w:val="22B660C8"/>
    <w:rsid w:val="22DA0497"/>
    <w:rsid w:val="22F468B4"/>
    <w:rsid w:val="22FA349E"/>
    <w:rsid w:val="23A2450F"/>
    <w:rsid w:val="23BA2377"/>
    <w:rsid w:val="23E80503"/>
    <w:rsid w:val="24031AA3"/>
    <w:rsid w:val="24293BFF"/>
    <w:rsid w:val="243472A5"/>
    <w:rsid w:val="244F0582"/>
    <w:rsid w:val="24627354"/>
    <w:rsid w:val="24B7381B"/>
    <w:rsid w:val="251470D6"/>
    <w:rsid w:val="25CA4303"/>
    <w:rsid w:val="25CB59E7"/>
    <w:rsid w:val="25E923FE"/>
    <w:rsid w:val="260E2297"/>
    <w:rsid w:val="26C8461C"/>
    <w:rsid w:val="270D78FD"/>
    <w:rsid w:val="27A230CD"/>
    <w:rsid w:val="27EA6B8B"/>
    <w:rsid w:val="287C6729"/>
    <w:rsid w:val="2941570F"/>
    <w:rsid w:val="2A053671"/>
    <w:rsid w:val="2A2C420B"/>
    <w:rsid w:val="2A650A7F"/>
    <w:rsid w:val="2A6A004E"/>
    <w:rsid w:val="2A767F61"/>
    <w:rsid w:val="2A790107"/>
    <w:rsid w:val="2AE632C3"/>
    <w:rsid w:val="2B5F7AA0"/>
    <w:rsid w:val="2C1B24B7"/>
    <w:rsid w:val="2CF06AA4"/>
    <w:rsid w:val="2DBE4083"/>
    <w:rsid w:val="2E985043"/>
    <w:rsid w:val="2ECB2EFB"/>
    <w:rsid w:val="2EE24ADE"/>
    <w:rsid w:val="2F22326E"/>
    <w:rsid w:val="2F383909"/>
    <w:rsid w:val="2FAD083B"/>
    <w:rsid w:val="303178C8"/>
    <w:rsid w:val="3062163D"/>
    <w:rsid w:val="306F6260"/>
    <w:rsid w:val="30F267A4"/>
    <w:rsid w:val="319E2998"/>
    <w:rsid w:val="31BE0AF5"/>
    <w:rsid w:val="321E00C2"/>
    <w:rsid w:val="32250B75"/>
    <w:rsid w:val="322F22CD"/>
    <w:rsid w:val="32562ADC"/>
    <w:rsid w:val="3271232B"/>
    <w:rsid w:val="334546BD"/>
    <w:rsid w:val="33661445"/>
    <w:rsid w:val="33934630"/>
    <w:rsid w:val="33E67E90"/>
    <w:rsid w:val="350F206D"/>
    <w:rsid w:val="35160976"/>
    <w:rsid w:val="35E623C9"/>
    <w:rsid w:val="36185302"/>
    <w:rsid w:val="36A21095"/>
    <w:rsid w:val="36DE7751"/>
    <w:rsid w:val="3730586C"/>
    <w:rsid w:val="374F2931"/>
    <w:rsid w:val="37DC3A83"/>
    <w:rsid w:val="37F45271"/>
    <w:rsid w:val="383E040F"/>
    <w:rsid w:val="38493379"/>
    <w:rsid w:val="386B55E8"/>
    <w:rsid w:val="38D16477"/>
    <w:rsid w:val="396401D4"/>
    <w:rsid w:val="3A1C0AAF"/>
    <w:rsid w:val="3AC151B3"/>
    <w:rsid w:val="3AD273C0"/>
    <w:rsid w:val="3AEE2C15"/>
    <w:rsid w:val="3B117C59"/>
    <w:rsid w:val="3B345984"/>
    <w:rsid w:val="3B6D3DD0"/>
    <w:rsid w:val="3B6D5D17"/>
    <w:rsid w:val="3B7D7C35"/>
    <w:rsid w:val="3B7F69C0"/>
    <w:rsid w:val="3C333E8E"/>
    <w:rsid w:val="3C574020"/>
    <w:rsid w:val="3C602FA7"/>
    <w:rsid w:val="3C746980"/>
    <w:rsid w:val="3CB26E49"/>
    <w:rsid w:val="3D530D1E"/>
    <w:rsid w:val="3D5C24FC"/>
    <w:rsid w:val="3D812E72"/>
    <w:rsid w:val="3EC55192"/>
    <w:rsid w:val="3FBF41FB"/>
    <w:rsid w:val="40175FA1"/>
    <w:rsid w:val="406D3E12"/>
    <w:rsid w:val="409105ED"/>
    <w:rsid w:val="42AF5B8C"/>
    <w:rsid w:val="43213852"/>
    <w:rsid w:val="439873F8"/>
    <w:rsid w:val="439E7213"/>
    <w:rsid w:val="43E77A38"/>
    <w:rsid w:val="440A384D"/>
    <w:rsid w:val="44887DD7"/>
    <w:rsid w:val="44B203B6"/>
    <w:rsid w:val="44B27F93"/>
    <w:rsid w:val="45034D45"/>
    <w:rsid w:val="456F3CCC"/>
    <w:rsid w:val="46297D83"/>
    <w:rsid w:val="463030EF"/>
    <w:rsid w:val="4630453C"/>
    <w:rsid w:val="46420E58"/>
    <w:rsid w:val="470641BE"/>
    <w:rsid w:val="47264D1B"/>
    <w:rsid w:val="47746789"/>
    <w:rsid w:val="478C12C9"/>
    <w:rsid w:val="47D2285B"/>
    <w:rsid w:val="48284AC3"/>
    <w:rsid w:val="48FE4EC1"/>
    <w:rsid w:val="499A6924"/>
    <w:rsid w:val="499E328F"/>
    <w:rsid w:val="49ED31FB"/>
    <w:rsid w:val="4AC22FAD"/>
    <w:rsid w:val="4B5D161B"/>
    <w:rsid w:val="4BA85230"/>
    <w:rsid w:val="4BF74ED8"/>
    <w:rsid w:val="4C83676C"/>
    <w:rsid w:val="4D5D6FBD"/>
    <w:rsid w:val="4E255D2C"/>
    <w:rsid w:val="4F6A776F"/>
    <w:rsid w:val="4FDF63AF"/>
    <w:rsid w:val="4FF3636C"/>
    <w:rsid w:val="50C07F8E"/>
    <w:rsid w:val="50CF76EF"/>
    <w:rsid w:val="50E81293"/>
    <w:rsid w:val="51956802"/>
    <w:rsid w:val="51B40DAA"/>
    <w:rsid w:val="52014AC4"/>
    <w:rsid w:val="52175845"/>
    <w:rsid w:val="522221F9"/>
    <w:rsid w:val="524C30B3"/>
    <w:rsid w:val="527F715B"/>
    <w:rsid w:val="53191BD8"/>
    <w:rsid w:val="53226F7E"/>
    <w:rsid w:val="535F3A8F"/>
    <w:rsid w:val="541D6D95"/>
    <w:rsid w:val="54C067AF"/>
    <w:rsid w:val="54EC75A4"/>
    <w:rsid w:val="55231473"/>
    <w:rsid w:val="556C2493"/>
    <w:rsid w:val="559B0682"/>
    <w:rsid w:val="566318D5"/>
    <w:rsid w:val="56941CA1"/>
    <w:rsid w:val="56AE464A"/>
    <w:rsid w:val="570861EB"/>
    <w:rsid w:val="57976078"/>
    <w:rsid w:val="5813309A"/>
    <w:rsid w:val="589C058D"/>
    <w:rsid w:val="58A2370C"/>
    <w:rsid w:val="58F03A8C"/>
    <w:rsid w:val="5929377D"/>
    <w:rsid w:val="59664E76"/>
    <w:rsid w:val="59971FFB"/>
    <w:rsid w:val="59CA59DA"/>
    <w:rsid w:val="5B2346A2"/>
    <w:rsid w:val="5B6F4A8B"/>
    <w:rsid w:val="5BD717CE"/>
    <w:rsid w:val="5D600B2F"/>
    <w:rsid w:val="5DED681F"/>
    <w:rsid w:val="5E9269E1"/>
    <w:rsid w:val="5ED349B2"/>
    <w:rsid w:val="5F1A2F60"/>
    <w:rsid w:val="5F2A0C4D"/>
    <w:rsid w:val="600357A2"/>
    <w:rsid w:val="6042451C"/>
    <w:rsid w:val="60787F3E"/>
    <w:rsid w:val="609A3FA5"/>
    <w:rsid w:val="60A97F8C"/>
    <w:rsid w:val="60C34E5E"/>
    <w:rsid w:val="60D53B62"/>
    <w:rsid w:val="61623425"/>
    <w:rsid w:val="61DC00F8"/>
    <w:rsid w:val="62115F4A"/>
    <w:rsid w:val="6229770E"/>
    <w:rsid w:val="6313316D"/>
    <w:rsid w:val="63C60FC0"/>
    <w:rsid w:val="63ED479F"/>
    <w:rsid w:val="643621A1"/>
    <w:rsid w:val="64C60DF9"/>
    <w:rsid w:val="65B84CA5"/>
    <w:rsid w:val="65CD0D2C"/>
    <w:rsid w:val="6603474E"/>
    <w:rsid w:val="660D6715"/>
    <w:rsid w:val="66C8194B"/>
    <w:rsid w:val="66CF28B1"/>
    <w:rsid w:val="67747DCC"/>
    <w:rsid w:val="67852F40"/>
    <w:rsid w:val="67BD0555"/>
    <w:rsid w:val="683A40C2"/>
    <w:rsid w:val="692A234C"/>
    <w:rsid w:val="699173C7"/>
    <w:rsid w:val="69DD3304"/>
    <w:rsid w:val="6A7B584F"/>
    <w:rsid w:val="6B9D6906"/>
    <w:rsid w:val="6BC45FB0"/>
    <w:rsid w:val="6C0134DD"/>
    <w:rsid w:val="6C304177"/>
    <w:rsid w:val="6CA4030D"/>
    <w:rsid w:val="6D997745"/>
    <w:rsid w:val="6E094132"/>
    <w:rsid w:val="6E873B25"/>
    <w:rsid w:val="6E895A0C"/>
    <w:rsid w:val="6F5C7A59"/>
    <w:rsid w:val="6FBA39E6"/>
    <w:rsid w:val="6FF269B8"/>
    <w:rsid w:val="70AF5635"/>
    <w:rsid w:val="718909F0"/>
    <w:rsid w:val="719747C8"/>
    <w:rsid w:val="72362C4A"/>
    <w:rsid w:val="726D517B"/>
    <w:rsid w:val="72C6265F"/>
    <w:rsid w:val="72D7075B"/>
    <w:rsid w:val="733739C0"/>
    <w:rsid w:val="73540DBE"/>
    <w:rsid w:val="73DB2866"/>
    <w:rsid w:val="74836A59"/>
    <w:rsid w:val="7487619F"/>
    <w:rsid w:val="74E7348C"/>
    <w:rsid w:val="754E350B"/>
    <w:rsid w:val="75971104"/>
    <w:rsid w:val="759B4DB8"/>
    <w:rsid w:val="76067942"/>
    <w:rsid w:val="762531A6"/>
    <w:rsid w:val="76856D33"/>
    <w:rsid w:val="774A2E27"/>
    <w:rsid w:val="784A620C"/>
    <w:rsid w:val="784F737E"/>
    <w:rsid w:val="78AA6DEC"/>
    <w:rsid w:val="78B2790D"/>
    <w:rsid w:val="7A0D5743"/>
    <w:rsid w:val="7A10776F"/>
    <w:rsid w:val="7A5B4248"/>
    <w:rsid w:val="7B203504"/>
    <w:rsid w:val="7B816E28"/>
    <w:rsid w:val="7C604CF3"/>
    <w:rsid w:val="7C7E6484"/>
    <w:rsid w:val="7CEC5AE4"/>
    <w:rsid w:val="7CF600D5"/>
    <w:rsid w:val="7D221505"/>
    <w:rsid w:val="7D2A1863"/>
    <w:rsid w:val="7D3B4048"/>
    <w:rsid w:val="7DBD4BE4"/>
    <w:rsid w:val="7DC97BD3"/>
    <w:rsid w:val="7DFF24C5"/>
    <w:rsid w:val="7E5F5CDE"/>
    <w:rsid w:val="7E8522CC"/>
    <w:rsid w:val="7E97479D"/>
    <w:rsid w:val="7F131FBF"/>
    <w:rsid w:val="7F71407E"/>
    <w:rsid w:val="7FC20D7E"/>
    <w:rsid w:val="7FC6715F"/>
    <w:rsid w:val="7FD70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DDEA46-CFC9-4861-B4A2-220DBCB92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7</Pages>
  <Words>498</Words>
  <Characters>2845</Characters>
  <Lines>23</Lines>
  <Paragraphs>6</Paragraphs>
  <TotalTime>0</TotalTime>
  <ScaleCrop>false</ScaleCrop>
  <LinksUpToDate>false</LinksUpToDate>
  <CharactersWithSpaces>3337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2024-01-30T03:04:00Z</dcterms:created>
  <dc:creator>不是每个人都会1421565226</dc:creator>
  <cp:lastModifiedBy>Administrator</cp:lastModifiedBy>
  <cp:lastPrinted>2023-02-09T01:30:00Z</cp:lastPrinted>
  <dcterms:modified xsi:type="dcterms:W3CDTF">2024-04-11T02:27:21Z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2682E0FDFF444F2A8D4ED67492999BCF</vt:lpwstr>
  </property>
</Properties>
</file>