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55" w:lineRule="atLeast"/>
        <w:ind w:left="0" w:right="0"/>
        <w:jc w:val="center"/>
      </w:pPr>
      <w:r>
        <w:rPr>
          <w:rFonts w:ascii="方正小标宋_GBK" w:hAnsi="方正小标宋_GBK" w:eastAsia="方正小标宋_GBK" w:cs="方正小标宋_GBK"/>
          <w:sz w:val="43"/>
          <w:szCs w:val="43"/>
          <w:shd w:val="clear" w:fill="FFFFFF"/>
        </w:rPr>
        <w:t>城口县鸡鸣乡</w:t>
      </w:r>
      <w:r>
        <w:rPr>
          <w:rFonts w:hint="eastAsia" w:ascii="方正小标宋_GBK" w:hAnsi="方正小标宋_GBK" w:eastAsia="方正小标宋_GBK" w:cs="方正小标宋_GBK"/>
          <w:sz w:val="43"/>
          <w:szCs w:val="43"/>
          <w:shd w:val="clear" w:fill="FFFFFF"/>
        </w:rPr>
        <w:t>2023年财政决算（草案）报告</w:t>
      </w:r>
    </w:p>
    <w:p>
      <w:pPr>
        <w:pStyle w:val="2"/>
        <w:keepNext w:val="0"/>
        <w:keepLines w:val="0"/>
        <w:widowControl/>
        <w:suppressLineNumbers w:val="0"/>
        <w:shd w:val="clear" w:fill="FFFFFF"/>
        <w:spacing w:before="0" w:beforeAutospacing="0" w:after="0" w:afterAutospacing="0" w:line="555" w:lineRule="atLeast"/>
        <w:ind w:left="0" w:right="0"/>
        <w:rPr>
          <w:rFonts w:hint="eastAsia" w:ascii="方正仿宋_GBK" w:hAnsi="方正仿宋_GBK" w:eastAsia="方正仿宋_GBK" w:cs="方正仿宋_GBK"/>
          <w:sz w:val="31"/>
          <w:szCs w:val="31"/>
          <w:shd w:val="clear" w:fill="FFFFFF"/>
        </w:rPr>
      </w:pPr>
    </w:p>
    <w:p>
      <w:pPr>
        <w:pStyle w:val="2"/>
        <w:keepNext w:val="0"/>
        <w:keepLines w:val="0"/>
        <w:widowControl/>
        <w:suppressLineNumbers w:val="0"/>
        <w:shd w:val="clear" w:fill="FFFFFF"/>
        <w:spacing w:before="0" w:beforeAutospacing="0" w:after="0" w:afterAutospacing="0" w:line="555" w:lineRule="atLeast"/>
        <w:ind w:left="0" w:right="0"/>
      </w:pPr>
      <w:r>
        <w:rPr>
          <w:rFonts w:hint="eastAsia" w:ascii="方正仿宋_GBK" w:hAnsi="方正仿宋_GBK" w:eastAsia="方正仿宋_GBK" w:cs="方正仿宋_GBK"/>
          <w:sz w:val="31"/>
          <w:szCs w:val="31"/>
          <w:shd w:val="clear" w:fill="FFFFFF"/>
        </w:rPr>
        <w:t>各位代表：</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我受鸡鸣乡人民政府委托，现向大会作《城口县鸡鸣乡</w:t>
      </w:r>
      <w:r>
        <w:rPr>
          <w:rFonts w:hint="default" w:ascii="Times New Roman" w:hAnsi="Times New Roman" w:cs="Times New Roman"/>
          <w:sz w:val="31"/>
          <w:szCs w:val="31"/>
          <w:shd w:val="clear" w:fill="FFFFFF"/>
        </w:rPr>
        <w:t>2023</w:t>
      </w:r>
      <w:r>
        <w:rPr>
          <w:rFonts w:hint="eastAsia" w:ascii="方正仿宋_GBK" w:hAnsi="方正仿宋_GBK" w:eastAsia="方正仿宋_GBK" w:cs="方正仿宋_GBK"/>
          <w:sz w:val="31"/>
          <w:szCs w:val="31"/>
          <w:shd w:val="clear" w:fill="FFFFFF"/>
        </w:rPr>
        <w:t>年财政决算（草案）报告》，请予审议。</w:t>
      </w:r>
    </w:p>
    <w:p>
      <w:pPr>
        <w:pStyle w:val="2"/>
        <w:keepNext w:val="0"/>
        <w:keepLines w:val="0"/>
        <w:widowControl/>
        <w:suppressLineNumbers w:val="0"/>
        <w:shd w:val="clear" w:fill="FFFFFF"/>
        <w:spacing w:before="0" w:beforeAutospacing="0" w:after="0" w:afterAutospacing="0" w:line="555" w:lineRule="atLeast"/>
        <w:ind w:left="0" w:right="0" w:firstLine="645"/>
      </w:pPr>
      <w:r>
        <w:rPr>
          <w:rFonts w:ascii="方正黑体_GBK" w:hAnsi="方正黑体_GBK" w:eastAsia="方正黑体_GBK" w:cs="方正黑体_GBK"/>
          <w:sz w:val="31"/>
          <w:szCs w:val="31"/>
          <w:shd w:val="clear" w:fill="FFFFFF"/>
        </w:rPr>
        <w:t>一、单位基本情况</w:t>
      </w:r>
    </w:p>
    <w:p>
      <w:pPr>
        <w:pStyle w:val="2"/>
        <w:keepNext w:val="0"/>
        <w:keepLines w:val="0"/>
        <w:widowControl/>
        <w:suppressLineNumbers w:val="0"/>
        <w:shd w:val="clear" w:fill="FFFFFF"/>
        <w:spacing w:before="0" w:beforeAutospacing="0" w:after="0" w:afterAutospacing="0" w:line="555" w:lineRule="atLeast"/>
        <w:ind w:left="0" w:right="0" w:firstLine="645"/>
      </w:pPr>
      <w:r>
        <w:rPr>
          <w:rFonts w:ascii="方正楷体_GBK" w:hAnsi="方正楷体_GBK" w:eastAsia="方正楷体_GBK" w:cs="方正楷体_GBK"/>
          <w:sz w:val="31"/>
          <w:szCs w:val="31"/>
          <w:shd w:val="clear" w:fill="FFFFFF"/>
        </w:rPr>
        <w:t>（一）职能职责。</w:t>
      </w:r>
      <w:r>
        <w:rPr>
          <w:rFonts w:hint="eastAsia" w:ascii="方正仿宋_GBK" w:hAnsi="方正仿宋_GBK" w:eastAsia="方正仿宋_GBK" w:cs="方正仿宋_GBK"/>
          <w:sz w:val="31"/>
          <w:szCs w:val="31"/>
          <w:shd w:val="clear" w:fill="FFFFFF"/>
        </w:rPr>
        <w:t>贯彻党的路</w:t>
      </w:r>
      <w:r>
        <w:rPr>
          <w:rFonts w:hint="eastAsia" w:ascii="方正仿宋_GBK" w:hAnsi="方正仿宋_GBK" w:eastAsia="方正仿宋_GBK" w:cs="方正仿宋_GBK"/>
          <w:sz w:val="30"/>
          <w:szCs w:val="30"/>
          <w:shd w:val="clear" w:fill="FFFFFF"/>
        </w:rPr>
        <w:t>线、方针、政策，执行本级党代</w:t>
      </w:r>
      <w:r>
        <w:rPr>
          <w:rFonts w:hint="eastAsia" w:ascii="方正仿宋_GBK" w:hAnsi="方正仿宋_GBK" w:eastAsia="方正仿宋_GBK" w:cs="方正仿宋_GBK"/>
          <w:sz w:val="31"/>
          <w:szCs w:val="31"/>
          <w:shd w:val="clear" w:fill="FFFFFF"/>
        </w:rPr>
        <w:t>会、人民代表大会的决议和上级党委、政府的决定和命令，承担促进经济发展、加强社会管理、搞好公共服务、维护社会稳定和巩固基层政权，推动农村物质文明、政治文明、精神文明和和谐社会建设的重大任务。具体职责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促进经济发展。制订实施本乡经济发展规划，发展壮大农村经济，指导农民大力发展产业，促进农民增收。</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加强社会管理。制订实施本乡社会发展规划，负责管理教育、科技、文化、卫生、体育等社会事业和计划生育、民政、城镇管理、村镇建设、道路建设、交通秩序等行政执法和管理工作，依法指导和帮助社会民间组织健康发展，配合上级有关部门做好安全生产、国土资源管理、环境保护和市场监管等工作，加强对上级部门派驻机构的协调和监督，强化乡镇财政、村居（社区）财务和集体资产的监督管理，建立健全减轻农民负担的监督管理机制，完善农村社会救助和保障体系，建立防</w:t>
      </w:r>
      <w:r>
        <w:rPr>
          <w:rFonts w:hint="eastAsia" w:ascii="方正仿宋_GBK" w:hAnsi="方正仿宋_GBK" w:eastAsia="方正仿宋_GBK" w:cs="方正仿宋_GBK"/>
          <w:sz w:val="30"/>
          <w:szCs w:val="30"/>
          <w:shd w:val="clear" w:fill="FFFFFF"/>
        </w:rPr>
        <w:t>灾减灾等区域性、突发性事件的处置工作机制。</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cs="Times New Roman"/>
          <w:sz w:val="31"/>
          <w:szCs w:val="31"/>
          <w:shd w:val="clear" w:fill="FFFFFF"/>
        </w:rPr>
        <w:t>3</w:t>
      </w:r>
      <w:r>
        <w:rPr>
          <w:rFonts w:hint="default" w:ascii="Times New Roman" w:hAnsi="Times New Roman" w:eastAsia="方正仿宋_GBK" w:cs="Times New Roman"/>
          <w:sz w:val="31"/>
          <w:szCs w:val="31"/>
          <w:shd w:val="clear" w:fill="FFFFFF"/>
        </w:rPr>
        <w:t>.</w:t>
      </w:r>
      <w:r>
        <w:rPr>
          <w:rFonts w:hint="eastAsia" w:ascii="方正仿宋_GBK" w:hAnsi="方正仿宋_GBK" w:eastAsia="方正仿宋_GBK" w:cs="方正仿宋_GBK"/>
          <w:sz w:val="31"/>
          <w:szCs w:val="31"/>
          <w:shd w:val="clear" w:fill="FFFFFF"/>
        </w:rPr>
        <w:t>搞好公共服务。加强基础设施、农田水利和生态环境建设，发展农村社会公共事业和集体公益事业，组织引导农村劳动力转移和就业，加强农村社会化服务体系建设，鼓励和扶持社会力量举办为“三农”服务的公益性机构和经济实体。</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维护社会稳定。加强社会治安综合治理，综合协调平安建设工作，强化信访、调解工作，化解农村社会矛盾，维护社会秩序；抓好法治宣传和普法教育，增强干部群众的法治意识，保护各种经济组织的合法权益和公民的合法财产，保障公民人身</w:t>
      </w:r>
      <w:r>
        <w:rPr>
          <w:rFonts w:hint="eastAsia" w:ascii="方正仿宋_GBK" w:hAnsi="方正仿宋_GBK" w:eastAsia="方正仿宋_GBK" w:cs="方正仿宋_GBK"/>
          <w:sz w:val="31"/>
          <w:szCs w:val="31"/>
          <w:shd w:val="clear" w:fill="FFFFFF"/>
          <w:lang w:eastAsia="zh-CN"/>
        </w:rPr>
        <w:t>权利</w:t>
      </w:r>
      <w:r>
        <w:rPr>
          <w:rFonts w:hint="eastAsia" w:ascii="方正仿宋_GBK" w:hAnsi="方正仿宋_GBK" w:eastAsia="方正仿宋_GBK" w:cs="方正仿宋_GBK"/>
          <w:sz w:val="31"/>
          <w:szCs w:val="31"/>
          <w:shd w:val="clear" w:fill="FFFFFF"/>
        </w:rPr>
        <w:t>、民主</w:t>
      </w:r>
      <w:r>
        <w:rPr>
          <w:rFonts w:hint="eastAsia" w:ascii="方正仿宋_GBK" w:hAnsi="方正仿宋_GBK" w:eastAsia="方正仿宋_GBK" w:cs="方正仿宋_GBK"/>
          <w:sz w:val="31"/>
          <w:szCs w:val="31"/>
          <w:shd w:val="clear" w:fill="FFFFFF"/>
          <w:lang w:eastAsia="zh-CN"/>
        </w:rPr>
        <w:t>权利</w:t>
      </w:r>
      <w:r>
        <w:rPr>
          <w:rFonts w:hint="eastAsia" w:ascii="方正仿宋_GBK" w:hAnsi="方正仿宋_GBK" w:eastAsia="方正仿宋_GBK" w:cs="方正仿宋_GBK"/>
          <w:sz w:val="31"/>
          <w:szCs w:val="31"/>
          <w:shd w:val="clear" w:fill="FFFFFF"/>
        </w:rPr>
        <w:t>和其他</w:t>
      </w:r>
      <w:r>
        <w:rPr>
          <w:rFonts w:hint="eastAsia" w:ascii="方正仿宋_GBK" w:hAnsi="方正仿宋_GBK" w:eastAsia="方正仿宋_GBK" w:cs="方正仿宋_GBK"/>
          <w:sz w:val="31"/>
          <w:szCs w:val="31"/>
          <w:shd w:val="clear" w:fill="FFFFFF"/>
          <w:lang w:eastAsia="zh-CN"/>
        </w:rPr>
        <w:t>权利</w:t>
      </w:r>
      <w:r>
        <w:rPr>
          <w:rFonts w:hint="eastAsia" w:ascii="方正仿宋_GBK" w:hAnsi="方正仿宋_GBK" w:eastAsia="方正仿宋_GBK" w:cs="方正仿宋_GBK"/>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5.</w:t>
      </w:r>
      <w:r>
        <w:rPr>
          <w:rFonts w:hint="eastAsia" w:ascii="方正仿宋_GBK" w:hAnsi="方正仿宋_GBK" w:eastAsia="方正仿宋_GBK" w:cs="方正仿宋_GBK"/>
          <w:sz w:val="31"/>
          <w:szCs w:val="31"/>
          <w:shd w:val="clear" w:fill="FFFFFF"/>
        </w:rPr>
        <w:t>巩固基层政权。加强党的思想建设、组织建设、作风建设和制度建设，强化乡人大</w:t>
      </w:r>
      <w:bookmarkStart w:id="0" w:name="_GoBack"/>
      <w:bookmarkEnd w:id="0"/>
      <w:r>
        <w:rPr>
          <w:rFonts w:hint="eastAsia" w:ascii="方正仿宋_GBK" w:hAnsi="方正仿宋_GBK" w:eastAsia="方正仿宋_GBK" w:cs="方正仿宋_GBK"/>
          <w:sz w:val="31"/>
          <w:szCs w:val="31"/>
          <w:shd w:val="clear" w:fill="FFFFFF"/>
        </w:rPr>
        <w:t>对乡政府的监督，切实加强和改进对村级党组织的领导和对村民委员会的指导，扩大和健全农村基层民主，充分发挥工会、共青团、妇联等群众团体的桥梁纽带作用。</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（二）机构设置。</w:t>
      </w:r>
      <w:r>
        <w:rPr>
          <w:rFonts w:hint="eastAsia" w:ascii="方正仿宋_GBK" w:hAnsi="方正仿宋_GBK" w:eastAsia="方正仿宋_GBK" w:cs="方正仿宋_GBK"/>
          <w:sz w:val="31"/>
          <w:szCs w:val="31"/>
          <w:shd w:val="clear" w:fill="FFFFFF"/>
        </w:rPr>
        <w:t>鸡鸣乡党委、政府设置综合办事机构</w:t>
      </w: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shd w:val="clear" w:fill="FFFFFF"/>
        </w:rPr>
        <w:t>个，事业站所</w:t>
      </w:r>
      <w:r>
        <w:rPr>
          <w:rFonts w:hint="default" w:ascii="Times New Roman" w:hAnsi="Times New Roman" w:eastAsia="方正仿宋_GBK" w:cs="Times New Roman"/>
          <w:sz w:val="31"/>
          <w:szCs w:val="31"/>
          <w:shd w:val="clear" w:fill="FFFFFF"/>
        </w:rPr>
        <w:t>5</w:t>
      </w:r>
      <w:r>
        <w:rPr>
          <w:rFonts w:hint="eastAsia" w:ascii="方正仿宋_GBK" w:hAnsi="方正仿宋_GBK" w:eastAsia="方正仿宋_GBK" w:cs="方正仿宋_GBK"/>
          <w:sz w:val="31"/>
          <w:szCs w:val="31"/>
          <w:shd w:val="clear" w:fill="FFFFFF"/>
        </w:rPr>
        <w:t>个。本单位无下级预算单位。分别是：</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党政办公室：主要承担党的组织建设、纪检监察宣传和精神文明建设、统战、武装、编制、人事、民宗侨台、工青妇、老龄、目标管理、文秘等方面职责，负责承办人大、政协工作方面的具体事务。</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经济发展办公室：主要承担经济发展规划与指导服务、社会经济统计、扶贫开发、商务、旅游等方面职责。</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平安建设办公室：主要承担民政、人口和计划生育、教育、卫生、文化、体育、社会救济、残疾人事业、劳动保障、劳务输出、社会管理等方面职责。</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规划建设管理环保办公室：规划建设管理环保办公室：主要承担辖区内规划建设、市政公用事业、市容环境管理、环保、交通、江河管理等方面职责。</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社会治安综合治理委员会办公室：（挂应急管理办公室、民政和社会事务办公室、卫生健康办公室牌子）主要统筹负责安全生产综合监管、应急管理等职责，负责信访、人民调解、社会治安综合治理、防范和处理邪教等职责，负责民政、教育、卫生健康、文化、旅游、体育、社会救助、残疾人事业、劳动就业、社会保障、老龄事业等职责</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乡村振兴办公室：主要负责乡村振兴开发工作、项目资金的监督管理等职责。</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财政办公室：主要承担财政收支、预决算、财务管理。各项农民补贴兑付和耕地占用税、契税征收管理等工作。</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农业服务中心：主要承担农技、农机、林业、水利水保、水产等方面的重大技术推广、信息服务、资源环境保护，灾害防治等工作。</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文化服务中心：主要承担文化、宣传、广播电视、体育、科技培训等方面服务工作。</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劳动就业和社会保障服务所：主要承担就业、再就业以及农村富余劳动力转移、劳动和社会保障、城镇居民最低生活保障、优抚救济等社会保障工作。</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退役军人服务站：负责属地退役军人信息收集录入、研究分析属地退役军人的身份信息、政策落实、主要诉求等情况；宣传退役军人有关政策，培树就业创业先进典型；推动抓好党员退役军人组织生活正常化工作；动态掌握信息。</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综合行政执法大队：负责乡镇所辖范围内的整体环境卫生和秩序监管。</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黑体_GBK" w:hAnsi="方正黑体_GBK" w:eastAsia="方正黑体_GBK" w:cs="方正黑体_GBK"/>
          <w:sz w:val="31"/>
          <w:szCs w:val="31"/>
          <w:shd w:val="clear" w:fill="FFFFFF"/>
        </w:rPr>
        <w:t>二、决算情况说明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（一）收入支出决算总体情况说明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总体情况。</w:t>
      </w:r>
      <w:r>
        <w:rPr>
          <w:rFonts w:hint="default" w:ascii="Times New Roman" w:hAnsi="Times New Roman" w:cs="Times New Roman"/>
          <w:sz w:val="31"/>
          <w:szCs w:val="31"/>
          <w:shd w:val="clear" w:fill="FFFFFF"/>
        </w:rPr>
        <w:t>2023</w:t>
      </w:r>
      <w:r>
        <w:rPr>
          <w:rFonts w:hint="eastAsia" w:ascii="方正仿宋_GBK" w:hAnsi="方正仿宋_GBK" w:eastAsia="方正仿宋_GBK" w:cs="方正仿宋_GBK"/>
          <w:sz w:val="31"/>
          <w:szCs w:val="31"/>
          <w:shd w:val="clear" w:fill="FFFFFF"/>
        </w:rPr>
        <w:t>年度收入总计</w:t>
      </w:r>
      <w:r>
        <w:rPr>
          <w:rFonts w:hint="default" w:ascii="Times New Roman" w:hAnsi="Times New Roman" w:cs="Times New Roman"/>
          <w:sz w:val="31"/>
          <w:szCs w:val="31"/>
          <w:shd w:val="clear" w:fill="FFFFFF"/>
        </w:rPr>
        <w:t>1680.54</w:t>
      </w:r>
      <w:r>
        <w:rPr>
          <w:rFonts w:hint="eastAsia" w:ascii="方正仿宋_GBK" w:hAnsi="方正仿宋_GBK" w:eastAsia="方正仿宋_GBK" w:cs="方正仿宋_GBK"/>
          <w:sz w:val="31"/>
          <w:szCs w:val="31"/>
          <w:shd w:val="clear" w:fill="FFFFFF"/>
        </w:rPr>
        <w:t>万元，支出总计</w:t>
      </w:r>
      <w:r>
        <w:rPr>
          <w:rFonts w:hint="default" w:ascii="Times New Roman" w:hAnsi="Times New Roman" w:cs="Times New Roman"/>
          <w:sz w:val="31"/>
          <w:szCs w:val="31"/>
          <w:shd w:val="clear" w:fill="FFFFFF"/>
        </w:rPr>
        <w:t>1680.54</w:t>
      </w:r>
      <w:r>
        <w:rPr>
          <w:rFonts w:hint="eastAsia" w:ascii="方正仿宋_GBK" w:hAnsi="方正仿宋_GBK" w:eastAsia="方正仿宋_GBK" w:cs="方正仿宋_GBK"/>
          <w:sz w:val="31"/>
          <w:szCs w:val="31"/>
          <w:shd w:val="clear" w:fill="FFFFFF"/>
        </w:rPr>
        <w:t>万元。收支较上年决算数减少</w:t>
      </w:r>
      <w:r>
        <w:rPr>
          <w:rFonts w:hint="default" w:ascii="Times New Roman" w:hAnsi="Times New Roman" w:cs="Times New Roman"/>
          <w:sz w:val="31"/>
          <w:szCs w:val="31"/>
          <w:shd w:val="clear" w:fill="FFFFFF"/>
        </w:rPr>
        <w:t>127.55</w:t>
      </w:r>
      <w:r>
        <w:rPr>
          <w:rFonts w:hint="eastAsia" w:ascii="方正仿宋_GBK" w:hAnsi="方正仿宋_GBK" w:eastAsia="方正仿宋_GBK" w:cs="方正仿宋_GBK"/>
          <w:sz w:val="31"/>
          <w:szCs w:val="31"/>
          <w:shd w:val="clear" w:fill="FFFFFF"/>
        </w:rPr>
        <w:t>万元、减少</w:t>
      </w:r>
      <w:r>
        <w:rPr>
          <w:rFonts w:hint="default" w:ascii="Times New Roman" w:hAnsi="Times New Roman" w:cs="Times New Roman"/>
          <w:sz w:val="31"/>
          <w:szCs w:val="31"/>
          <w:shd w:val="clear" w:fill="FFFFFF"/>
        </w:rPr>
        <w:t>7.05%</w:t>
      </w:r>
      <w:r>
        <w:rPr>
          <w:rFonts w:hint="eastAsia" w:ascii="方正仿宋_GBK" w:hAnsi="方正仿宋_GBK" w:eastAsia="方正仿宋_GBK" w:cs="方正仿宋_GBK"/>
          <w:sz w:val="31"/>
          <w:szCs w:val="31"/>
          <w:shd w:val="clear" w:fill="FFFFFF"/>
        </w:rPr>
        <w:t>，主要原因是用于农林水支出、城乡社区支出减少。</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cs="Times New Roman"/>
          <w:sz w:val="31"/>
          <w:szCs w:val="31"/>
          <w:shd w:val="clear" w:fill="FFFFFF"/>
        </w:rPr>
        <w:t>2.</w:t>
      </w:r>
      <w:r>
        <w:rPr>
          <w:rFonts w:hint="eastAsia" w:ascii="方正仿宋_GBK" w:hAnsi="方正仿宋_GBK" w:eastAsia="方正仿宋_GBK" w:cs="方正仿宋_GBK"/>
          <w:sz w:val="31"/>
          <w:szCs w:val="31"/>
          <w:shd w:val="clear" w:fill="FFFFFF"/>
        </w:rPr>
        <w:t>收入情况。</w:t>
      </w:r>
      <w:r>
        <w:rPr>
          <w:rFonts w:hint="default" w:ascii="Times New Roman" w:hAnsi="Times New Roman" w:cs="Times New Roman"/>
          <w:sz w:val="31"/>
          <w:szCs w:val="31"/>
          <w:shd w:val="clear" w:fill="FFFFFF"/>
        </w:rPr>
        <w:t>2023</w:t>
      </w:r>
      <w:r>
        <w:rPr>
          <w:rFonts w:hint="eastAsia" w:ascii="方正仿宋_GBK" w:hAnsi="方正仿宋_GBK" w:eastAsia="方正仿宋_GBK" w:cs="方正仿宋_GBK"/>
          <w:sz w:val="31"/>
          <w:szCs w:val="31"/>
          <w:shd w:val="clear" w:fill="FFFFFF"/>
        </w:rPr>
        <w:t>年度收入合计</w:t>
      </w:r>
      <w:r>
        <w:rPr>
          <w:rFonts w:hint="default" w:ascii="Times New Roman" w:hAnsi="Times New Roman" w:cs="Times New Roman"/>
          <w:sz w:val="31"/>
          <w:szCs w:val="31"/>
          <w:shd w:val="clear" w:fill="FFFFFF"/>
        </w:rPr>
        <w:t>1680.54</w:t>
      </w:r>
      <w:r>
        <w:rPr>
          <w:rFonts w:hint="eastAsia" w:ascii="方正仿宋_GBK" w:hAnsi="方正仿宋_GBK" w:eastAsia="方正仿宋_GBK" w:cs="方正仿宋_GBK"/>
          <w:sz w:val="31"/>
          <w:szCs w:val="31"/>
          <w:shd w:val="clear" w:fill="FFFFFF"/>
        </w:rPr>
        <w:t>万元，较上年决算数减少</w:t>
      </w:r>
      <w:r>
        <w:rPr>
          <w:rFonts w:hint="default" w:ascii="Times New Roman" w:hAnsi="Times New Roman" w:cs="Times New Roman"/>
          <w:sz w:val="31"/>
          <w:szCs w:val="31"/>
          <w:shd w:val="clear" w:fill="FFFFFF"/>
        </w:rPr>
        <w:t>127.55</w:t>
      </w:r>
      <w:r>
        <w:rPr>
          <w:rFonts w:hint="eastAsia" w:ascii="方正仿宋_GBK" w:hAnsi="方正仿宋_GBK" w:eastAsia="方正仿宋_GBK" w:cs="方正仿宋_GBK"/>
          <w:sz w:val="31"/>
          <w:szCs w:val="31"/>
          <w:shd w:val="clear" w:fill="FFFFFF"/>
        </w:rPr>
        <w:t>万元，减少</w:t>
      </w:r>
      <w:r>
        <w:rPr>
          <w:rFonts w:hint="default" w:ascii="Times New Roman" w:hAnsi="Times New Roman" w:cs="Times New Roman"/>
          <w:sz w:val="31"/>
          <w:szCs w:val="31"/>
          <w:shd w:val="clear" w:fill="FFFFFF"/>
        </w:rPr>
        <w:t>7.05%</w:t>
      </w:r>
      <w:r>
        <w:rPr>
          <w:rFonts w:hint="eastAsia" w:ascii="方正仿宋_GBK" w:hAnsi="方正仿宋_GBK" w:eastAsia="方正仿宋_GBK" w:cs="方正仿宋_GBK"/>
          <w:sz w:val="31"/>
          <w:szCs w:val="31"/>
          <w:shd w:val="clear" w:fill="FFFFFF"/>
        </w:rPr>
        <w:t>，主要原因是</w:t>
      </w:r>
      <w:r>
        <w:rPr>
          <w:rFonts w:hint="default" w:ascii="Times New Roman" w:hAnsi="Times New Roman" w:cs="Times New Roman"/>
          <w:sz w:val="31"/>
          <w:szCs w:val="31"/>
          <w:shd w:val="clear" w:fill="FFFFFF"/>
        </w:rPr>
        <w:t>2023</w:t>
      </w:r>
      <w:r>
        <w:rPr>
          <w:rFonts w:hint="eastAsia" w:ascii="方正仿宋_GBK" w:hAnsi="方正仿宋_GBK" w:eastAsia="方正仿宋_GBK" w:cs="方正仿宋_GBK"/>
          <w:sz w:val="31"/>
          <w:szCs w:val="31"/>
          <w:shd w:val="clear" w:fill="FFFFFF"/>
        </w:rPr>
        <w:t>年度我单位农林水支出相关资金减少较多。其中：财政拨款收入</w:t>
      </w:r>
      <w:r>
        <w:rPr>
          <w:rFonts w:hint="default" w:ascii="Times New Roman" w:hAnsi="Times New Roman" w:cs="Times New Roman"/>
          <w:sz w:val="31"/>
          <w:szCs w:val="31"/>
          <w:shd w:val="clear" w:fill="FFFFFF"/>
        </w:rPr>
        <w:t>1680.54</w:t>
      </w:r>
      <w:r>
        <w:rPr>
          <w:rFonts w:hint="eastAsia" w:ascii="方正仿宋_GBK" w:hAnsi="方正仿宋_GBK" w:eastAsia="方正仿宋_GBK" w:cs="方正仿宋_GBK"/>
          <w:sz w:val="31"/>
          <w:szCs w:val="31"/>
          <w:shd w:val="clear" w:fill="FFFFFF"/>
        </w:rPr>
        <w:t>万元，占</w:t>
      </w:r>
      <w:r>
        <w:rPr>
          <w:rFonts w:hint="default" w:ascii="Times New Roman" w:hAnsi="Times New Roman" w:cs="Times New Roman"/>
          <w:sz w:val="31"/>
          <w:szCs w:val="31"/>
          <w:shd w:val="clear" w:fill="FFFFFF"/>
        </w:rPr>
        <w:t>100%</w:t>
      </w:r>
      <w:r>
        <w:rPr>
          <w:rFonts w:hint="eastAsia" w:ascii="方正仿宋_GBK" w:hAnsi="方正仿宋_GBK" w:eastAsia="方正仿宋_GBK" w:cs="方正仿宋_GBK"/>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cs="Times New Roman"/>
          <w:sz w:val="31"/>
          <w:szCs w:val="31"/>
          <w:shd w:val="clear" w:fill="FFFFFF"/>
        </w:rPr>
        <w:t>3.</w:t>
      </w:r>
      <w:r>
        <w:rPr>
          <w:rFonts w:hint="eastAsia" w:ascii="方正仿宋_GBK" w:hAnsi="方正仿宋_GBK" w:eastAsia="方正仿宋_GBK" w:cs="方正仿宋_GBK"/>
          <w:sz w:val="31"/>
          <w:szCs w:val="31"/>
          <w:shd w:val="clear" w:fill="FFFFFF"/>
        </w:rPr>
        <w:t>支出情况。</w:t>
      </w:r>
      <w:r>
        <w:rPr>
          <w:rFonts w:hint="default" w:ascii="Times New Roman" w:hAnsi="Times New Roman" w:cs="Times New Roman"/>
          <w:sz w:val="31"/>
          <w:szCs w:val="31"/>
          <w:shd w:val="clear" w:fill="FFFFFF"/>
        </w:rPr>
        <w:t>2023</w:t>
      </w:r>
      <w:r>
        <w:rPr>
          <w:rFonts w:hint="eastAsia" w:ascii="方正仿宋_GBK" w:hAnsi="方正仿宋_GBK" w:eastAsia="方正仿宋_GBK" w:cs="方正仿宋_GBK"/>
          <w:sz w:val="31"/>
          <w:szCs w:val="31"/>
          <w:shd w:val="clear" w:fill="FFFFFF"/>
        </w:rPr>
        <w:t>年度支出合计</w:t>
      </w:r>
      <w:r>
        <w:rPr>
          <w:rFonts w:hint="default" w:ascii="Times New Roman" w:hAnsi="Times New Roman" w:eastAsia="方正仿宋_GBK" w:cs="Times New Roman"/>
          <w:sz w:val="31"/>
          <w:szCs w:val="31"/>
          <w:shd w:val="clear" w:fill="FFFFFF"/>
        </w:rPr>
        <w:t>1680.54</w:t>
      </w:r>
      <w:r>
        <w:rPr>
          <w:rFonts w:hint="eastAsia" w:ascii="方正仿宋_GBK" w:hAnsi="方正仿宋_GBK" w:eastAsia="方正仿宋_GBK" w:cs="方正仿宋_GBK"/>
          <w:sz w:val="31"/>
          <w:szCs w:val="31"/>
          <w:shd w:val="clear" w:fill="FFFFFF"/>
        </w:rPr>
        <w:t>万元，较上年决算数减少</w:t>
      </w:r>
      <w:r>
        <w:rPr>
          <w:rFonts w:hint="default" w:ascii="Times New Roman" w:hAnsi="Times New Roman" w:eastAsia="方正仿宋_GBK" w:cs="Times New Roman"/>
          <w:sz w:val="31"/>
          <w:szCs w:val="31"/>
          <w:shd w:val="clear" w:fill="FFFFFF"/>
        </w:rPr>
        <w:t>127.55</w:t>
      </w:r>
      <w:r>
        <w:rPr>
          <w:rFonts w:hint="eastAsia" w:ascii="方正仿宋_GBK" w:hAnsi="方正仿宋_GBK" w:eastAsia="方正仿宋_GBK" w:cs="方正仿宋_GBK"/>
          <w:sz w:val="31"/>
          <w:szCs w:val="31"/>
          <w:shd w:val="clear" w:fill="FFFFFF"/>
        </w:rPr>
        <w:t>万元，减少</w:t>
      </w:r>
      <w:r>
        <w:rPr>
          <w:rFonts w:hint="default" w:ascii="Times New Roman" w:hAnsi="Times New Roman" w:eastAsia="方正仿宋_GBK" w:cs="Times New Roman"/>
          <w:sz w:val="31"/>
          <w:szCs w:val="31"/>
          <w:shd w:val="clear" w:fill="FFFFFF"/>
        </w:rPr>
        <w:t>7.05%</w:t>
      </w:r>
      <w:r>
        <w:rPr>
          <w:rFonts w:hint="eastAsia" w:ascii="方正仿宋_GBK" w:hAnsi="方正仿宋_GBK" w:eastAsia="方正仿宋_GBK" w:cs="方正仿宋_GBK"/>
          <w:sz w:val="31"/>
          <w:szCs w:val="31"/>
          <w:shd w:val="clear" w:fill="FFFFFF"/>
        </w:rPr>
        <w:t>，主要原因是乡村振兴，为发挥资金效益，因地制宜，精准建设项目，农林水支出相关资金适当减少。其中：基本支出</w:t>
      </w:r>
      <w:r>
        <w:rPr>
          <w:rFonts w:hint="default" w:ascii="Times New Roman" w:hAnsi="Times New Roman" w:eastAsia="方正仿宋_GBK" w:cs="Times New Roman"/>
          <w:sz w:val="31"/>
          <w:szCs w:val="31"/>
          <w:shd w:val="clear" w:fill="FFFFFF"/>
        </w:rPr>
        <w:t>690.47</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41.09%</w:t>
      </w:r>
      <w:r>
        <w:rPr>
          <w:rFonts w:hint="eastAsia" w:ascii="方正仿宋_GBK" w:hAnsi="方正仿宋_GBK" w:eastAsia="方正仿宋_GBK" w:cs="方正仿宋_GBK"/>
          <w:sz w:val="31"/>
          <w:szCs w:val="31"/>
          <w:shd w:val="clear" w:fill="FFFFFF"/>
        </w:rPr>
        <w:t>；项目支出</w:t>
      </w:r>
      <w:r>
        <w:rPr>
          <w:rFonts w:hint="default" w:ascii="Times New Roman" w:hAnsi="Times New Roman" w:eastAsia="方正仿宋_GBK" w:cs="Times New Roman"/>
          <w:sz w:val="31"/>
          <w:szCs w:val="31"/>
          <w:shd w:val="clear" w:fill="FFFFFF"/>
        </w:rPr>
        <w:t>990.07</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58.91%</w:t>
      </w:r>
      <w:r>
        <w:rPr>
          <w:rFonts w:hint="eastAsia" w:ascii="方正仿宋_GBK" w:hAnsi="方正仿宋_GBK" w:eastAsia="方正仿宋_GBK" w:cs="方正仿宋_GBK"/>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结转结余情况。</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年度年末结转和结余</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万元，无结转结余。</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（二）财政拨款收入支出决算总体情况说明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年度财政拨款收、支总计</w:t>
      </w:r>
      <w:r>
        <w:rPr>
          <w:rFonts w:hint="default" w:ascii="Times New Roman" w:hAnsi="Times New Roman" w:eastAsia="方正仿宋_GBK" w:cs="Times New Roman"/>
          <w:sz w:val="31"/>
          <w:szCs w:val="31"/>
          <w:shd w:val="clear" w:fill="FFFFFF"/>
        </w:rPr>
        <w:t>1680.54</w:t>
      </w:r>
      <w:r>
        <w:rPr>
          <w:rFonts w:hint="eastAsia" w:ascii="方正仿宋_GBK" w:hAnsi="方正仿宋_GBK" w:eastAsia="方正仿宋_GBK" w:cs="方正仿宋_GBK"/>
          <w:sz w:val="31"/>
          <w:szCs w:val="31"/>
          <w:shd w:val="clear" w:fill="FFFFFF"/>
        </w:rPr>
        <w:t>万元。与</w:t>
      </w:r>
      <w:r>
        <w:rPr>
          <w:rFonts w:hint="default" w:ascii="Times New Roman" w:hAnsi="Times New Roman" w:eastAsia="方正仿宋_GBK" w:cs="Times New Roman"/>
          <w:sz w:val="31"/>
          <w:szCs w:val="31"/>
          <w:shd w:val="clear" w:fill="FFFFFF"/>
        </w:rPr>
        <w:t>2022</w:t>
      </w:r>
      <w:r>
        <w:rPr>
          <w:rFonts w:hint="eastAsia" w:ascii="方正仿宋_GBK" w:hAnsi="方正仿宋_GBK" w:eastAsia="方正仿宋_GBK" w:cs="方正仿宋_GBK"/>
          <w:sz w:val="31"/>
          <w:szCs w:val="31"/>
          <w:shd w:val="clear" w:fill="FFFFFF"/>
        </w:rPr>
        <w:t>年相比，财政拨款收、支总计各减少</w:t>
      </w:r>
      <w:r>
        <w:rPr>
          <w:rFonts w:hint="default" w:ascii="Times New Roman" w:hAnsi="Times New Roman" w:eastAsia="方正仿宋_GBK" w:cs="Times New Roman"/>
          <w:sz w:val="31"/>
          <w:szCs w:val="31"/>
          <w:shd w:val="clear" w:fill="FFFFFF"/>
        </w:rPr>
        <w:t>127.55</w:t>
      </w:r>
      <w:r>
        <w:rPr>
          <w:rFonts w:hint="eastAsia" w:ascii="方正仿宋_GBK" w:hAnsi="方正仿宋_GBK" w:eastAsia="方正仿宋_GBK" w:cs="方正仿宋_GBK"/>
          <w:sz w:val="31"/>
          <w:szCs w:val="31"/>
          <w:shd w:val="clear" w:fill="FFFFFF"/>
        </w:rPr>
        <w:t>万元，减少</w:t>
      </w:r>
      <w:r>
        <w:rPr>
          <w:rFonts w:hint="default" w:ascii="Times New Roman" w:hAnsi="Times New Roman" w:eastAsia="方正仿宋_GBK" w:cs="Times New Roman"/>
          <w:sz w:val="31"/>
          <w:szCs w:val="31"/>
          <w:shd w:val="clear" w:fill="FFFFFF"/>
        </w:rPr>
        <w:t>7.05%</w:t>
      </w:r>
      <w:r>
        <w:rPr>
          <w:rFonts w:hint="eastAsia" w:ascii="方正仿宋_GBK" w:hAnsi="方正仿宋_GBK" w:eastAsia="方正仿宋_GBK" w:cs="方正仿宋_GBK"/>
          <w:sz w:val="31"/>
          <w:szCs w:val="31"/>
          <w:shd w:val="clear" w:fill="FFFFFF"/>
        </w:rPr>
        <w:t>。主要原因是乡村振兴，为发挥资金效益，因地制宜，精准建设项目，投入资金有所减少。</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（三）一般公共预算财政拨款支出决算情况说明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收入情况。</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年度一般公共预算财政拨款收入</w:t>
      </w:r>
      <w:r>
        <w:rPr>
          <w:rFonts w:hint="default" w:ascii="Times New Roman" w:hAnsi="Times New Roman" w:eastAsia="方正仿宋_GBK" w:cs="Times New Roman"/>
          <w:sz w:val="31"/>
          <w:szCs w:val="31"/>
          <w:shd w:val="clear" w:fill="FFFFFF"/>
        </w:rPr>
        <w:t>1680.54</w:t>
      </w:r>
      <w:r>
        <w:rPr>
          <w:rFonts w:hint="eastAsia" w:ascii="方正仿宋_GBK" w:hAnsi="方正仿宋_GBK" w:eastAsia="方正仿宋_GBK" w:cs="方正仿宋_GBK"/>
          <w:sz w:val="31"/>
          <w:szCs w:val="31"/>
          <w:shd w:val="clear" w:fill="FFFFFF"/>
        </w:rPr>
        <w:t>万元，较上年决算数减少</w:t>
      </w:r>
      <w:r>
        <w:rPr>
          <w:rFonts w:hint="default" w:ascii="Times New Roman" w:hAnsi="Times New Roman" w:eastAsia="方正仿宋_GBK" w:cs="Times New Roman"/>
          <w:sz w:val="31"/>
          <w:szCs w:val="31"/>
          <w:shd w:val="clear" w:fill="FFFFFF"/>
        </w:rPr>
        <w:t>127.55</w:t>
      </w:r>
      <w:r>
        <w:rPr>
          <w:rFonts w:hint="eastAsia" w:ascii="方正仿宋_GBK" w:hAnsi="方正仿宋_GBK" w:eastAsia="方正仿宋_GBK" w:cs="方正仿宋_GBK"/>
          <w:sz w:val="31"/>
          <w:szCs w:val="31"/>
          <w:shd w:val="clear" w:fill="FFFFFF"/>
        </w:rPr>
        <w:t>万元，减少</w:t>
      </w:r>
      <w:r>
        <w:rPr>
          <w:rFonts w:hint="default" w:ascii="Times New Roman" w:hAnsi="Times New Roman" w:eastAsia="方正仿宋_GBK" w:cs="Times New Roman"/>
          <w:sz w:val="31"/>
          <w:szCs w:val="31"/>
          <w:shd w:val="clear" w:fill="FFFFFF"/>
        </w:rPr>
        <w:t>7.05%</w:t>
      </w:r>
      <w:r>
        <w:rPr>
          <w:rFonts w:hint="eastAsia" w:ascii="方正仿宋_GBK" w:hAnsi="方正仿宋_GBK" w:eastAsia="方正仿宋_GBK" w:cs="方正仿宋_GBK"/>
          <w:sz w:val="31"/>
          <w:szCs w:val="31"/>
          <w:shd w:val="clear" w:fill="FFFFFF"/>
        </w:rPr>
        <w:t>。主要原因乡村振兴，为发挥资金效益，因地制宜，精准建设项目，投入资金有所减少。较年初预算数增加</w:t>
      </w:r>
      <w:r>
        <w:rPr>
          <w:rFonts w:hint="default" w:ascii="Times New Roman" w:hAnsi="Times New Roman" w:eastAsia="方正仿宋_GBK" w:cs="Times New Roman"/>
          <w:sz w:val="31"/>
          <w:szCs w:val="31"/>
          <w:shd w:val="clear" w:fill="FFFFFF"/>
        </w:rPr>
        <w:t>783.54</w:t>
      </w:r>
      <w:r>
        <w:rPr>
          <w:rFonts w:hint="eastAsia" w:ascii="方正仿宋_GBK" w:hAnsi="方正仿宋_GBK" w:eastAsia="方正仿宋_GBK" w:cs="方正仿宋_GBK"/>
          <w:sz w:val="31"/>
          <w:szCs w:val="31"/>
          <w:shd w:val="clear" w:fill="FFFFFF"/>
        </w:rPr>
        <w:t>万元，增长</w:t>
      </w:r>
      <w:r>
        <w:rPr>
          <w:rFonts w:hint="default" w:ascii="Times New Roman" w:hAnsi="Times New Roman" w:eastAsia="方正仿宋_GBK" w:cs="Times New Roman"/>
          <w:sz w:val="31"/>
          <w:szCs w:val="31"/>
          <w:shd w:val="clear" w:fill="FFFFFF"/>
        </w:rPr>
        <w:t>87.35%</w:t>
      </w:r>
      <w:r>
        <w:rPr>
          <w:rFonts w:hint="eastAsia" w:ascii="方正仿宋_GBK" w:hAnsi="方正仿宋_GBK" w:eastAsia="方正仿宋_GBK" w:cs="方正仿宋_GBK"/>
          <w:sz w:val="31"/>
          <w:szCs w:val="31"/>
          <w:shd w:val="clear" w:fill="FFFFFF"/>
        </w:rPr>
        <w:t>。主要原因是年中追加安排社会保障和就业、节能环保、农林水以及灾害防治应急管理资金等预算</w:t>
      </w:r>
      <w:r>
        <w:rPr>
          <w:rFonts w:hint="default" w:ascii="Times New Roman" w:hAnsi="Times New Roman" w:eastAsia="方正仿宋_GBK" w:cs="Times New Roman"/>
          <w:sz w:val="31"/>
          <w:szCs w:val="31"/>
          <w:shd w:val="clear" w:fill="FFFFFF"/>
        </w:rPr>
        <w:t>783.54</w:t>
      </w:r>
      <w:r>
        <w:rPr>
          <w:rFonts w:hint="eastAsia" w:ascii="方正仿宋_GBK" w:hAnsi="方正仿宋_GBK" w:eastAsia="方正仿宋_GBK" w:cs="方正仿宋_GBK"/>
          <w:sz w:val="31"/>
          <w:szCs w:val="31"/>
          <w:shd w:val="clear" w:fill="FFFFFF"/>
        </w:rPr>
        <w:t>万元。此外，年初财政拨款结转和结余</w:t>
      </w:r>
      <w:r>
        <w:rPr>
          <w:rFonts w:hint="default" w:ascii="Times New Roman" w:hAnsi="Times New Roman" w:eastAsia="方正仿宋_GBK" w:cs="Times New Roman"/>
          <w:sz w:val="31"/>
          <w:szCs w:val="31"/>
          <w:shd w:val="clear" w:fill="FFFFFF"/>
        </w:rPr>
        <w:t>0.00</w:t>
      </w:r>
      <w:r>
        <w:rPr>
          <w:rFonts w:hint="eastAsia" w:ascii="方正仿宋_GBK" w:hAnsi="方正仿宋_GBK" w:eastAsia="方正仿宋_GBK" w:cs="方正仿宋_GBK"/>
          <w:sz w:val="31"/>
          <w:szCs w:val="31"/>
          <w:shd w:val="clear" w:fill="FFFFFF"/>
        </w:rPr>
        <w:t>万元。</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支出情况。</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年度支出合计</w:t>
      </w:r>
      <w:r>
        <w:rPr>
          <w:rFonts w:hint="default" w:ascii="Times New Roman" w:hAnsi="Times New Roman" w:eastAsia="方正仿宋_GBK" w:cs="Times New Roman"/>
          <w:sz w:val="31"/>
          <w:szCs w:val="31"/>
          <w:shd w:val="clear" w:fill="FFFFFF"/>
        </w:rPr>
        <w:t>1680.54</w:t>
      </w:r>
      <w:r>
        <w:rPr>
          <w:rFonts w:hint="eastAsia" w:ascii="方正仿宋_GBK" w:hAnsi="方正仿宋_GBK" w:eastAsia="方正仿宋_GBK" w:cs="方正仿宋_GBK"/>
          <w:sz w:val="31"/>
          <w:szCs w:val="31"/>
          <w:shd w:val="clear" w:fill="FFFFFF"/>
        </w:rPr>
        <w:t>万元，较上年决算数减少</w:t>
      </w:r>
      <w:r>
        <w:rPr>
          <w:rFonts w:hint="default" w:ascii="Times New Roman" w:hAnsi="Times New Roman" w:eastAsia="方正仿宋_GBK" w:cs="Times New Roman"/>
          <w:sz w:val="31"/>
          <w:szCs w:val="31"/>
          <w:shd w:val="clear" w:fill="FFFFFF"/>
        </w:rPr>
        <w:t>127.55</w:t>
      </w:r>
      <w:r>
        <w:rPr>
          <w:rFonts w:hint="eastAsia" w:ascii="方正仿宋_GBK" w:hAnsi="方正仿宋_GBK" w:eastAsia="方正仿宋_GBK" w:cs="方正仿宋_GBK"/>
          <w:sz w:val="31"/>
          <w:szCs w:val="31"/>
          <w:shd w:val="clear" w:fill="FFFFFF"/>
        </w:rPr>
        <w:t>万元，减少</w:t>
      </w:r>
      <w:r>
        <w:rPr>
          <w:rFonts w:hint="default" w:ascii="Times New Roman" w:hAnsi="Times New Roman" w:eastAsia="方正仿宋_GBK" w:cs="Times New Roman"/>
          <w:sz w:val="31"/>
          <w:szCs w:val="31"/>
          <w:shd w:val="clear" w:fill="FFFFFF"/>
        </w:rPr>
        <w:t>7.05%</w:t>
      </w:r>
      <w:r>
        <w:rPr>
          <w:rFonts w:hint="eastAsia" w:ascii="方正仿宋_GBK" w:hAnsi="方正仿宋_GBK" w:eastAsia="方正仿宋_GBK" w:cs="方正仿宋_GBK"/>
          <w:sz w:val="31"/>
          <w:szCs w:val="31"/>
          <w:shd w:val="clear" w:fill="FFFFFF"/>
        </w:rPr>
        <w:t>，主要原因是农村基础设施建设支出以及农田建设支出减少。较年初预算数增加</w:t>
      </w:r>
      <w:r>
        <w:rPr>
          <w:rFonts w:hint="default" w:ascii="Times New Roman" w:hAnsi="Times New Roman" w:eastAsia="方正仿宋_GBK" w:cs="Times New Roman"/>
          <w:sz w:val="31"/>
          <w:szCs w:val="31"/>
          <w:shd w:val="clear" w:fill="FFFFFF"/>
        </w:rPr>
        <w:t>783.54</w:t>
      </w:r>
      <w:r>
        <w:rPr>
          <w:rFonts w:hint="eastAsia" w:ascii="方正仿宋_GBK" w:hAnsi="方正仿宋_GBK" w:eastAsia="方正仿宋_GBK" w:cs="方正仿宋_GBK"/>
          <w:sz w:val="31"/>
          <w:szCs w:val="31"/>
          <w:shd w:val="clear" w:fill="FFFFFF"/>
        </w:rPr>
        <w:t>万元，增长</w:t>
      </w:r>
      <w:r>
        <w:rPr>
          <w:rFonts w:hint="default" w:ascii="Times New Roman" w:hAnsi="Times New Roman" w:eastAsia="方正仿宋_GBK" w:cs="Times New Roman"/>
          <w:sz w:val="31"/>
          <w:szCs w:val="31"/>
          <w:shd w:val="clear" w:fill="FFFFFF"/>
        </w:rPr>
        <w:t>87.35%</w:t>
      </w:r>
      <w:r>
        <w:rPr>
          <w:rFonts w:hint="eastAsia" w:ascii="方正仿宋_GBK" w:hAnsi="方正仿宋_GBK" w:eastAsia="方正仿宋_GBK" w:cs="方正仿宋_GBK"/>
          <w:sz w:val="31"/>
          <w:szCs w:val="31"/>
          <w:shd w:val="clear" w:fill="FFFFFF"/>
        </w:rPr>
        <w:t>。主要原因是年中追加安排社会保障和就业、节能环保、农林水以及灾害防治应急管理资金预算增加。</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结转结余情况。</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年度年末结转和结余</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万元，无结转结余。</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比较情况。本部门</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年度一般公共预算财政拨款支出主要用于以下几个方面：</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）一般公共服务支出</w:t>
      </w:r>
      <w:r>
        <w:rPr>
          <w:rFonts w:hint="default" w:ascii="Times New Roman" w:hAnsi="Times New Roman" w:eastAsia="方正仿宋_GBK" w:cs="Times New Roman"/>
          <w:sz w:val="31"/>
          <w:szCs w:val="31"/>
          <w:shd w:val="clear" w:fill="FFFFFF"/>
        </w:rPr>
        <w:t>419.05</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24.94%</w:t>
      </w:r>
      <w:r>
        <w:rPr>
          <w:rFonts w:hint="eastAsia" w:ascii="方正仿宋_GBK" w:hAnsi="方正仿宋_GBK" w:eastAsia="方正仿宋_GBK" w:cs="方正仿宋_GBK"/>
          <w:sz w:val="31"/>
          <w:szCs w:val="31"/>
          <w:shd w:val="clear" w:fill="FFFFFF"/>
        </w:rPr>
        <w:t>，较年初预算数增加</w:t>
      </w:r>
      <w:r>
        <w:rPr>
          <w:rFonts w:hint="default" w:ascii="Times New Roman" w:hAnsi="Times New Roman" w:eastAsia="方正仿宋_GBK" w:cs="Times New Roman"/>
          <w:sz w:val="31"/>
          <w:szCs w:val="31"/>
          <w:shd w:val="clear" w:fill="FFFFFF"/>
        </w:rPr>
        <w:t>128.35</w:t>
      </w:r>
      <w:r>
        <w:rPr>
          <w:rFonts w:hint="eastAsia" w:ascii="方正仿宋_GBK" w:hAnsi="方正仿宋_GBK" w:eastAsia="方正仿宋_GBK" w:cs="方正仿宋_GBK"/>
          <w:sz w:val="31"/>
          <w:szCs w:val="31"/>
          <w:shd w:val="clear" w:fill="FFFFFF"/>
        </w:rPr>
        <w:t>万元，增加</w:t>
      </w:r>
      <w:r>
        <w:rPr>
          <w:rFonts w:hint="default" w:ascii="Times New Roman" w:hAnsi="Times New Roman" w:eastAsia="方正仿宋_GBK" w:cs="Times New Roman"/>
          <w:sz w:val="31"/>
          <w:szCs w:val="31"/>
          <w:shd w:val="clear" w:fill="FFFFFF"/>
        </w:rPr>
        <w:t>44.15%</w:t>
      </w:r>
      <w:r>
        <w:rPr>
          <w:rFonts w:hint="eastAsia" w:ascii="方正仿宋_GBK" w:hAnsi="方正仿宋_GBK" w:eastAsia="方正仿宋_GBK" w:cs="方正仿宋_GBK"/>
          <w:sz w:val="31"/>
          <w:szCs w:val="31"/>
          <w:shd w:val="clear" w:fill="FFFFFF"/>
        </w:rPr>
        <w:t>，主要原因是保证各级党政机关正常运行、财政供养人员的工资待遇和各村社区干部工资待遇等。</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）文化旅游体育与传媒支出</w:t>
      </w:r>
      <w:r>
        <w:rPr>
          <w:rFonts w:hint="default" w:ascii="Times New Roman" w:hAnsi="Times New Roman" w:eastAsia="方正仿宋_GBK" w:cs="Times New Roman"/>
          <w:sz w:val="31"/>
          <w:szCs w:val="31"/>
          <w:shd w:val="clear" w:fill="FFFFFF"/>
        </w:rPr>
        <w:t>16.77</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1.00%</w:t>
      </w:r>
      <w:r>
        <w:rPr>
          <w:rFonts w:hint="eastAsia" w:ascii="方正仿宋_GBK" w:hAnsi="方正仿宋_GBK" w:eastAsia="方正仿宋_GBK" w:cs="方正仿宋_GBK"/>
          <w:sz w:val="31"/>
          <w:szCs w:val="31"/>
          <w:shd w:val="clear" w:fill="FFFFFF"/>
        </w:rPr>
        <w:t>，较年初预算数增加</w:t>
      </w:r>
      <w:r>
        <w:rPr>
          <w:rFonts w:hint="default" w:ascii="Times New Roman" w:hAnsi="Times New Roman" w:eastAsia="方正仿宋_GBK" w:cs="Times New Roman"/>
          <w:sz w:val="31"/>
          <w:szCs w:val="31"/>
          <w:shd w:val="clear" w:fill="FFFFFF"/>
        </w:rPr>
        <w:t>1.67</w:t>
      </w:r>
      <w:r>
        <w:rPr>
          <w:rFonts w:hint="eastAsia" w:ascii="方正仿宋_GBK" w:hAnsi="方正仿宋_GBK" w:eastAsia="方正仿宋_GBK" w:cs="方正仿宋_GBK"/>
          <w:sz w:val="31"/>
          <w:szCs w:val="31"/>
          <w:shd w:val="clear" w:fill="FFFFFF"/>
        </w:rPr>
        <w:t>万元，增长</w:t>
      </w:r>
      <w:r>
        <w:rPr>
          <w:rFonts w:hint="default" w:ascii="Times New Roman" w:hAnsi="Times New Roman" w:eastAsia="方正仿宋_GBK" w:cs="Times New Roman"/>
          <w:sz w:val="31"/>
          <w:szCs w:val="31"/>
          <w:shd w:val="clear" w:fill="FFFFFF"/>
        </w:rPr>
        <w:t>11.06%</w:t>
      </w:r>
      <w:r>
        <w:rPr>
          <w:rFonts w:hint="eastAsia" w:ascii="方正仿宋_GBK" w:hAnsi="方正仿宋_GBK" w:eastAsia="方正仿宋_GBK" w:cs="方正仿宋_GBK"/>
          <w:sz w:val="31"/>
          <w:szCs w:val="31"/>
          <w:shd w:val="clear" w:fill="FFFFFF"/>
        </w:rPr>
        <w:t>，主要原因是为了促进文化传播、旅游发展，下达了关于文化和旅游专项资金，保障我乡文化事业支出。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）社会保障与就业支出</w:t>
      </w:r>
      <w:r>
        <w:rPr>
          <w:rFonts w:hint="default" w:ascii="Times New Roman" w:hAnsi="Times New Roman" w:eastAsia="方正仿宋_GBK" w:cs="Times New Roman"/>
          <w:sz w:val="31"/>
          <w:szCs w:val="31"/>
          <w:shd w:val="clear" w:fill="FFFFFF"/>
        </w:rPr>
        <w:t>241.44</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14.37%</w:t>
      </w:r>
      <w:r>
        <w:rPr>
          <w:rFonts w:hint="eastAsia" w:ascii="方正仿宋_GBK" w:hAnsi="方正仿宋_GBK" w:eastAsia="方正仿宋_GBK" w:cs="方正仿宋_GBK"/>
          <w:sz w:val="31"/>
          <w:szCs w:val="31"/>
          <w:shd w:val="clear" w:fill="FFFFFF"/>
        </w:rPr>
        <w:t>，较年初预算数增加</w:t>
      </w:r>
      <w:r>
        <w:rPr>
          <w:rFonts w:hint="default" w:ascii="Times New Roman" w:hAnsi="Times New Roman" w:eastAsia="方正仿宋_GBK" w:cs="Times New Roman"/>
          <w:sz w:val="31"/>
          <w:szCs w:val="31"/>
          <w:shd w:val="clear" w:fill="FFFFFF"/>
        </w:rPr>
        <w:t>4.61</w:t>
      </w:r>
      <w:r>
        <w:rPr>
          <w:rFonts w:hint="eastAsia" w:ascii="方正仿宋_GBK" w:hAnsi="方正仿宋_GBK" w:eastAsia="方正仿宋_GBK" w:cs="方正仿宋_GBK"/>
          <w:sz w:val="31"/>
          <w:szCs w:val="31"/>
          <w:shd w:val="clear" w:fill="FFFFFF"/>
        </w:rPr>
        <w:t>万元，增长</w:t>
      </w:r>
      <w:r>
        <w:rPr>
          <w:rFonts w:hint="default" w:ascii="Times New Roman" w:hAnsi="Times New Roman" w:eastAsia="方正仿宋_GBK" w:cs="Times New Roman"/>
          <w:sz w:val="31"/>
          <w:szCs w:val="31"/>
          <w:shd w:val="clear" w:fill="FFFFFF"/>
        </w:rPr>
        <w:t>1.95%</w:t>
      </w:r>
      <w:r>
        <w:rPr>
          <w:rFonts w:hint="eastAsia" w:ascii="方正仿宋_GBK" w:hAnsi="方正仿宋_GBK" w:eastAsia="方正仿宋_GBK" w:cs="方正仿宋_GBK"/>
          <w:sz w:val="31"/>
          <w:szCs w:val="31"/>
          <w:shd w:val="clear" w:fill="FFFFFF"/>
        </w:rPr>
        <w:t>，主要原因是其他行政事业单位养老支出增多。保障社区干部社会保险、社工服务正常有序开展。</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）卫生健康支出</w:t>
      </w:r>
      <w:r>
        <w:rPr>
          <w:rFonts w:hint="default" w:ascii="Times New Roman" w:hAnsi="Times New Roman" w:eastAsia="方正仿宋_GBK" w:cs="Times New Roman"/>
          <w:sz w:val="31"/>
          <w:szCs w:val="31"/>
          <w:shd w:val="clear" w:fill="FFFFFF"/>
        </w:rPr>
        <w:t>68.61</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4.08%</w:t>
      </w:r>
      <w:r>
        <w:rPr>
          <w:rFonts w:hint="eastAsia" w:ascii="方正仿宋_GBK" w:hAnsi="方正仿宋_GBK" w:eastAsia="方正仿宋_GBK" w:cs="方正仿宋_GBK"/>
          <w:sz w:val="31"/>
          <w:szCs w:val="31"/>
          <w:shd w:val="clear" w:fill="FFFFFF"/>
        </w:rPr>
        <w:t>。较年初预算数增加</w:t>
      </w:r>
      <w:r>
        <w:rPr>
          <w:rFonts w:hint="default" w:ascii="Times New Roman" w:hAnsi="Times New Roman" w:eastAsia="方正仿宋_GBK" w:cs="Times New Roman"/>
          <w:sz w:val="31"/>
          <w:szCs w:val="31"/>
          <w:shd w:val="clear" w:fill="FFFFFF"/>
        </w:rPr>
        <w:t>45.61</w:t>
      </w:r>
      <w:r>
        <w:rPr>
          <w:rFonts w:hint="eastAsia" w:ascii="方正仿宋_GBK" w:hAnsi="方正仿宋_GBK" w:eastAsia="方正仿宋_GBK" w:cs="方正仿宋_GBK"/>
          <w:sz w:val="31"/>
          <w:szCs w:val="31"/>
          <w:shd w:val="clear" w:fill="FFFFFF"/>
        </w:rPr>
        <w:t>万元，增长</w:t>
      </w:r>
      <w:r>
        <w:rPr>
          <w:rFonts w:hint="default" w:ascii="Times New Roman" w:hAnsi="Times New Roman" w:eastAsia="方正仿宋_GBK" w:cs="Times New Roman"/>
          <w:sz w:val="31"/>
          <w:szCs w:val="31"/>
          <w:shd w:val="clear" w:fill="FFFFFF"/>
        </w:rPr>
        <w:t>198.3%</w:t>
      </w:r>
      <w:r>
        <w:rPr>
          <w:rFonts w:hint="eastAsia" w:ascii="方正仿宋_GBK" w:hAnsi="方正仿宋_GBK" w:eastAsia="方正仿宋_GBK" w:cs="方正仿宋_GBK"/>
          <w:sz w:val="31"/>
          <w:szCs w:val="31"/>
          <w:shd w:val="clear" w:fill="FFFFFF"/>
        </w:rPr>
        <w:t>，主要原因是重视本区域的卫生健康，合理安排预算。</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5</w:t>
      </w:r>
      <w:r>
        <w:rPr>
          <w:rFonts w:hint="eastAsia" w:ascii="方正仿宋_GBK" w:hAnsi="方正仿宋_GBK" w:eastAsia="方正仿宋_GBK" w:cs="方正仿宋_GBK"/>
          <w:sz w:val="31"/>
          <w:szCs w:val="31"/>
          <w:shd w:val="clear" w:fill="FFFFFF"/>
        </w:rPr>
        <w:t>）节能环保支出</w:t>
      </w:r>
      <w:r>
        <w:rPr>
          <w:rFonts w:hint="default" w:ascii="Times New Roman" w:hAnsi="Times New Roman" w:eastAsia="方正仿宋_GBK" w:cs="Times New Roman"/>
          <w:sz w:val="31"/>
          <w:szCs w:val="31"/>
          <w:shd w:val="clear" w:fill="FFFFFF"/>
        </w:rPr>
        <w:t>17.31</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1.03%</w:t>
      </w:r>
      <w:r>
        <w:rPr>
          <w:rFonts w:hint="eastAsia" w:ascii="方正仿宋_GBK" w:hAnsi="方正仿宋_GBK" w:eastAsia="方正仿宋_GBK" w:cs="方正仿宋_GBK"/>
          <w:sz w:val="31"/>
          <w:szCs w:val="31"/>
          <w:shd w:val="clear" w:fill="FFFFFF"/>
        </w:rPr>
        <w:t>。较年初预算数增加</w:t>
      </w:r>
      <w:r>
        <w:rPr>
          <w:rFonts w:hint="default" w:ascii="Times New Roman" w:hAnsi="Times New Roman" w:eastAsia="方正仿宋_GBK" w:cs="Times New Roman"/>
          <w:sz w:val="31"/>
          <w:szCs w:val="31"/>
          <w:shd w:val="clear" w:fill="FFFFFF"/>
        </w:rPr>
        <w:t>17.31</w:t>
      </w:r>
      <w:r>
        <w:rPr>
          <w:rFonts w:hint="eastAsia" w:ascii="方正仿宋_GBK" w:hAnsi="方正仿宋_GBK" w:eastAsia="方正仿宋_GBK" w:cs="方正仿宋_GBK"/>
          <w:sz w:val="31"/>
          <w:szCs w:val="31"/>
          <w:shd w:val="clear" w:fill="FFFFFF"/>
        </w:rPr>
        <w:t>万元，主要原因是重视本区域内节能环保，在节能环保方面加大了投入，合理安排预算。</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shd w:val="clear" w:fill="FFFFFF"/>
        </w:rPr>
        <w:t>）城乡社区支出</w:t>
      </w:r>
      <w:r>
        <w:rPr>
          <w:rFonts w:hint="default" w:ascii="Times New Roman" w:hAnsi="Times New Roman" w:eastAsia="方正仿宋_GBK" w:cs="Times New Roman"/>
          <w:sz w:val="31"/>
          <w:szCs w:val="31"/>
          <w:shd w:val="clear" w:fill="FFFFFF"/>
        </w:rPr>
        <w:t>48.21</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2.87%</w:t>
      </w:r>
      <w:r>
        <w:rPr>
          <w:rFonts w:hint="eastAsia" w:ascii="方正仿宋_GBK" w:hAnsi="方正仿宋_GBK" w:eastAsia="方正仿宋_GBK" w:cs="方正仿宋_GBK"/>
          <w:sz w:val="31"/>
          <w:szCs w:val="31"/>
          <w:shd w:val="clear" w:fill="FFFFFF"/>
        </w:rPr>
        <w:t>，较年初预算数增加</w:t>
      </w:r>
      <w:r>
        <w:rPr>
          <w:rFonts w:hint="default" w:ascii="Times New Roman" w:hAnsi="Times New Roman" w:eastAsia="方正仿宋_GBK" w:cs="Times New Roman"/>
          <w:sz w:val="31"/>
          <w:szCs w:val="31"/>
          <w:shd w:val="clear" w:fill="FFFFFF"/>
        </w:rPr>
        <w:t>18.21</w:t>
      </w:r>
      <w:r>
        <w:rPr>
          <w:rFonts w:hint="eastAsia" w:ascii="方正仿宋_GBK" w:hAnsi="方正仿宋_GBK" w:eastAsia="方正仿宋_GBK" w:cs="方正仿宋_GBK"/>
          <w:sz w:val="31"/>
          <w:szCs w:val="31"/>
          <w:shd w:val="clear" w:fill="FFFFFF"/>
        </w:rPr>
        <w:t>万元，主要原因是重视本区域人居环境，合理安排预算。</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7</w:t>
      </w:r>
      <w:r>
        <w:rPr>
          <w:rFonts w:hint="eastAsia" w:ascii="方正仿宋_GBK" w:hAnsi="方正仿宋_GBK" w:eastAsia="方正仿宋_GBK" w:cs="方正仿宋_GBK"/>
          <w:sz w:val="31"/>
          <w:szCs w:val="31"/>
          <w:shd w:val="clear" w:fill="FFFFFF"/>
        </w:rPr>
        <w:t>）农林水支出</w:t>
      </w:r>
      <w:r>
        <w:rPr>
          <w:rFonts w:hint="default" w:ascii="Times New Roman" w:hAnsi="Times New Roman" w:eastAsia="方正仿宋_GBK" w:cs="Times New Roman"/>
          <w:sz w:val="31"/>
          <w:szCs w:val="31"/>
          <w:shd w:val="clear" w:fill="FFFFFF"/>
        </w:rPr>
        <w:t>823.08</w:t>
      </w:r>
      <w:r>
        <w:rPr>
          <w:rFonts w:hint="eastAsia" w:ascii="方正仿宋_GBK" w:hAnsi="方正仿宋_GBK" w:eastAsia="方正仿宋_GBK" w:cs="方正仿宋_GBK"/>
          <w:sz w:val="31"/>
          <w:szCs w:val="31"/>
          <w:shd w:val="clear" w:fill="FFFFFF"/>
        </w:rPr>
        <w:t>元，占</w:t>
      </w:r>
      <w:r>
        <w:rPr>
          <w:rFonts w:hint="default" w:ascii="Times New Roman" w:hAnsi="Times New Roman" w:eastAsia="方正仿宋_GBK" w:cs="Times New Roman"/>
          <w:sz w:val="31"/>
          <w:szCs w:val="31"/>
          <w:shd w:val="clear" w:fill="FFFFFF"/>
        </w:rPr>
        <w:t>48.98%</w:t>
      </w:r>
      <w:r>
        <w:rPr>
          <w:rFonts w:hint="eastAsia" w:ascii="方正仿宋_GBK" w:hAnsi="方正仿宋_GBK" w:eastAsia="方正仿宋_GBK" w:cs="方正仿宋_GBK"/>
          <w:sz w:val="31"/>
          <w:szCs w:val="31"/>
          <w:shd w:val="clear" w:fill="FFFFFF"/>
        </w:rPr>
        <w:t>，较年初预算数增加</w:t>
      </w:r>
      <w:r>
        <w:rPr>
          <w:rFonts w:hint="default" w:ascii="Times New Roman" w:hAnsi="Times New Roman" w:eastAsia="方正仿宋_GBK" w:cs="Times New Roman"/>
          <w:sz w:val="31"/>
          <w:szCs w:val="31"/>
          <w:shd w:val="clear" w:fill="FFFFFF"/>
        </w:rPr>
        <w:t>572</w:t>
      </w:r>
      <w:r>
        <w:rPr>
          <w:rFonts w:hint="eastAsia" w:ascii="方正仿宋_GBK" w:hAnsi="方正仿宋_GBK" w:eastAsia="方正仿宋_GBK" w:cs="方正仿宋_GBK"/>
          <w:sz w:val="31"/>
          <w:szCs w:val="31"/>
          <w:shd w:val="clear" w:fill="FFFFFF"/>
        </w:rPr>
        <w:t>万元，增长</w:t>
      </w:r>
      <w:r>
        <w:rPr>
          <w:rFonts w:hint="default" w:ascii="Times New Roman" w:hAnsi="Times New Roman" w:eastAsia="方正仿宋_GBK" w:cs="Times New Roman"/>
          <w:sz w:val="31"/>
          <w:szCs w:val="31"/>
          <w:shd w:val="clear" w:fill="FFFFFF"/>
        </w:rPr>
        <w:t>227.82%</w:t>
      </w:r>
      <w:r>
        <w:rPr>
          <w:rFonts w:hint="eastAsia" w:ascii="方正仿宋_GBK" w:hAnsi="方正仿宋_GBK" w:eastAsia="方正仿宋_GBK" w:cs="方正仿宋_GBK"/>
          <w:sz w:val="31"/>
          <w:szCs w:val="31"/>
          <w:shd w:val="clear" w:fill="FFFFFF"/>
        </w:rPr>
        <w:t>，主要原因是大力开展多项农村基础设施建设，开展扶贫培训带动当地在乡劳动力务工技能和水平，保障人居环境。</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8</w:t>
      </w:r>
      <w:r>
        <w:rPr>
          <w:rFonts w:hint="eastAsia" w:ascii="方正仿宋_GBK" w:hAnsi="方正仿宋_GBK" w:eastAsia="方正仿宋_GBK" w:cs="方正仿宋_GBK"/>
          <w:sz w:val="31"/>
          <w:szCs w:val="31"/>
          <w:shd w:val="clear" w:fill="FFFFFF"/>
        </w:rPr>
        <w:t>）住房保障支出</w:t>
      </w:r>
      <w:r>
        <w:rPr>
          <w:rFonts w:hint="default" w:ascii="Times New Roman" w:hAnsi="Times New Roman" w:eastAsia="方正仿宋_GBK" w:cs="Times New Roman"/>
          <w:sz w:val="31"/>
          <w:szCs w:val="31"/>
          <w:shd w:val="clear" w:fill="FFFFFF"/>
        </w:rPr>
        <w:t>37.40</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2.22%</w:t>
      </w:r>
      <w:r>
        <w:rPr>
          <w:rFonts w:hint="eastAsia" w:ascii="方正仿宋_GBK" w:hAnsi="方正仿宋_GBK" w:eastAsia="方正仿宋_GBK" w:cs="方正仿宋_GBK"/>
          <w:sz w:val="31"/>
          <w:szCs w:val="31"/>
          <w:shd w:val="clear" w:fill="FFFFFF"/>
        </w:rPr>
        <w:t>，与年初预算数持平，主要原因是年初编制预算合理。</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9</w:t>
      </w:r>
      <w:r>
        <w:rPr>
          <w:rFonts w:hint="eastAsia" w:ascii="方正仿宋_GBK" w:hAnsi="方正仿宋_GBK" w:eastAsia="方正仿宋_GBK" w:cs="方正仿宋_GBK"/>
          <w:sz w:val="31"/>
          <w:szCs w:val="31"/>
          <w:shd w:val="clear" w:fill="FFFFFF"/>
        </w:rPr>
        <w:t>）灾害防治及应急管理支出</w:t>
      </w:r>
      <w:r>
        <w:rPr>
          <w:rFonts w:hint="default" w:ascii="Times New Roman" w:hAnsi="Times New Roman" w:eastAsia="方正仿宋_GBK" w:cs="Times New Roman"/>
          <w:sz w:val="31"/>
          <w:szCs w:val="31"/>
          <w:shd w:val="clear" w:fill="FFFFFF"/>
        </w:rPr>
        <w:t>10.99</w:t>
      </w:r>
      <w:r>
        <w:rPr>
          <w:rFonts w:hint="eastAsia" w:ascii="方正仿宋_GBK" w:hAnsi="方正仿宋_GBK" w:eastAsia="方正仿宋_GBK" w:cs="方正仿宋_GBK"/>
          <w:sz w:val="31"/>
          <w:szCs w:val="31"/>
          <w:shd w:val="clear" w:fill="FFFFFF"/>
        </w:rPr>
        <w:t>万元，占</w:t>
      </w:r>
      <w:r>
        <w:rPr>
          <w:rFonts w:hint="default" w:ascii="Times New Roman" w:hAnsi="Times New Roman" w:eastAsia="方正仿宋_GBK" w:cs="Times New Roman"/>
          <w:sz w:val="31"/>
          <w:szCs w:val="31"/>
          <w:shd w:val="clear" w:fill="FFFFFF"/>
        </w:rPr>
        <w:t>0.65%</w:t>
      </w:r>
      <w:r>
        <w:rPr>
          <w:rFonts w:hint="eastAsia" w:ascii="方正仿宋_GBK" w:hAnsi="方正仿宋_GBK" w:eastAsia="方正仿宋_GBK" w:cs="方正仿宋_GBK"/>
          <w:sz w:val="31"/>
          <w:szCs w:val="31"/>
          <w:shd w:val="clear" w:fill="FFFFFF"/>
        </w:rPr>
        <w:t>，比年初预算数增加</w:t>
      </w:r>
      <w:r>
        <w:rPr>
          <w:rFonts w:hint="default" w:ascii="Times New Roman" w:hAnsi="Times New Roman" w:eastAsia="方正仿宋_GBK" w:cs="Times New Roman"/>
          <w:sz w:val="31"/>
          <w:szCs w:val="31"/>
          <w:shd w:val="clear" w:fill="FFFFFF"/>
        </w:rPr>
        <w:t>10.99</w:t>
      </w:r>
      <w:r>
        <w:rPr>
          <w:rFonts w:hint="eastAsia" w:ascii="方正仿宋_GBK" w:hAnsi="方正仿宋_GBK" w:eastAsia="方正仿宋_GBK" w:cs="方正仿宋_GBK"/>
          <w:sz w:val="31"/>
          <w:szCs w:val="31"/>
          <w:shd w:val="clear" w:fill="FFFFFF"/>
        </w:rPr>
        <w:t>万元，主要原因是</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年汛期发生大量山体滑坡等自然灾害，加大了对灾害防治及应急管理的支出。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10</w:t>
      </w:r>
      <w:r>
        <w:rPr>
          <w:rFonts w:hint="eastAsia" w:ascii="方正仿宋_GBK" w:hAnsi="方正仿宋_GBK" w:eastAsia="方正仿宋_GBK" w:cs="方正仿宋_GBK"/>
          <w:sz w:val="31"/>
          <w:szCs w:val="31"/>
          <w:shd w:val="clear" w:fill="FFFFFF"/>
        </w:rPr>
        <w:t>）交通运输支出</w:t>
      </w:r>
      <w:r>
        <w:rPr>
          <w:rFonts w:hint="default" w:ascii="Times New Roman" w:hAnsi="Times New Roman" w:eastAsia="方正仿宋_GBK" w:cs="Times New Roman"/>
          <w:sz w:val="31"/>
          <w:szCs w:val="31"/>
          <w:shd w:val="clear" w:fill="FFFFFF"/>
        </w:rPr>
        <w:t>15.89</w:t>
      </w:r>
      <w:r>
        <w:rPr>
          <w:rFonts w:hint="eastAsia" w:ascii="方正仿宋_GBK" w:hAnsi="方正仿宋_GBK" w:eastAsia="方正仿宋_GBK" w:cs="方正仿宋_GBK"/>
          <w:sz w:val="31"/>
          <w:szCs w:val="31"/>
          <w:shd w:val="clear" w:fill="FFFFFF"/>
        </w:rPr>
        <w:t>万元，占比</w:t>
      </w:r>
      <w:r>
        <w:rPr>
          <w:rFonts w:hint="default" w:ascii="Times New Roman" w:hAnsi="Times New Roman" w:eastAsia="方正仿宋_GBK" w:cs="Times New Roman"/>
          <w:sz w:val="31"/>
          <w:szCs w:val="31"/>
          <w:shd w:val="clear" w:fill="FFFFFF"/>
        </w:rPr>
        <w:t>0.95%</w:t>
      </w:r>
      <w:r>
        <w:rPr>
          <w:rFonts w:hint="eastAsia" w:ascii="方正仿宋_GBK" w:hAnsi="方正仿宋_GBK" w:eastAsia="方正仿宋_GBK" w:cs="方正仿宋_GBK"/>
          <w:sz w:val="31"/>
          <w:szCs w:val="31"/>
          <w:shd w:val="clear" w:fill="FFFFFF"/>
        </w:rPr>
        <w:t>，比年初数增加</w:t>
      </w:r>
      <w:r>
        <w:rPr>
          <w:rFonts w:hint="default" w:ascii="Times New Roman" w:hAnsi="Times New Roman" w:eastAsia="方正仿宋_GBK" w:cs="Times New Roman"/>
          <w:sz w:val="31"/>
          <w:szCs w:val="31"/>
          <w:shd w:val="clear" w:fill="FFFFFF"/>
        </w:rPr>
        <w:t>15.89</w:t>
      </w:r>
      <w:r>
        <w:rPr>
          <w:rFonts w:hint="eastAsia" w:ascii="方正仿宋_GBK" w:hAnsi="方正仿宋_GBK" w:eastAsia="方正仿宋_GBK" w:cs="方正仿宋_GBK"/>
          <w:sz w:val="31"/>
          <w:szCs w:val="31"/>
          <w:shd w:val="clear" w:fill="FFFFFF"/>
        </w:rPr>
        <w:t>万元，主要原因是加大了对农村公路设施的养护。</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11</w:t>
      </w:r>
      <w:r>
        <w:rPr>
          <w:rFonts w:hint="eastAsia" w:ascii="方正仿宋_GBK" w:hAnsi="方正仿宋_GBK" w:eastAsia="方正仿宋_GBK" w:cs="方正仿宋_GBK"/>
          <w:sz w:val="31"/>
          <w:szCs w:val="31"/>
          <w:shd w:val="clear" w:fill="FFFFFF"/>
        </w:rPr>
        <w:t>）其他支出</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万元，比年初数减少</w:t>
      </w:r>
      <w:r>
        <w:rPr>
          <w:rFonts w:hint="default" w:ascii="Times New Roman" w:hAnsi="Times New Roman" w:eastAsia="方正仿宋_GBK" w:cs="Times New Roman"/>
          <w:sz w:val="31"/>
          <w:szCs w:val="31"/>
          <w:shd w:val="clear" w:fill="FFFFFF"/>
        </w:rPr>
        <w:t>12.9</w:t>
      </w:r>
      <w:r>
        <w:rPr>
          <w:rFonts w:hint="eastAsia" w:ascii="方正仿宋_GBK" w:hAnsi="方正仿宋_GBK" w:eastAsia="方正仿宋_GBK" w:cs="方正仿宋_GBK"/>
          <w:sz w:val="31"/>
          <w:szCs w:val="31"/>
          <w:shd w:val="clear" w:fill="FFFFFF"/>
        </w:rPr>
        <w:t>万元，主要原因是</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年退休人员健康休养费做了支付更正，更正了支出功能分类科目。</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（四）一般公共预算财政拨款基本支出决算情况说明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本部门</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年度一般公共财政拨款基本支出</w:t>
      </w:r>
      <w:r>
        <w:rPr>
          <w:rFonts w:hint="default" w:ascii="Times New Roman" w:hAnsi="Times New Roman" w:eastAsia="方正仿宋_GBK" w:cs="Times New Roman"/>
          <w:sz w:val="31"/>
          <w:szCs w:val="31"/>
          <w:shd w:val="clear" w:fill="FFFFFF"/>
        </w:rPr>
        <w:t>690.47</w:t>
      </w:r>
      <w:r>
        <w:rPr>
          <w:rFonts w:hint="eastAsia" w:ascii="方正仿宋_GBK" w:hAnsi="方正仿宋_GBK" w:eastAsia="方正仿宋_GBK" w:cs="方正仿宋_GBK"/>
          <w:sz w:val="31"/>
          <w:szCs w:val="31"/>
          <w:shd w:val="clear" w:fill="FFFFFF"/>
        </w:rPr>
        <w:t>万元。其中：人员经费</w:t>
      </w:r>
      <w:r>
        <w:rPr>
          <w:rFonts w:hint="default" w:ascii="Times New Roman" w:hAnsi="Times New Roman" w:eastAsia="方正仿宋_GBK" w:cs="Times New Roman"/>
          <w:sz w:val="31"/>
          <w:szCs w:val="31"/>
          <w:shd w:val="clear" w:fill="FFFFFF"/>
        </w:rPr>
        <w:t>640.18</w:t>
      </w:r>
      <w:r>
        <w:rPr>
          <w:rFonts w:hint="eastAsia" w:ascii="方正仿宋_GBK" w:hAnsi="方正仿宋_GBK" w:eastAsia="方正仿宋_GBK" w:cs="方正仿宋_GBK"/>
          <w:sz w:val="31"/>
          <w:szCs w:val="31"/>
          <w:shd w:val="clear" w:fill="FFFFFF"/>
        </w:rPr>
        <w:t>万元，较上年决算数增加</w:t>
      </w:r>
      <w:r>
        <w:rPr>
          <w:rFonts w:hint="default" w:ascii="Times New Roman" w:hAnsi="Times New Roman" w:eastAsia="方正仿宋_GBK" w:cs="Times New Roman"/>
          <w:sz w:val="31"/>
          <w:szCs w:val="31"/>
          <w:shd w:val="clear" w:fill="FFFFFF"/>
        </w:rPr>
        <w:t>16.72</w:t>
      </w:r>
      <w:r>
        <w:rPr>
          <w:rFonts w:hint="eastAsia" w:ascii="方正仿宋_GBK" w:hAnsi="方正仿宋_GBK" w:eastAsia="方正仿宋_GBK" w:cs="方正仿宋_GBK"/>
          <w:sz w:val="31"/>
          <w:szCs w:val="31"/>
          <w:shd w:val="clear" w:fill="FFFFFF"/>
        </w:rPr>
        <w:t>万元，增加</w:t>
      </w:r>
      <w:r>
        <w:rPr>
          <w:rFonts w:hint="default" w:ascii="Times New Roman" w:hAnsi="Times New Roman" w:eastAsia="方正仿宋_GBK" w:cs="Times New Roman"/>
          <w:sz w:val="31"/>
          <w:szCs w:val="31"/>
          <w:shd w:val="clear" w:fill="FFFFFF"/>
        </w:rPr>
        <w:t>2.68%</w:t>
      </w:r>
      <w:r>
        <w:rPr>
          <w:rFonts w:hint="eastAsia" w:ascii="方正仿宋_GBK" w:hAnsi="方正仿宋_GBK" w:eastAsia="方正仿宋_GBK" w:cs="方正仿宋_GBK"/>
          <w:sz w:val="31"/>
          <w:szCs w:val="31"/>
          <w:shd w:val="clear" w:fill="FFFFFF"/>
        </w:rPr>
        <w:t>，主要原因是本年人员变动较大，人员调进、考进人员较多。</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（五）政府性基金预算收支决算情况说明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年度政府性基金预算：城乡社区支出</w:t>
      </w:r>
      <w:r>
        <w:rPr>
          <w:rFonts w:hint="default" w:ascii="Times New Roman" w:hAnsi="Times New Roman" w:eastAsia="方正仿宋_GBK" w:cs="Times New Roman"/>
          <w:sz w:val="31"/>
          <w:szCs w:val="31"/>
          <w:shd w:val="clear" w:fill="FFFFFF"/>
        </w:rPr>
        <w:t>18.21</w:t>
      </w:r>
      <w:r>
        <w:rPr>
          <w:rFonts w:hint="eastAsia" w:ascii="方正仿宋_GBK" w:hAnsi="方正仿宋_GBK" w:eastAsia="方正仿宋_GBK" w:cs="方正仿宋_GBK"/>
          <w:sz w:val="31"/>
          <w:szCs w:val="31"/>
          <w:shd w:val="clear" w:fill="FFFFFF"/>
        </w:rPr>
        <w:t>万元，比上年增加</w:t>
      </w:r>
      <w:r>
        <w:rPr>
          <w:rFonts w:hint="default" w:ascii="Times New Roman" w:hAnsi="Times New Roman" w:eastAsia="方正仿宋_GBK" w:cs="Times New Roman"/>
          <w:sz w:val="31"/>
          <w:szCs w:val="31"/>
          <w:shd w:val="clear" w:fill="FFFFFF"/>
        </w:rPr>
        <w:t>18.21</w:t>
      </w:r>
      <w:r>
        <w:rPr>
          <w:rFonts w:hint="eastAsia" w:ascii="方正仿宋_GBK" w:hAnsi="方正仿宋_GBK" w:eastAsia="方正仿宋_GBK" w:cs="方正仿宋_GBK"/>
          <w:sz w:val="31"/>
          <w:szCs w:val="31"/>
          <w:shd w:val="clear" w:fill="FFFFFF"/>
        </w:rPr>
        <w:t>万元；其他支出</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万元，比上年增加</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万元。</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黑体_GBK" w:hAnsi="方正黑体_GBK" w:eastAsia="方正黑体_GBK" w:cs="方正黑体_GBK"/>
          <w:sz w:val="31"/>
          <w:szCs w:val="31"/>
          <w:shd w:val="clear" w:fill="FFFFFF"/>
        </w:rPr>
        <w:t>三、</w:t>
      </w:r>
      <w:r>
        <w:rPr>
          <w:rFonts w:hint="eastAsia" w:ascii="方正仿宋_GBK" w:hAnsi="方正仿宋_GBK" w:eastAsia="方正仿宋_GBK" w:cs="方正仿宋_GBK"/>
          <w:sz w:val="31"/>
          <w:szCs w:val="31"/>
          <w:shd w:val="clear" w:fill="FFFFFF"/>
        </w:rPr>
        <w:t>“</w:t>
      </w:r>
      <w:r>
        <w:rPr>
          <w:rFonts w:hint="eastAsia" w:ascii="方正黑体_GBK" w:hAnsi="方正黑体_GBK" w:eastAsia="方正黑体_GBK" w:cs="方正黑体_GBK"/>
          <w:sz w:val="31"/>
          <w:szCs w:val="31"/>
          <w:shd w:val="clear" w:fill="FFFFFF"/>
        </w:rPr>
        <w:t>三公</w:t>
      </w:r>
      <w:r>
        <w:rPr>
          <w:rFonts w:hint="eastAsia" w:ascii="方正仿宋_GBK" w:hAnsi="方正仿宋_GBK" w:eastAsia="方正仿宋_GBK" w:cs="方正仿宋_GBK"/>
          <w:sz w:val="31"/>
          <w:szCs w:val="31"/>
          <w:shd w:val="clear" w:fill="FFFFFF"/>
        </w:rPr>
        <w:t>”</w:t>
      </w:r>
      <w:r>
        <w:rPr>
          <w:rFonts w:hint="eastAsia" w:ascii="方正黑体_GBK" w:hAnsi="方正黑体_GBK" w:eastAsia="方正黑体_GBK" w:cs="方正黑体_GBK"/>
          <w:sz w:val="31"/>
          <w:szCs w:val="31"/>
          <w:shd w:val="clear" w:fill="FFFFFF"/>
        </w:rPr>
        <w:t>经费情况说明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（一）“三公”经费支出总体情况说明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cs="Times New Roman"/>
          <w:sz w:val="31"/>
          <w:szCs w:val="31"/>
          <w:shd w:val="clear" w:fill="FFFFFF"/>
        </w:rPr>
        <w:t>2023</w:t>
      </w:r>
      <w:r>
        <w:rPr>
          <w:rFonts w:hint="eastAsia" w:ascii="方正仿宋_GBK" w:hAnsi="方正仿宋_GBK" w:eastAsia="方正仿宋_GBK" w:cs="方正仿宋_GBK"/>
          <w:sz w:val="31"/>
          <w:szCs w:val="31"/>
          <w:shd w:val="clear" w:fill="FFFFFF"/>
        </w:rPr>
        <w:t>年度“三公”经费支出共计</w:t>
      </w:r>
      <w:r>
        <w:rPr>
          <w:rFonts w:hint="default" w:ascii="Times New Roman" w:hAnsi="Times New Roman" w:cs="Times New Roman"/>
          <w:sz w:val="31"/>
          <w:szCs w:val="31"/>
          <w:shd w:val="clear" w:fill="FFFFFF"/>
        </w:rPr>
        <w:t>9.2</w:t>
      </w:r>
      <w:r>
        <w:rPr>
          <w:rFonts w:hint="eastAsia" w:ascii="方正仿宋_GBK" w:hAnsi="方正仿宋_GBK" w:eastAsia="方正仿宋_GBK" w:cs="方正仿宋_GBK"/>
          <w:sz w:val="31"/>
          <w:szCs w:val="31"/>
          <w:shd w:val="clear" w:fill="FFFFFF"/>
        </w:rPr>
        <w:t>万元，与年初预算数持平。较上年支出数增加</w:t>
      </w:r>
      <w:r>
        <w:rPr>
          <w:rFonts w:hint="default" w:ascii="Times New Roman" w:hAnsi="Times New Roman" w:cs="Times New Roman"/>
          <w:sz w:val="31"/>
          <w:szCs w:val="31"/>
          <w:shd w:val="clear" w:fill="FFFFFF"/>
        </w:rPr>
        <w:t>6.85</w:t>
      </w:r>
      <w:r>
        <w:rPr>
          <w:rFonts w:hint="eastAsia" w:ascii="方正仿宋_GBK" w:hAnsi="方正仿宋_GBK" w:eastAsia="方正仿宋_GBK" w:cs="方正仿宋_GBK"/>
          <w:sz w:val="31"/>
          <w:szCs w:val="31"/>
          <w:shd w:val="clear" w:fill="FFFFFF"/>
        </w:rPr>
        <w:t>万元，增加</w:t>
      </w:r>
      <w:r>
        <w:rPr>
          <w:rFonts w:hint="default" w:ascii="Times New Roman" w:hAnsi="Times New Roman" w:cs="Times New Roman"/>
          <w:sz w:val="31"/>
          <w:szCs w:val="31"/>
          <w:shd w:val="clear" w:fill="FFFFFF"/>
        </w:rPr>
        <w:t>291.49%</w:t>
      </w:r>
      <w:r>
        <w:rPr>
          <w:rFonts w:hint="eastAsia" w:ascii="方正仿宋_GBK" w:hAnsi="方正仿宋_GBK" w:eastAsia="方正仿宋_GBK" w:cs="方正仿宋_GBK"/>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主要原因：一是</w:t>
      </w:r>
      <w:r>
        <w:rPr>
          <w:rFonts w:hint="default" w:ascii="Times New Roman" w:hAnsi="Times New Roman" w:cs="Times New Roman"/>
          <w:sz w:val="31"/>
          <w:szCs w:val="31"/>
          <w:shd w:val="clear" w:fill="FFFFFF"/>
        </w:rPr>
        <w:t>2022</w:t>
      </w:r>
      <w:r>
        <w:rPr>
          <w:rFonts w:hint="eastAsia" w:ascii="方正仿宋_GBK" w:hAnsi="方正仿宋_GBK" w:eastAsia="方正仿宋_GBK" w:cs="方正仿宋_GBK"/>
          <w:sz w:val="31"/>
          <w:szCs w:val="31"/>
          <w:shd w:val="clear" w:fill="FFFFFF"/>
        </w:rPr>
        <w:t>年度决算根据拨款结余表做的，不是准确数据，</w:t>
      </w:r>
      <w:r>
        <w:rPr>
          <w:rFonts w:hint="default" w:ascii="Times New Roman" w:hAnsi="Times New Roman" w:cs="Times New Roman"/>
          <w:sz w:val="31"/>
          <w:szCs w:val="31"/>
          <w:shd w:val="clear" w:fill="FFFFFF"/>
        </w:rPr>
        <w:t>2023</w:t>
      </w:r>
      <w:r>
        <w:rPr>
          <w:rFonts w:hint="eastAsia" w:ascii="方正仿宋_GBK" w:hAnsi="方正仿宋_GBK" w:eastAsia="方正仿宋_GBK" w:cs="方正仿宋_GBK"/>
          <w:sz w:val="31"/>
          <w:szCs w:val="31"/>
          <w:shd w:val="clear" w:fill="FFFFFF"/>
        </w:rPr>
        <w:t>年度实际三公经费并未增加。我单位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（二）“三公”经费分项支出情况</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本单位</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年度未发生因公出国（境）费用。与</w:t>
      </w:r>
      <w:r>
        <w:rPr>
          <w:rFonts w:hint="default" w:ascii="Times New Roman" w:hAnsi="Times New Roman" w:eastAsia="方正仿宋_GBK" w:cs="Times New Roman"/>
          <w:sz w:val="31"/>
          <w:szCs w:val="31"/>
          <w:shd w:val="clear" w:fill="FFFFFF"/>
        </w:rPr>
        <w:t>2022</w:t>
      </w:r>
      <w:r>
        <w:rPr>
          <w:rFonts w:hint="eastAsia" w:ascii="方正仿宋_GBK" w:hAnsi="方正仿宋_GBK" w:eastAsia="方正仿宋_GBK" w:cs="方正仿宋_GBK"/>
          <w:sz w:val="31"/>
          <w:szCs w:val="31"/>
          <w:shd w:val="clear" w:fill="FFFFFF"/>
        </w:rPr>
        <w:t>年持平。</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本单位</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年度未发生公务车购置费。与</w:t>
      </w:r>
      <w:r>
        <w:rPr>
          <w:rFonts w:hint="default" w:ascii="Times New Roman" w:hAnsi="Times New Roman" w:eastAsia="方正仿宋_GBK" w:cs="Times New Roman"/>
          <w:sz w:val="31"/>
          <w:szCs w:val="31"/>
          <w:shd w:val="clear" w:fill="FFFFFF"/>
        </w:rPr>
        <w:t>2022</w:t>
      </w:r>
      <w:r>
        <w:rPr>
          <w:rFonts w:hint="eastAsia" w:ascii="方正仿宋_GBK" w:hAnsi="方正仿宋_GBK" w:eastAsia="方正仿宋_GBK" w:cs="方正仿宋_GBK"/>
          <w:sz w:val="31"/>
          <w:szCs w:val="31"/>
          <w:shd w:val="clear" w:fill="FFFFFF"/>
        </w:rPr>
        <w:t>年持平。公务车运行维护费</w:t>
      </w:r>
      <w:r>
        <w:rPr>
          <w:rFonts w:hint="default" w:ascii="Times New Roman" w:hAnsi="Times New Roman" w:eastAsia="方正仿宋_GBK" w:cs="Times New Roman"/>
          <w:sz w:val="31"/>
          <w:szCs w:val="31"/>
          <w:shd w:val="clear" w:fill="FFFFFF"/>
        </w:rPr>
        <w:t>6.2</w:t>
      </w:r>
      <w:r>
        <w:rPr>
          <w:rFonts w:hint="eastAsia" w:ascii="方正仿宋_GBK" w:hAnsi="方正仿宋_GBK" w:eastAsia="方正仿宋_GBK" w:cs="方正仿宋_GBK"/>
          <w:sz w:val="31"/>
          <w:szCs w:val="31"/>
          <w:shd w:val="clear" w:fill="FFFFFF"/>
        </w:rPr>
        <w:t>万元，主要用于机要文件交换、市内因公出行、财政业务检查等工作所需车辆的燃料费、维修费、过桥过路费、保险费等。费用支出与年初预算数持平。</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公务接待费</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万元，主要用于接受相关部门检查指导工作发生的接待支出。费用支出较年初预算数持平，主要原因是严控三公支出，厉行节俭。</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（三）“三公”经费实物量情况</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年度本部门因公出国（境）共计</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组，</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人；公务用车购置</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辆，公务车保有量为</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辆；国内公务接待</w:t>
      </w:r>
      <w:r>
        <w:rPr>
          <w:rFonts w:hint="default" w:ascii="Times New Roman" w:hAnsi="Times New Roman" w:eastAsia="方正仿宋_GBK" w:cs="Times New Roman"/>
          <w:sz w:val="31"/>
          <w:szCs w:val="31"/>
          <w:shd w:val="clear" w:fill="FFFFFF"/>
        </w:rPr>
        <w:t>136</w:t>
      </w:r>
      <w:r>
        <w:rPr>
          <w:rFonts w:hint="eastAsia" w:ascii="方正仿宋_GBK" w:hAnsi="方正仿宋_GBK" w:eastAsia="方正仿宋_GBK" w:cs="方正仿宋_GBK"/>
          <w:sz w:val="31"/>
          <w:szCs w:val="31"/>
          <w:shd w:val="clear" w:fill="FFFFFF"/>
        </w:rPr>
        <w:t>批次，</w:t>
      </w:r>
      <w:r>
        <w:rPr>
          <w:rFonts w:hint="default" w:ascii="Times New Roman" w:hAnsi="Times New Roman" w:eastAsia="方正仿宋_GBK" w:cs="Times New Roman"/>
          <w:sz w:val="31"/>
          <w:szCs w:val="31"/>
          <w:shd w:val="clear" w:fill="FFFFFF"/>
        </w:rPr>
        <w:t>680</w:t>
      </w:r>
      <w:r>
        <w:rPr>
          <w:rFonts w:hint="eastAsia" w:ascii="方正仿宋_GBK" w:hAnsi="方正仿宋_GBK" w:eastAsia="方正仿宋_GBK" w:cs="方正仿宋_GBK"/>
          <w:sz w:val="31"/>
          <w:szCs w:val="31"/>
          <w:shd w:val="clear" w:fill="FFFFFF"/>
        </w:rPr>
        <w:t>人次，其中：国内外事接待</w:t>
      </w:r>
      <w:r>
        <w:rPr>
          <w:rFonts w:hint="default" w:ascii="Times New Roman" w:hAnsi="Times New Roman" w:eastAsia="方正仿宋_GBK" w:cs="Times New Roman"/>
          <w:sz w:val="31"/>
          <w:szCs w:val="31"/>
          <w:shd w:val="clear" w:fill="FFFFFF"/>
        </w:rPr>
        <w:t>136</w:t>
      </w:r>
      <w:r>
        <w:rPr>
          <w:rFonts w:hint="eastAsia" w:ascii="方正仿宋_GBK" w:hAnsi="方正仿宋_GBK" w:eastAsia="方正仿宋_GBK" w:cs="方正仿宋_GBK"/>
          <w:sz w:val="31"/>
          <w:szCs w:val="31"/>
          <w:shd w:val="clear" w:fill="FFFFFF"/>
        </w:rPr>
        <w:t>批次，</w:t>
      </w:r>
      <w:r>
        <w:rPr>
          <w:rFonts w:hint="default" w:ascii="Times New Roman" w:hAnsi="Times New Roman" w:eastAsia="方正仿宋_GBK" w:cs="Times New Roman"/>
          <w:sz w:val="31"/>
          <w:szCs w:val="31"/>
          <w:shd w:val="clear" w:fill="FFFFFF"/>
        </w:rPr>
        <w:t>680</w:t>
      </w:r>
      <w:r>
        <w:rPr>
          <w:rFonts w:hint="eastAsia" w:ascii="方正仿宋_GBK" w:hAnsi="方正仿宋_GBK" w:eastAsia="方正仿宋_GBK" w:cs="方正仿宋_GBK"/>
          <w:sz w:val="31"/>
          <w:szCs w:val="31"/>
          <w:shd w:val="clear" w:fill="FFFFFF"/>
        </w:rPr>
        <w:t>人；国（境）外公务接待</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批次，</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人。</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年本部门人均接待费</w:t>
      </w:r>
      <w:r>
        <w:rPr>
          <w:rFonts w:hint="default" w:ascii="Times New Roman" w:hAnsi="Times New Roman" w:eastAsia="方正仿宋_GBK" w:cs="Times New Roman"/>
          <w:sz w:val="31"/>
          <w:szCs w:val="31"/>
          <w:shd w:val="clear" w:fill="FFFFFF"/>
        </w:rPr>
        <w:t>44.12</w:t>
      </w:r>
      <w:r>
        <w:rPr>
          <w:rFonts w:hint="eastAsia" w:ascii="方正仿宋_GBK" w:hAnsi="方正仿宋_GBK" w:eastAsia="方正仿宋_GBK" w:cs="方正仿宋_GBK"/>
          <w:sz w:val="31"/>
          <w:szCs w:val="31"/>
          <w:shd w:val="clear" w:fill="FFFFFF"/>
        </w:rPr>
        <w:t>元，车均购置费</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万元，车均维护费</w:t>
      </w:r>
      <w:r>
        <w:rPr>
          <w:rFonts w:hint="default" w:ascii="Times New Roman" w:hAnsi="Times New Roman" w:eastAsia="方正仿宋_GBK" w:cs="Times New Roman"/>
          <w:sz w:val="31"/>
          <w:szCs w:val="31"/>
          <w:shd w:val="clear" w:fill="FFFFFF"/>
        </w:rPr>
        <w:t>0.21</w:t>
      </w:r>
      <w:r>
        <w:rPr>
          <w:rFonts w:hint="eastAsia" w:ascii="方正仿宋_GBK" w:hAnsi="方正仿宋_GBK" w:eastAsia="方正仿宋_GBK" w:cs="方正仿宋_GBK"/>
          <w:sz w:val="31"/>
          <w:szCs w:val="31"/>
          <w:shd w:val="clear" w:fill="FFFFFF"/>
        </w:rPr>
        <w:t>万元。</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黑体_GBK" w:hAnsi="方正黑体_GBK" w:eastAsia="方正黑体_GBK" w:cs="方正黑体_GBK"/>
          <w:sz w:val="31"/>
          <w:szCs w:val="31"/>
          <w:shd w:val="clear" w:fill="FFFFFF"/>
        </w:rPr>
        <w:t>四、其他需要说明的事项</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（一）机关运行经费情况说明。</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年度本部门机关运行经费支出</w:t>
      </w:r>
      <w:r>
        <w:rPr>
          <w:rFonts w:hint="default" w:ascii="Times New Roman" w:hAnsi="Times New Roman" w:eastAsia="方正仿宋_GBK" w:cs="Times New Roman"/>
          <w:sz w:val="31"/>
          <w:szCs w:val="31"/>
          <w:shd w:val="clear" w:fill="FFFFFF"/>
        </w:rPr>
        <w:t>50.29 </w:t>
      </w:r>
      <w:r>
        <w:rPr>
          <w:rFonts w:hint="eastAsia" w:ascii="方正仿宋_GBK" w:hAnsi="方正仿宋_GBK" w:eastAsia="方正仿宋_GBK" w:cs="方正仿宋_GBK"/>
          <w:sz w:val="31"/>
          <w:szCs w:val="31"/>
          <w:shd w:val="clear" w:fill="FFFFFF"/>
        </w:rPr>
        <w:t>万元，机关运行经费主要用于开支办公费，公务车运行维护费，伙食费，印刷费，邮电费，差旅费，办公用房水电费以及垃圾分类、工作宣传等。机关运行经费较上年决算数减少</w:t>
      </w:r>
      <w:r>
        <w:rPr>
          <w:rFonts w:hint="default" w:ascii="Times New Roman" w:hAnsi="Times New Roman" w:eastAsia="方正仿宋_GBK" w:cs="Times New Roman"/>
          <w:sz w:val="31"/>
          <w:szCs w:val="31"/>
          <w:shd w:val="clear" w:fill="FFFFFF"/>
        </w:rPr>
        <w:t>37.47</w:t>
      </w:r>
      <w:r>
        <w:rPr>
          <w:rFonts w:hint="eastAsia" w:ascii="方正仿宋_GBK" w:hAnsi="方正仿宋_GBK" w:eastAsia="方正仿宋_GBK" w:cs="方正仿宋_GBK"/>
          <w:sz w:val="31"/>
          <w:szCs w:val="31"/>
          <w:shd w:val="clear" w:fill="FFFFFF"/>
        </w:rPr>
        <w:t>万元，主要原因是保证政府运行费用有所减少。其中，</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年度会议费支出</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万元，培训费支出</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（二）国有资产占用情况说明。</w:t>
      </w:r>
      <w:r>
        <w:rPr>
          <w:rFonts w:hint="eastAsia" w:ascii="方正仿宋_GBK" w:hAnsi="方正仿宋_GBK" w:eastAsia="方正仿宋_GBK" w:cs="方正仿宋_GBK"/>
          <w:sz w:val="31"/>
          <w:szCs w:val="31"/>
          <w:shd w:val="clear" w:fill="FFFFFF"/>
        </w:rPr>
        <w:t>截至</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12</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31</w:t>
      </w:r>
      <w:r>
        <w:rPr>
          <w:rFonts w:hint="eastAsia" w:ascii="方正仿宋_GBK" w:hAnsi="方正仿宋_GBK" w:eastAsia="方正仿宋_GBK" w:cs="方正仿宋_GBK"/>
          <w:sz w:val="31"/>
          <w:szCs w:val="31"/>
          <w:shd w:val="clear" w:fill="FFFFFF"/>
        </w:rPr>
        <w:t>日，本部门共有车辆</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辆，其中，副部（省）级及以上领导用车</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辆、主要领导干部用车</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辆、机要通信用车</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辆、应急保障用车</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辆、执法执勤用车</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辆，特种专业技术用车</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辆，离退休干部用车</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辆，其他用车</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辆。单价</w:t>
      </w:r>
      <w:r>
        <w:rPr>
          <w:rFonts w:hint="default" w:ascii="Times New Roman" w:hAnsi="Times New Roman" w:eastAsia="方正仿宋_GBK" w:cs="Times New Roman"/>
          <w:sz w:val="31"/>
          <w:szCs w:val="31"/>
          <w:shd w:val="clear" w:fill="FFFFFF"/>
        </w:rPr>
        <w:t>50</w:t>
      </w:r>
      <w:r>
        <w:rPr>
          <w:rFonts w:hint="eastAsia" w:ascii="方正仿宋_GBK" w:hAnsi="方正仿宋_GBK" w:eastAsia="方正仿宋_GBK" w:cs="方正仿宋_GBK"/>
          <w:sz w:val="31"/>
          <w:szCs w:val="31"/>
          <w:shd w:val="clear" w:fill="FFFFFF"/>
        </w:rPr>
        <w:t>万元以上通用设备</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台（套），单价</w:t>
      </w:r>
      <w:r>
        <w:rPr>
          <w:rFonts w:hint="default" w:ascii="Times New Roman" w:hAnsi="Times New Roman" w:eastAsia="方正仿宋_GBK" w:cs="Times New Roman"/>
          <w:sz w:val="31"/>
          <w:szCs w:val="31"/>
          <w:shd w:val="clear" w:fill="FFFFFF"/>
        </w:rPr>
        <w:t>100</w:t>
      </w:r>
      <w:r>
        <w:rPr>
          <w:rFonts w:hint="eastAsia" w:ascii="方正仿宋_GBK" w:hAnsi="方正仿宋_GBK" w:eastAsia="方正仿宋_GBK" w:cs="方正仿宋_GBK"/>
          <w:sz w:val="31"/>
          <w:szCs w:val="31"/>
          <w:shd w:val="clear" w:fill="FFFFFF"/>
        </w:rPr>
        <w:t>万元以上专用设备</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台（套）。</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（三）政府采购支出情况说明。</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年度本部门政府采购支出总额</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万元，其中：政府采购货物支出</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万元、政府采购工程支出</w:t>
      </w:r>
      <w:r>
        <w:rPr>
          <w:rFonts w:hint="default" w:ascii="Times New Roman" w:hAnsi="Times New Roman" w:eastAsia="方正仿宋_GBK" w:cs="Times New Roman"/>
          <w:sz w:val="31"/>
          <w:szCs w:val="31"/>
          <w:shd w:val="clear" w:fill="FFFFFF"/>
        </w:rPr>
        <w:t>0.00</w:t>
      </w:r>
      <w:r>
        <w:rPr>
          <w:rFonts w:hint="eastAsia" w:ascii="方正仿宋_GBK" w:hAnsi="方正仿宋_GBK" w:eastAsia="方正仿宋_GBK" w:cs="方正仿宋_GBK"/>
          <w:sz w:val="31"/>
          <w:szCs w:val="31"/>
          <w:shd w:val="clear" w:fill="FFFFFF"/>
        </w:rPr>
        <w:t>万元、政府采购服务支出</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万元。授予中小企业合同金额</w:t>
      </w:r>
      <w:r>
        <w:rPr>
          <w:rFonts w:hint="default" w:ascii="Times New Roman" w:hAnsi="Times New Roman" w:eastAsia="方正仿宋_GBK" w:cs="Times New Roman"/>
          <w:sz w:val="31"/>
          <w:szCs w:val="31"/>
          <w:shd w:val="clear" w:fill="FFFFFF"/>
        </w:rPr>
        <w:t>0</w:t>
      </w:r>
      <w:r>
        <w:rPr>
          <w:rFonts w:hint="eastAsia" w:ascii="方正仿宋_GBK" w:hAnsi="方正仿宋_GBK" w:eastAsia="方正仿宋_GBK" w:cs="方正仿宋_GBK"/>
          <w:sz w:val="31"/>
          <w:szCs w:val="31"/>
          <w:shd w:val="clear" w:fill="FFFFFF"/>
        </w:rPr>
        <w:t>万元。</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黑体_GBK" w:hAnsi="方正黑体_GBK" w:eastAsia="方正黑体_GBK" w:cs="方正黑体_GBK"/>
          <w:sz w:val="31"/>
          <w:szCs w:val="31"/>
          <w:shd w:val="clear" w:fill="FFFFFF"/>
        </w:rPr>
        <w:t>五、预算绩效管理情况说明</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（一）预算绩效管理工作开展情况</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根据预算绩效管理要求，本部门对</w:t>
      </w:r>
      <w:r>
        <w:rPr>
          <w:rFonts w:hint="default" w:ascii="Times New Roman" w:hAnsi="Times New Roman" w:eastAsia="方正仿宋_GBK" w:cs="Times New Roman"/>
          <w:sz w:val="31"/>
          <w:szCs w:val="31"/>
          <w:shd w:val="clear" w:fill="FFFFFF"/>
        </w:rPr>
        <w:t>71</w:t>
      </w:r>
      <w:r>
        <w:rPr>
          <w:rFonts w:hint="eastAsia" w:ascii="方正仿宋_GBK" w:hAnsi="方正仿宋_GBK" w:eastAsia="方正仿宋_GBK" w:cs="方正仿宋_GBK"/>
          <w:sz w:val="31"/>
          <w:szCs w:val="31"/>
          <w:shd w:val="clear" w:fill="FFFFFF"/>
        </w:rPr>
        <w:t>个项目开展了绩效自评，其中，以填报目标自评表形式开展自评</w:t>
      </w:r>
      <w:r>
        <w:rPr>
          <w:rFonts w:hint="default" w:ascii="Times New Roman" w:hAnsi="Times New Roman" w:eastAsia="方正仿宋_GBK" w:cs="Times New Roman"/>
          <w:sz w:val="31"/>
          <w:szCs w:val="31"/>
          <w:shd w:val="clear" w:fill="FFFFFF"/>
        </w:rPr>
        <w:t>71</w:t>
      </w:r>
      <w:r>
        <w:rPr>
          <w:rFonts w:hint="eastAsia" w:ascii="方正仿宋_GBK" w:hAnsi="方正仿宋_GBK" w:eastAsia="方正仿宋_GBK" w:cs="方正仿宋_GBK"/>
          <w:sz w:val="31"/>
          <w:szCs w:val="31"/>
          <w:shd w:val="clear" w:fill="FFFFFF"/>
        </w:rPr>
        <w:t>项，涉及资金</w:t>
      </w:r>
      <w:r>
        <w:rPr>
          <w:rFonts w:hint="default" w:ascii="Times New Roman" w:hAnsi="Times New Roman" w:eastAsia="方正仿宋_GBK" w:cs="Times New Roman"/>
          <w:sz w:val="31"/>
          <w:szCs w:val="31"/>
          <w:shd w:val="clear" w:fill="FFFFFF"/>
        </w:rPr>
        <w:t>990.07</w:t>
      </w:r>
      <w:r>
        <w:rPr>
          <w:rFonts w:hint="eastAsia" w:ascii="方正仿宋_GBK" w:hAnsi="方正仿宋_GBK" w:eastAsia="方正仿宋_GBK" w:cs="方正仿宋_GBK"/>
          <w:sz w:val="31"/>
          <w:szCs w:val="31"/>
          <w:shd w:val="clear" w:fill="FFFFFF"/>
        </w:rPr>
        <w:t>万元。从评价情况来看，各项目建设情况良好。</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（二）绩效自评结果</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绩效目标自评表</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部门整体绩效自评表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775"/>
        <w:gridCol w:w="749"/>
        <w:gridCol w:w="370"/>
        <w:gridCol w:w="45"/>
        <w:gridCol w:w="533"/>
        <w:gridCol w:w="558"/>
        <w:gridCol w:w="80"/>
        <w:gridCol w:w="579"/>
        <w:gridCol w:w="324"/>
        <w:gridCol w:w="559"/>
        <w:gridCol w:w="8"/>
        <w:gridCol w:w="821"/>
        <w:gridCol w:w="945"/>
        <w:gridCol w:w="945"/>
        <w:gridCol w:w="116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75" w:hRule="atLeast"/>
        </w:trPr>
        <w:tc>
          <w:tcPr>
            <w:tcW w:w="915" w:type="dxa"/>
            <w:vMerge w:val="restart"/>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225"/>
            </w:pPr>
            <w:r>
              <w:rPr>
                <w:rFonts w:hint="eastAsia" w:ascii="宋体" w:hAnsi="宋体" w:eastAsia="宋体" w:cs="宋体"/>
                <w:sz w:val="22"/>
                <w:szCs w:val="22"/>
                <w:bdr w:val="none" w:color="auto" w:sz="0" w:space="0"/>
              </w:rPr>
              <w:t>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部门</w:t>
            </w:r>
          </w:p>
        </w:tc>
        <w:tc>
          <w:tcPr>
            <w:tcW w:w="1290" w:type="dxa"/>
            <w:gridSpan w:val="2"/>
            <w:vMerge w:val="restart"/>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鸡鸣乡人民政府</w:t>
            </w:r>
          </w:p>
        </w:tc>
        <w:tc>
          <w:tcPr>
            <w:tcW w:w="720" w:type="dxa"/>
            <w:gridSpan w:val="2"/>
            <w:vMerge w:val="restart"/>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财政处室</w:t>
            </w:r>
          </w:p>
        </w:tc>
        <w:tc>
          <w:tcPr>
            <w:tcW w:w="840" w:type="dxa"/>
            <w:gridSpan w:val="2"/>
            <w:vMerge w:val="restart"/>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财政办</w:t>
            </w:r>
          </w:p>
        </w:tc>
        <w:tc>
          <w:tcPr>
            <w:tcW w:w="1935" w:type="dxa"/>
            <w:gridSpan w:val="3"/>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自评总分（分）</w:t>
            </w:r>
          </w:p>
        </w:tc>
        <w:tc>
          <w:tcPr>
            <w:tcW w:w="4455" w:type="dxa"/>
            <w:gridSpan w:val="5"/>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15" w:hRule="atLeast"/>
        </w:trPr>
        <w:tc>
          <w:tcPr>
            <w:tcW w:w="91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1290" w:type="dxa"/>
            <w:gridSpan w:val="2"/>
            <w:vMerge w:val="continue"/>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720" w:type="dxa"/>
            <w:gridSpan w:val="2"/>
            <w:vMerge w:val="continue"/>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840" w:type="dxa"/>
            <w:gridSpan w:val="2"/>
            <w:vMerge w:val="continue"/>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1935" w:type="dxa"/>
            <w:gridSpan w:val="3"/>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联系人</w:t>
            </w:r>
          </w:p>
        </w:tc>
        <w:tc>
          <w:tcPr>
            <w:tcW w:w="930" w:type="dxa"/>
            <w:gridSpan w:val="2"/>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廖代吉</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联系电话</w:t>
            </w:r>
          </w:p>
        </w:tc>
        <w:tc>
          <w:tcPr>
            <w:tcW w:w="2490" w:type="dxa"/>
            <w:gridSpan w:val="2"/>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50292000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00" w:hRule="atLeast"/>
        </w:trPr>
        <w:tc>
          <w:tcPr>
            <w:tcW w:w="915" w:type="dxa"/>
            <w:vMerge w:val="restart"/>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部门预算执行情况</w:t>
            </w:r>
          </w:p>
        </w:tc>
        <w:tc>
          <w:tcPr>
            <w:tcW w:w="1290" w:type="dxa"/>
            <w:gridSpan w:val="2"/>
            <w:vMerge w:val="restart"/>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（万元）</w:t>
            </w:r>
          </w:p>
        </w:tc>
        <w:tc>
          <w:tcPr>
            <w:tcW w:w="720" w:type="dxa"/>
            <w:gridSpan w:val="2"/>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预算数</w:t>
            </w:r>
          </w:p>
        </w:tc>
        <w:tc>
          <w:tcPr>
            <w:tcW w:w="2025" w:type="dxa"/>
            <w:gridSpan w:val="4"/>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全年（调整）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预算数</w:t>
            </w:r>
          </w:p>
        </w:tc>
        <w:tc>
          <w:tcPr>
            <w:tcW w:w="1680" w:type="dxa"/>
            <w:gridSpan w:val="3"/>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全年执行数</w:t>
            </w:r>
          </w:p>
        </w:tc>
        <w:tc>
          <w:tcPr>
            <w:tcW w:w="105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w:t>
            </w:r>
          </w:p>
        </w:tc>
        <w:tc>
          <w:tcPr>
            <w:tcW w:w="105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权重</w:t>
            </w:r>
          </w:p>
        </w:tc>
        <w:tc>
          <w:tcPr>
            <w:tcW w:w="144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30" w:hRule="atLeast"/>
        </w:trPr>
        <w:tc>
          <w:tcPr>
            <w:tcW w:w="9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1290" w:type="dxa"/>
            <w:gridSpan w:val="2"/>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720" w:type="dxa"/>
            <w:gridSpan w:val="2"/>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897</w:t>
            </w:r>
          </w:p>
        </w:tc>
        <w:tc>
          <w:tcPr>
            <w:tcW w:w="2025" w:type="dxa"/>
            <w:gridSpan w:val="4"/>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783.54</w:t>
            </w:r>
          </w:p>
        </w:tc>
        <w:tc>
          <w:tcPr>
            <w:tcW w:w="1680" w:type="dxa"/>
            <w:gridSpan w:val="3"/>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1680.54</w:t>
            </w:r>
          </w:p>
        </w:tc>
        <w:tc>
          <w:tcPr>
            <w:tcW w:w="105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100</w:t>
            </w:r>
          </w:p>
        </w:tc>
        <w:tc>
          <w:tcPr>
            <w:tcW w:w="105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100%</w:t>
            </w:r>
          </w:p>
        </w:tc>
        <w:tc>
          <w:tcPr>
            <w:tcW w:w="144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20" w:hRule="atLeast"/>
        </w:trPr>
        <w:tc>
          <w:tcPr>
            <w:tcW w:w="915" w:type="dxa"/>
            <w:vMerge w:val="restart"/>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当年绩效目标</w:t>
            </w:r>
          </w:p>
        </w:tc>
        <w:tc>
          <w:tcPr>
            <w:tcW w:w="2010" w:type="dxa"/>
            <w:gridSpan w:val="4"/>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年初绩效目标</w:t>
            </w:r>
          </w:p>
        </w:tc>
        <w:tc>
          <w:tcPr>
            <w:tcW w:w="3705" w:type="dxa"/>
            <w:gridSpan w:val="7"/>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全年（调整）绩效目标</w:t>
            </w:r>
          </w:p>
        </w:tc>
        <w:tc>
          <w:tcPr>
            <w:tcW w:w="3540" w:type="dxa"/>
            <w:gridSpan w:val="3"/>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470" w:hRule="atLeast"/>
        </w:trPr>
        <w:tc>
          <w:tcPr>
            <w:tcW w:w="9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2010" w:type="dxa"/>
            <w:gridSpan w:val="4"/>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1.保障乡镇日常运转。2.保障村社区日常运转保障、人员经费。3.保障贫困村服务群众经费，促进贫困村工作开展。</w:t>
            </w:r>
          </w:p>
        </w:tc>
        <w:tc>
          <w:tcPr>
            <w:tcW w:w="3705" w:type="dxa"/>
            <w:gridSpan w:val="7"/>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1.改善人居环境，为场镇居民打造优美舒适的居住环境。2.防洪抗汛，保障群众生命财产安全。3.贯彻落实各项基建、民生等项目，为群众增收，拓宽增收渠道。</w:t>
            </w:r>
          </w:p>
        </w:tc>
        <w:tc>
          <w:tcPr>
            <w:tcW w:w="3540" w:type="dxa"/>
            <w:gridSpan w:val="3"/>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贯彻执行上级的各项方针政策，稳定和完善农村基本经营管理，加强农业基础设施建设，改善农业生产条件，确保各项工作目标任务圆满完成。2.落实乡村振兴推进工作；加强项目建设，促进农业发展、加强人居环境提升、各项补贴、基础设施等项目建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25" w:hRule="atLeast"/>
        </w:trPr>
        <w:tc>
          <w:tcPr>
            <w:tcW w:w="915" w:type="dxa"/>
            <w:vMerge w:val="restart"/>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绩效指标</w:t>
            </w:r>
          </w:p>
        </w:tc>
        <w:tc>
          <w:tcPr>
            <w:tcW w:w="90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名称</w:t>
            </w:r>
          </w:p>
        </w:tc>
        <w:tc>
          <w:tcPr>
            <w:tcW w:w="450" w:type="dxa"/>
            <w:gridSpan w:val="2"/>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单位</w:t>
            </w:r>
          </w:p>
        </w:tc>
        <w:tc>
          <w:tcPr>
            <w:tcW w:w="66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性质</w:t>
            </w:r>
          </w:p>
        </w:tc>
        <w:tc>
          <w:tcPr>
            <w:tcW w:w="705"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值</w:t>
            </w:r>
          </w:p>
        </w:tc>
        <w:tc>
          <w:tcPr>
            <w:tcW w:w="885" w:type="dxa"/>
            <w:gridSpan w:val="2"/>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值</w:t>
            </w:r>
          </w:p>
        </w:tc>
        <w:tc>
          <w:tcPr>
            <w:tcW w:w="1200" w:type="dxa"/>
            <w:gridSpan w:val="3"/>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值</w:t>
            </w:r>
          </w:p>
        </w:tc>
        <w:tc>
          <w:tcPr>
            <w:tcW w:w="915"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指标权重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（分）</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（分）</w:t>
            </w:r>
          </w:p>
        </w:tc>
        <w:tc>
          <w:tcPr>
            <w:tcW w:w="1440"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是否核心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0" w:hRule="atLeast"/>
        </w:trPr>
        <w:tc>
          <w:tcPr>
            <w:tcW w:w="9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90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产出指标</w:t>
            </w:r>
          </w:p>
        </w:tc>
        <w:tc>
          <w:tcPr>
            <w:tcW w:w="450" w:type="dxa"/>
            <w:gridSpan w:val="2"/>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w:t>
            </w:r>
          </w:p>
        </w:tc>
        <w:tc>
          <w:tcPr>
            <w:tcW w:w="66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数量指标</w:t>
            </w:r>
          </w:p>
        </w:tc>
        <w:tc>
          <w:tcPr>
            <w:tcW w:w="705"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897</w:t>
            </w:r>
          </w:p>
        </w:tc>
        <w:tc>
          <w:tcPr>
            <w:tcW w:w="885" w:type="dxa"/>
            <w:gridSpan w:val="2"/>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783.54</w:t>
            </w:r>
          </w:p>
        </w:tc>
        <w:tc>
          <w:tcPr>
            <w:tcW w:w="1200" w:type="dxa"/>
            <w:gridSpan w:val="3"/>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1680.54</w:t>
            </w:r>
          </w:p>
        </w:tc>
        <w:tc>
          <w:tcPr>
            <w:tcW w:w="915"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96</w:t>
            </w:r>
          </w:p>
        </w:tc>
        <w:tc>
          <w:tcPr>
            <w:tcW w:w="105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50</w:t>
            </w:r>
          </w:p>
        </w:tc>
        <w:tc>
          <w:tcPr>
            <w:tcW w:w="105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50</w:t>
            </w:r>
          </w:p>
        </w:tc>
        <w:tc>
          <w:tcPr>
            <w:tcW w:w="1440"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810" w:hRule="atLeast"/>
        </w:trPr>
        <w:tc>
          <w:tcPr>
            <w:tcW w:w="915"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pPr>
            <w:r>
              <w:rPr>
                <w:rFonts w:hint="eastAsia" w:ascii="宋体" w:hAnsi="宋体" w:eastAsia="宋体" w:cs="宋体"/>
                <w:sz w:val="22"/>
                <w:szCs w:val="22"/>
                <w:bdr w:val="none" w:color="auto" w:sz="0" w:space="0"/>
              </w:rPr>
              <w:t>说明</w:t>
            </w:r>
          </w:p>
        </w:tc>
        <w:tc>
          <w:tcPr>
            <w:tcW w:w="9240" w:type="dxa"/>
            <w:gridSpan w:val="14"/>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r>
    </w:tbl>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一</w:t>
      </w:r>
      <w:r>
        <w:rPr>
          <w:rFonts w:hint="default" w:ascii="Times New Roman" w:hAnsi="Times New Roman" w:eastAsia="方正仿宋_GBK" w:cs="Times New Roman"/>
          <w:sz w:val="31"/>
          <w:szCs w:val="31"/>
          <w:shd w:val="clear" w:fill="FFFFFF"/>
        </w:rPr>
        <w:t>/</w:t>
      </w:r>
      <w:r>
        <w:rPr>
          <w:rFonts w:hint="eastAsia" w:ascii="方正仿宋_GBK" w:hAnsi="方正仿宋_GBK" w:eastAsia="方正仿宋_GBK" w:cs="方正仿宋_GBK"/>
          <w:sz w:val="31"/>
          <w:szCs w:val="31"/>
          <w:shd w:val="clear" w:fill="FFFFFF"/>
        </w:rPr>
        <w:t>二级项目绩效自评表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603"/>
        <w:gridCol w:w="613"/>
        <w:gridCol w:w="589"/>
        <w:gridCol w:w="175"/>
        <w:gridCol w:w="414"/>
        <w:gridCol w:w="325"/>
        <w:gridCol w:w="264"/>
        <w:gridCol w:w="655"/>
        <w:gridCol w:w="994"/>
        <w:gridCol w:w="806"/>
        <w:gridCol w:w="162"/>
        <w:gridCol w:w="750"/>
        <w:gridCol w:w="148"/>
        <w:gridCol w:w="834"/>
        <w:gridCol w:w="217"/>
        <w:gridCol w:w="90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050" w:hRule="atLeast"/>
        </w:trPr>
        <w:tc>
          <w:tcPr>
            <w:tcW w:w="615"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名称</w:t>
            </w:r>
          </w:p>
        </w:tc>
        <w:tc>
          <w:tcPr>
            <w:tcW w:w="1890" w:type="dxa"/>
            <w:gridSpan w:val="3"/>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2023年鸡鸣乡积分兑现制度改补为奖项目</w:t>
            </w:r>
          </w:p>
        </w:tc>
        <w:tc>
          <w:tcPr>
            <w:tcW w:w="900" w:type="dxa"/>
            <w:gridSpan w:val="2"/>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编码</w:t>
            </w:r>
          </w:p>
        </w:tc>
        <w:tc>
          <w:tcPr>
            <w:tcW w:w="1140" w:type="dxa"/>
            <w:gridSpan w:val="2"/>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1155" w:type="dxa"/>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总分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（分）</w:t>
            </w:r>
          </w:p>
        </w:tc>
        <w:tc>
          <w:tcPr>
            <w:tcW w:w="4425" w:type="dxa"/>
            <w:gridSpan w:val="7"/>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750" w:hRule="atLeast"/>
        </w:trPr>
        <w:tc>
          <w:tcPr>
            <w:tcW w:w="615"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部门</w:t>
            </w:r>
          </w:p>
        </w:tc>
        <w:tc>
          <w:tcPr>
            <w:tcW w:w="1890"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县农委</w:t>
            </w:r>
          </w:p>
        </w:tc>
        <w:tc>
          <w:tcPr>
            <w:tcW w:w="90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处室</w:t>
            </w:r>
          </w:p>
        </w:tc>
        <w:tc>
          <w:tcPr>
            <w:tcW w:w="114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预算科</w:t>
            </w:r>
          </w:p>
        </w:tc>
        <w:tc>
          <w:tcPr>
            <w:tcW w:w="1155"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联系人</w:t>
            </w:r>
          </w:p>
        </w:tc>
        <w:tc>
          <w:tcPr>
            <w:tcW w:w="93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张勇</w:t>
            </w:r>
          </w:p>
        </w:tc>
        <w:tc>
          <w:tcPr>
            <w:tcW w:w="1245" w:type="dxa"/>
            <w:gridSpan w:val="3"/>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联系电话</w:t>
            </w:r>
          </w:p>
        </w:tc>
        <w:tc>
          <w:tcPr>
            <w:tcW w:w="2250" w:type="dxa"/>
            <w:gridSpan w:val="3"/>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13896359702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050" w:hRule="atLeast"/>
        </w:trPr>
        <w:tc>
          <w:tcPr>
            <w:tcW w:w="615" w:type="dxa"/>
            <w:vMerge w:val="restart"/>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项目资金（万元）</w:t>
            </w:r>
          </w:p>
        </w:tc>
        <w:tc>
          <w:tcPr>
            <w:tcW w:w="1890" w:type="dxa"/>
            <w:gridSpan w:val="3"/>
            <w:vMerge w:val="restart"/>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总金额</w:t>
            </w:r>
          </w:p>
        </w:tc>
        <w:tc>
          <w:tcPr>
            <w:tcW w:w="90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预算数</w:t>
            </w:r>
          </w:p>
        </w:tc>
        <w:tc>
          <w:tcPr>
            <w:tcW w:w="114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（调整）预算数</w:t>
            </w:r>
          </w:p>
        </w:tc>
        <w:tc>
          <w:tcPr>
            <w:tcW w:w="235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全年执行数</w:t>
            </w:r>
          </w:p>
        </w:tc>
        <w:tc>
          <w:tcPr>
            <w:tcW w:w="75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w:t>
            </w:r>
          </w:p>
        </w:tc>
        <w:tc>
          <w:tcPr>
            <w:tcW w:w="148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权重</w:t>
            </w:r>
          </w:p>
        </w:tc>
        <w:tc>
          <w:tcPr>
            <w:tcW w:w="99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65" w:hRule="atLeast"/>
        </w:trPr>
        <w:tc>
          <w:tcPr>
            <w:tcW w:w="6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1890" w:type="dxa"/>
            <w:gridSpan w:val="3"/>
            <w:vMerge w:val="continue"/>
            <w:tcBorders>
              <w:top w:val="nil"/>
              <w:left w:val="nil"/>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90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6</w:t>
            </w:r>
          </w:p>
        </w:tc>
        <w:tc>
          <w:tcPr>
            <w:tcW w:w="114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0</w:t>
            </w:r>
          </w:p>
        </w:tc>
        <w:tc>
          <w:tcPr>
            <w:tcW w:w="235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6</w:t>
            </w:r>
          </w:p>
        </w:tc>
        <w:tc>
          <w:tcPr>
            <w:tcW w:w="75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100</w:t>
            </w:r>
          </w:p>
        </w:tc>
        <w:tc>
          <w:tcPr>
            <w:tcW w:w="148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100</w:t>
            </w:r>
          </w:p>
        </w:tc>
        <w:tc>
          <w:tcPr>
            <w:tcW w:w="99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65" w:hRule="atLeast"/>
        </w:trPr>
        <w:tc>
          <w:tcPr>
            <w:tcW w:w="6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1890"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其中：县级支出</w:t>
            </w:r>
          </w:p>
        </w:tc>
        <w:tc>
          <w:tcPr>
            <w:tcW w:w="90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114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235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750"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148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990"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65" w:hRule="atLeast"/>
        </w:trPr>
        <w:tc>
          <w:tcPr>
            <w:tcW w:w="6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1890"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补助区县</w:t>
            </w:r>
          </w:p>
        </w:tc>
        <w:tc>
          <w:tcPr>
            <w:tcW w:w="90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114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235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750"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1485" w:type="dxa"/>
            <w:gridSpan w:val="3"/>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c>
          <w:tcPr>
            <w:tcW w:w="990"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465" w:hRule="atLeast"/>
        </w:trPr>
        <w:tc>
          <w:tcPr>
            <w:tcW w:w="615" w:type="dxa"/>
            <w:vMerge w:val="restart"/>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当年绩效目标</w:t>
            </w:r>
          </w:p>
        </w:tc>
        <w:tc>
          <w:tcPr>
            <w:tcW w:w="2790" w:type="dxa"/>
            <w:gridSpan w:val="5"/>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年初绩效目标</w:t>
            </w:r>
          </w:p>
        </w:tc>
        <w:tc>
          <w:tcPr>
            <w:tcW w:w="3495" w:type="dxa"/>
            <w:gridSpan w:val="5"/>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全年（调整）绩效目标</w:t>
            </w:r>
          </w:p>
        </w:tc>
        <w:tc>
          <w:tcPr>
            <w:tcW w:w="3225" w:type="dxa"/>
            <w:gridSpan w:val="5"/>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2235" w:hRule="atLeast"/>
        </w:trPr>
        <w:tc>
          <w:tcPr>
            <w:tcW w:w="6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2790" w:type="dxa"/>
            <w:gridSpan w:val="5"/>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针对全乡6个村社区开展乡风文明建设积分兑换试点，围绕整治环境卫生、参与集体公益活动、遵纪守法、遵守公序良俗等内容设置积分，建立爱心超市，根据积分兑现奖励物品。</w:t>
            </w:r>
          </w:p>
        </w:tc>
        <w:tc>
          <w:tcPr>
            <w:tcW w:w="3495" w:type="dxa"/>
            <w:gridSpan w:val="5"/>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无调整</w:t>
            </w:r>
          </w:p>
        </w:tc>
        <w:tc>
          <w:tcPr>
            <w:tcW w:w="3225" w:type="dxa"/>
            <w:gridSpan w:val="5"/>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使群众受益，持续增强内生动力时间持续1年，改善辖区人口精神面貌1000人次以上。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050" w:hRule="atLeast"/>
        </w:trPr>
        <w:tc>
          <w:tcPr>
            <w:tcW w:w="615" w:type="dxa"/>
            <w:vMerge w:val="restart"/>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绩效指标</w:t>
            </w:r>
          </w:p>
        </w:tc>
        <w:tc>
          <w:tcPr>
            <w:tcW w:w="825"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名称</w:t>
            </w:r>
          </w:p>
        </w:tc>
        <w:tc>
          <w:tcPr>
            <w:tcW w:w="78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单位</w:t>
            </w:r>
          </w:p>
        </w:tc>
        <w:tc>
          <w:tcPr>
            <w:tcW w:w="78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性质</w:t>
            </w:r>
          </w:p>
        </w:tc>
        <w:tc>
          <w:tcPr>
            <w:tcW w:w="780" w:type="dxa"/>
            <w:gridSpan w:val="2"/>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值</w:t>
            </w:r>
          </w:p>
        </w:tc>
        <w:tc>
          <w:tcPr>
            <w:tcW w:w="780" w:type="dxa"/>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值</w:t>
            </w:r>
          </w:p>
        </w:tc>
        <w:tc>
          <w:tcPr>
            <w:tcW w:w="1155" w:type="dxa"/>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完成值</w:t>
            </w:r>
          </w:p>
        </w:tc>
        <w:tc>
          <w:tcPr>
            <w:tcW w:w="1200" w:type="dxa"/>
            <w:gridSpan w:val="2"/>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w:t>
            </w:r>
          </w:p>
        </w:tc>
        <w:tc>
          <w:tcPr>
            <w:tcW w:w="960" w:type="dxa"/>
            <w:gridSpan w:val="2"/>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（分）</w:t>
            </w:r>
          </w:p>
        </w:tc>
        <w:tc>
          <w:tcPr>
            <w:tcW w:w="855" w:type="dxa"/>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指标得分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（分）</w:t>
            </w:r>
          </w:p>
        </w:tc>
        <w:tc>
          <w:tcPr>
            <w:tcW w:w="1395" w:type="dxa"/>
            <w:gridSpan w:val="2"/>
            <w:tcBorders>
              <w:top w:val="single" w:color="auto" w:sz="6" w:space="0"/>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是否核心指标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50" w:hRule="atLeast"/>
        </w:trPr>
        <w:tc>
          <w:tcPr>
            <w:tcW w:w="615" w:type="dxa"/>
            <w:vMerge w:val="continue"/>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rPr>
                <w:rFonts w:hint="eastAsia" w:ascii="宋体"/>
                <w:sz w:val="24"/>
                <w:szCs w:val="24"/>
              </w:rPr>
            </w:pPr>
          </w:p>
        </w:tc>
        <w:tc>
          <w:tcPr>
            <w:tcW w:w="825"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产出指标</w:t>
            </w:r>
          </w:p>
        </w:tc>
        <w:tc>
          <w:tcPr>
            <w:tcW w:w="78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w:t>
            </w:r>
          </w:p>
        </w:tc>
        <w:tc>
          <w:tcPr>
            <w:tcW w:w="78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效益指标</w:t>
            </w:r>
          </w:p>
        </w:tc>
        <w:tc>
          <w:tcPr>
            <w:tcW w:w="78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6</w:t>
            </w:r>
          </w:p>
        </w:tc>
        <w:tc>
          <w:tcPr>
            <w:tcW w:w="780"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0</w:t>
            </w:r>
          </w:p>
        </w:tc>
        <w:tc>
          <w:tcPr>
            <w:tcW w:w="1155"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6</w:t>
            </w:r>
          </w:p>
        </w:tc>
        <w:tc>
          <w:tcPr>
            <w:tcW w:w="120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100</w:t>
            </w:r>
          </w:p>
        </w:tc>
        <w:tc>
          <w:tcPr>
            <w:tcW w:w="960"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100</w:t>
            </w:r>
          </w:p>
        </w:tc>
        <w:tc>
          <w:tcPr>
            <w:tcW w:w="855" w:type="dxa"/>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100</w:t>
            </w:r>
          </w:p>
        </w:tc>
        <w:tc>
          <w:tcPr>
            <w:tcW w:w="1395" w:type="dxa"/>
            <w:gridSpan w:val="2"/>
            <w:tcBorders>
              <w:top w:val="nil"/>
              <w:left w:val="nil"/>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80" w:hRule="atLeast"/>
        </w:trPr>
        <w:tc>
          <w:tcPr>
            <w:tcW w:w="615"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sz w:val="22"/>
                <w:szCs w:val="22"/>
                <w:bdr w:val="none" w:color="auto" w:sz="0" w:space="0"/>
              </w:rPr>
              <w:t>说明</w:t>
            </w:r>
          </w:p>
        </w:tc>
        <w:tc>
          <w:tcPr>
            <w:tcW w:w="9510" w:type="dxa"/>
            <w:gridSpan w:val="15"/>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pPr>
          </w:p>
        </w:tc>
      </w:tr>
    </w:tbl>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年鸡鸣乡积分兑现制度改补为奖项目绩效目标自评综述：根据年初设定的绩效目标，项目总体完成情况良好，提高群众满意度、改善了辖区群众精神面貌。项目全年预算数为</w:t>
      </w: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shd w:val="clear" w:fill="FFFFFF"/>
        </w:rPr>
        <w:t>万元，执行数为</w:t>
      </w: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shd w:val="clear" w:fill="FFFFFF"/>
        </w:rPr>
        <w:t>万元，完成预算的</w:t>
      </w:r>
      <w:r>
        <w:rPr>
          <w:rFonts w:hint="default" w:ascii="Times New Roman" w:hAnsi="Times New Roman" w:eastAsia="方正仿宋_GBK" w:cs="Times New Roman"/>
          <w:sz w:val="31"/>
          <w:szCs w:val="31"/>
          <w:shd w:val="clear" w:fill="FFFFFF"/>
        </w:rPr>
        <w:t>100%</w:t>
      </w:r>
      <w:r>
        <w:rPr>
          <w:rFonts w:hint="eastAsia" w:ascii="方正仿宋_GBK" w:hAnsi="方正仿宋_GBK" w:eastAsia="方正仿宋_GBK" w:cs="方正仿宋_GBK"/>
          <w:sz w:val="31"/>
          <w:szCs w:val="31"/>
          <w:shd w:val="clear" w:fill="FFFFFF"/>
        </w:rPr>
        <w:t>。主要产出和效果：激发群众脱贫内生动力，以积分形式进行奖补。未发现其他问题。</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绩效自评报告或案例</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无。</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（三）重点绩效评价结果</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无。</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黑体_GBK" w:hAnsi="方正黑体_GBK" w:eastAsia="方正黑体_GBK" w:cs="方正黑体_GBK"/>
          <w:sz w:val="31"/>
          <w:szCs w:val="31"/>
          <w:shd w:val="clear" w:fill="FFFFFF"/>
        </w:rPr>
        <w:t>六、专业名词解释</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（一）财政拨款收入：</w:t>
      </w:r>
      <w:r>
        <w:rPr>
          <w:rFonts w:hint="eastAsia" w:ascii="方正仿宋_GBK" w:hAnsi="方正仿宋_GBK" w:eastAsia="方正仿宋_GBK" w:cs="方正仿宋_GBK"/>
          <w:sz w:val="31"/>
          <w:szCs w:val="31"/>
          <w:shd w:val="clear" w:fill="FFFFFF"/>
        </w:rPr>
        <w:t>指本年度从本级财政部门取得的财政拨款，包括一般公共预算财政拨款和政府性基金预算财政拨款。</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（二）事业收入：</w:t>
      </w:r>
      <w:r>
        <w:rPr>
          <w:rFonts w:hint="eastAsia" w:ascii="方正仿宋_GBK" w:hAnsi="方正仿宋_GBK" w:eastAsia="方正仿宋_GBK" w:cs="方正仿宋_GBK"/>
          <w:sz w:val="31"/>
          <w:szCs w:val="31"/>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（三）经营收入：</w:t>
      </w:r>
      <w:r>
        <w:rPr>
          <w:rFonts w:hint="eastAsia" w:ascii="方正仿宋_GBK" w:hAnsi="方正仿宋_GBK" w:eastAsia="方正仿宋_GBK" w:cs="方正仿宋_GBK"/>
          <w:sz w:val="31"/>
          <w:szCs w:val="31"/>
          <w:shd w:val="clear" w:fill="FFFFFF"/>
        </w:rPr>
        <w:t>指事业单位在专业业务活动及其辅助活动之外开展非独立核算经营活动取得的现金流入。</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（四）其他收入：</w:t>
      </w:r>
      <w:r>
        <w:rPr>
          <w:rFonts w:hint="eastAsia" w:ascii="方正仿宋_GBK" w:hAnsi="方正仿宋_GBK" w:eastAsia="方正仿宋_GBK" w:cs="方正仿宋_GBK"/>
          <w:sz w:val="31"/>
          <w:szCs w:val="31"/>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 本级财政部门取得的经费，以及行政单位收到的财政专户管理资金反映在本项内。</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（五）使用非财政拨款结余：</w:t>
      </w:r>
      <w:r>
        <w:rPr>
          <w:rFonts w:hint="eastAsia" w:ascii="方正仿宋_GBK" w:hAnsi="方正仿宋_GBK" w:eastAsia="方正仿宋_GBK" w:cs="方正仿宋_GBK"/>
          <w:sz w:val="31"/>
          <w:szCs w:val="31"/>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（六）年初结转和结余：</w:t>
      </w:r>
      <w:r>
        <w:rPr>
          <w:rFonts w:hint="eastAsia" w:ascii="方正仿宋_GBK" w:hAnsi="方正仿宋_GBK" w:eastAsia="方正仿宋_GBK" w:cs="方正仿宋_GBK"/>
          <w:sz w:val="31"/>
          <w:szCs w:val="31"/>
          <w:shd w:val="clear" w:fill="FFFFFF"/>
        </w:rPr>
        <w:t>指单位上年结转本年使用的基本支出结转、项目支出结转和结余、经营结余。</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（七）结余分配：</w:t>
      </w:r>
      <w:r>
        <w:rPr>
          <w:rFonts w:hint="eastAsia" w:ascii="方正仿宋_GBK" w:hAnsi="方正仿宋_GBK" w:eastAsia="方正仿宋_GBK" w:cs="方正仿宋_GBK"/>
          <w:sz w:val="31"/>
          <w:szCs w:val="31"/>
          <w:shd w:val="clear" w:fill="FFFFFF"/>
        </w:rPr>
        <w:t>指单位按照国家有关规定，缴纳所得税、提取专用基金、转入非财政拨款结余等当年结余的分配情况。</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（八）年末结转和结余：</w:t>
      </w:r>
      <w:r>
        <w:rPr>
          <w:rFonts w:hint="eastAsia" w:ascii="方正仿宋_GBK" w:hAnsi="方正仿宋_GBK" w:eastAsia="方正仿宋_GBK" w:cs="方正仿宋_GBK"/>
          <w:sz w:val="31"/>
          <w:szCs w:val="31"/>
          <w:shd w:val="clear" w:fill="FFFFFF"/>
        </w:rPr>
        <w:t>指单位结转下年的基本支出结转、项目支出结转和结余、经营结余。</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（九）基本支出：</w:t>
      </w:r>
      <w:r>
        <w:rPr>
          <w:rFonts w:hint="eastAsia" w:ascii="方正仿宋_GBK" w:hAnsi="方正仿宋_GBK" w:eastAsia="方正仿宋_GBK" w:cs="方正仿宋_GBK"/>
          <w:sz w:val="31"/>
          <w:szCs w:val="31"/>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（十）项目支出：</w:t>
      </w:r>
      <w:r>
        <w:rPr>
          <w:rFonts w:hint="eastAsia" w:ascii="方正仿宋_GBK" w:hAnsi="方正仿宋_GBK" w:eastAsia="方正仿宋_GBK" w:cs="方正仿宋_GBK"/>
          <w:sz w:val="31"/>
          <w:szCs w:val="31"/>
          <w:shd w:val="clear" w:fill="FFFFFF"/>
        </w:rPr>
        <w:t>指在基本支出之外为完成特定行政任务和事业发展目标所发生的支出。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（十一）经营支出：</w:t>
      </w:r>
      <w:r>
        <w:rPr>
          <w:rFonts w:hint="eastAsia" w:ascii="方正仿宋_GBK" w:hAnsi="方正仿宋_GBK" w:eastAsia="方正仿宋_GBK" w:cs="方正仿宋_GBK"/>
          <w:sz w:val="31"/>
          <w:szCs w:val="31"/>
          <w:shd w:val="clear" w:fill="FFFFFF"/>
        </w:rPr>
        <w:t>指事业单位在专业业务活动及其辅助活动之外开展非独立核算经营活动发生的支出。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（十二）“三公”经费：</w:t>
      </w:r>
      <w:r>
        <w:rPr>
          <w:rFonts w:hint="eastAsia" w:ascii="方正仿宋_GBK" w:hAnsi="方正仿宋_GBK" w:eastAsia="方正仿宋_GBK" w:cs="方正仿宋_GBK"/>
          <w:sz w:val="31"/>
          <w:szCs w:val="31"/>
          <w:shd w:val="clear" w:fill="FFFFFF"/>
        </w:rPr>
        <w:t>指使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Pr>
          <w:rFonts w:hint="default" w:ascii="Times New Roman" w:hAnsi="Times New Roman" w:eastAsia="方正仿宋_GBK" w:cs="Times New Roman"/>
          <w:sz w:val="31"/>
          <w:szCs w:val="31"/>
          <w:shd w:val="clear" w:fill="FFFFFF"/>
        </w:rPr>
        <w:t> </w:t>
      </w:r>
      <w:r>
        <w:rPr>
          <w:rFonts w:hint="eastAsia" w:ascii="方正仿宋_GBK" w:hAnsi="方正仿宋_GBK" w:eastAsia="方正仿宋_GBK" w:cs="方正仿宋_GBK"/>
          <w:sz w:val="31"/>
          <w:szCs w:val="31"/>
          <w:shd w:val="clear" w:fill="FFFFFF"/>
        </w:rPr>
        <w:t>留的公务用车燃料费、维修费、过路过桥费、保险费、安全奖励费用等支出；公务接待费反映单位按规定开支的各类公务接待（含外宾接待）支出。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（十三）机关运行经费：</w:t>
      </w:r>
      <w:r>
        <w:rPr>
          <w:rFonts w:hint="eastAsia" w:ascii="方正仿宋_GBK" w:hAnsi="方正仿宋_GBK" w:eastAsia="方正仿宋_GBK" w:cs="方正仿宋_GBK"/>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（十四）工资福利支出（支出经济分类科目类级）：</w:t>
      </w:r>
      <w:r>
        <w:rPr>
          <w:rFonts w:hint="eastAsia" w:ascii="方正仿宋_GBK" w:hAnsi="方正仿宋_GBK" w:eastAsia="方正仿宋_GBK" w:cs="方正仿宋_GBK"/>
          <w:sz w:val="31"/>
          <w:szCs w:val="31"/>
          <w:shd w:val="clear" w:fill="FFFFFF"/>
        </w:rPr>
        <w:t>反映单位开支的在职职工和编制外长期聘用人员的各类劳动报酬，以及为上述人员缴纳的各项社会保险费等。</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（十五）商品和服务支出（支出经济分类科目类级）：</w:t>
      </w:r>
      <w:r>
        <w:rPr>
          <w:rFonts w:hint="eastAsia" w:ascii="方正仿宋_GBK" w:hAnsi="方正仿宋_GBK" w:eastAsia="方正仿宋_GBK" w:cs="方正仿宋_GBK"/>
          <w:sz w:val="31"/>
          <w:szCs w:val="31"/>
          <w:shd w:val="clear" w:fill="FFFFFF"/>
        </w:rPr>
        <w:t>反映单位购买商品和服务的支出（不包括用于购置固定资产的支出、战略性和应急储备支出）。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（十六）对个人和家庭的补助（支出经济分类科目类级）：</w:t>
      </w:r>
      <w:r>
        <w:rPr>
          <w:rFonts w:hint="eastAsia" w:ascii="方正仿宋_GBK" w:hAnsi="方正仿宋_GBK" w:eastAsia="方正仿宋_GBK" w:cs="方正仿宋_GBK"/>
          <w:sz w:val="31"/>
          <w:szCs w:val="31"/>
          <w:shd w:val="clear" w:fill="FFFFFF"/>
        </w:rPr>
        <w:t>反映用于对个人和家庭的补助支出。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楷体_GBK" w:hAnsi="方正楷体_GBK" w:eastAsia="方正楷体_GBK" w:cs="方正楷体_GBK"/>
          <w:sz w:val="31"/>
          <w:szCs w:val="31"/>
          <w:shd w:val="clear" w:fill="FFFFFF"/>
        </w:rPr>
        <w:t>（十七）其他资本性支出（支出经济分类科目类级）：</w:t>
      </w:r>
      <w:r>
        <w:rPr>
          <w:rFonts w:hint="eastAsia" w:ascii="方正仿宋_GBK" w:hAnsi="方正仿宋_GBK" w:eastAsia="方正仿宋_GBK" w:cs="方正仿宋_GBK"/>
          <w:sz w:val="31"/>
          <w:szCs w:val="31"/>
          <w:shd w:val="clear" w:fill="FFFFFF"/>
        </w:rPr>
        <w:t>反映非各级发展和改革部门集中安排的用于购置固定资产、战略性和应急性储备、土地和无形资产，以及构建基础设施、大型修缮和财政支持企业更新改造所发生的支出。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黑体_GBK" w:hAnsi="方正黑体_GBK" w:eastAsia="方正黑体_GBK" w:cs="方正黑体_GBK"/>
          <w:sz w:val="31"/>
          <w:szCs w:val="31"/>
          <w:shd w:val="clear" w:fill="FFFFFF"/>
        </w:rPr>
        <w:t>七、决算公开联系方式</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eastAsia" w:ascii="方正仿宋_GBK" w:hAnsi="方正仿宋_GBK" w:eastAsia="方正仿宋_GBK" w:cs="方正仿宋_GBK"/>
          <w:sz w:val="31"/>
          <w:szCs w:val="31"/>
          <w:shd w:val="clear" w:fill="FFFFFF"/>
        </w:rPr>
        <w:t>本单位决算公开信息反馈和联系方式：</w:t>
      </w:r>
      <w:r>
        <w:rPr>
          <w:rFonts w:hint="default" w:ascii="Times New Roman" w:hAnsi="Times New Roman" w:eastAsia="方正仿宋_GBK" w:cs="Times New Roman"/>
          <w:sz w:val="31"/>
          <w:szCs w:val="31"/>
          <w:shd w:val="clear" w:fill="FFFFFF"/>
        </w:rPr>
        <w:t>50292000</w:t>
      </w:r>
      <w:r>
        <w:rPr>
          <w:rFonts w:hint="eastAsia" w:ascii="方正仿宋_GBK" w:hAnsi="方正仿宋_GBK" w:eastAsia="方正仿宋_GBK" w:cs="方正仿宋_GBK"/>
          <w:sz w:val="31"/>
          <w:szCs w:val="31"/>
          <w:shd w:val="clear" w:fill="FFFFFF"/>
        </w:rPr>
        <w:t>。</w:t>
      </w:r>
    </w:p>
    <w:p>
      <w:pPr>
        <w:pStyle w:val="2"/>
        <w:keepNext w:val="0"/>
        <w:keepLines w:val="0"/>
        <w:widowControl/>
        <w:suppressLineNumbers w:val="0"/>
        <w:spacing w:before="0" w:beforeAutospacing="0" w:after="0" w:afterAutospacing="0" w:line="315" w:lineRule="atLeast"/>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U0M2FiZjJiOTdkNjdjZjNmODA4YjBkMjk1MzEifQ=="/>
  </w:docVars>
  <w:rsids>
    <w:rsidRoot w:val="00C81591"/>
    <w:rsid w:val="00062F2D"/>
    <w:rsid w:val="00091CDC"/>
    <w:rsid w:val="0013566F"/>
    <w:rsid w:val="001360FE"/>
    <w:rsid w:val="001A6385"/>
    <w:rsid w:val="001B7FAD"/>
    <w:rsid w:val="00225378"/>
    <w:rsid w:val="00236556"/>
    <w:rsid w:val="002E6380"/>
    <w:rsid w:val="003B4C7A"/>
    <w:rsid w:val="003B70C7"/>
    <w:rsid w:val="00582420"/>
    <w:rsid w:val="00681E28"/>
    <w:rsid w:val="00682C83"/>
    <w:rsid w:val="007574B0"/>
    <w:rsid w:val="00857E67"/>
    <w:rsid w:val="008D077E"/>
    <w:rsid w:val="00A12DAA"/>
    <w:rsid w:val="00A47BF8"/>
    <w:rsid w:val="00A5141B"/>
    <w:rsid w:val="00A74F0C"/>
    <w:rsid w:val="00AD7128"/>
    <w:rsid w:val="00AF2B57"/>
    <w:rsid w:val="00B40C5D"/>
    <w:rsid w:val="00B80510"/>
    <w:rsid w:val="00C81591"/>
    <w:rsid w:val="00D27507"/>
    <w:rsid w:val="00E13486"/>
    <w:rsid w:val="00F81984"/>
    <w:rsid w:val="00F97080"/>
    <w:rsid w:val="00FD0320"/>
    <w:rsid w:val="019C4126"/>
    <w:rsid w:val="01C0309B"/>
    <w:rsid w:val="02145195"/>
    <w:rsid w:val="02AE1145"/>
    <w:rsid w:val="048605CC"/>
    <w:rsid w:val="04AB3B8E"/>
    <w:rsid w:val="057C552B"/>
    <w:rsid w:val="058A40EC"/>
    <w:rsid w:val="05F31C91"/>
    <w:rsid w:val="062956B3"/>
    <w:rsid w:val="065D535C"/>
    <w:rsid w:val="06A32819"/>
    <w:rsid w:val="07261BF2"/>
    <w:rsid w:val="07B62F76"/>
    <w:rsid w:val="0A5E66F3"/>
    <w:rsid w:val="0AF838A6"/>
    <w:rsid w:val="0BCA6FED"/>
    <w:rsid w:val="0C5B0590"/>
    <w:rsid w:val="0C8A49D1"/>
    <w:rsid w:val="0EE24651"/>
    <w:rsid w:val="0EFB5712"/>
    <w:rsid w:val="0F607C6B"/>
    <w:rsid w:val="0F8E2A2A"/>
    <w:rsid w:val="105A290D"/>
    <w:rsid w:val="11493982"/>
    <w:rsid w:val="11DD37F5"/>
    <w:rsid w:val="11DF4949"/>
    <w:rsid w:val="120B0362"/>
    <w:rsid w:val="12940358"/>
    <w:rsid w:val="12AA1929"/>
    <w:rsid w:val="12E03E0D"/>
    <w:rsid w:val="13961EAE"/>
    <w:rsid w:val="13F84916"/>
    <w:rsid w:val="144D4C62"/>
    <w:rsid w:val="161517B0"/>
    <w:rsid w:val="16BA7526"/>
    <w:rsid w:val="17123F41"/>
    <w:rsid w:val="18266396"/>
    <w:rsid w:val="19257F5C"/>
    <w:rsid w:val="193463F1"/>
    <w:rsid w:val="1BC51582"/>
    <w:rsid w:val="1BF53B0B"/>
    <w:rsid w:val="1C986C96"/>
    <w:rsid w:val="1C9B0535"/>
    <w:rsid w:val="1D2F6D72"/>
    <w:rsid w:val="1DA45F76"/>
    <w:rsid w:val="1E537319"/>
    <w:rsid w:val="1FA616CA"/>
    <w:rsid w:val="1FD77AD6"/>
    <w:rsid w:val="200A1C59"/>
    <w:rsid w:val="206770AC"/>
    <w:rsid w:val="210C5AD2"/>
    <w:rsid w:val="220D3C83"/>
    <w:rsid w:val="22205B84"/>
    <w:rsid w:val="22857CBD"/>
    <w:rsid w:val="22B53A3B"/>
    <w:rsid w:val="22C83C45"/>
    <w:rsid w:val="23007343"/>
    <w:rsid w:val="25AF1815"/>
    <w:rsid w:val="26211458"/>
    <w:rsid w:val="26946721"/>
    <w:rsid w:val="26C16DEA"/>
    <w:rsid w:val="29EF3C6E"/>
    <w:rsid w:val="2AB4113F"/>
    <w:rsid w:val="2BD575BF"/>
    <w:rsid w:val="2C574478"/>
    <w:rsid w:val="2C884632"/>
    <w:rsid w:val="2D355E3C"/>
    <w:rsid w:val="2D3C541C"/>
    <w:rsid w:val="2DFA0464"/>
    <w:rsid w:val="2EA119DB"/>
    <w:rsid w:val="2EFC1307"/>
    <w:rsid w:val="2FAF1ED5"/>
    <w:rsid w:val="313A7EC4"/>
    <w:rsid w:val="32222E32"/>
    <w:rsid w:val="322D17D7"/>
    <w:rsid w:val="327D62BB"/>
    <w:rsid w:val="32E96579"/>
    <w:rsid w:val="336E7CDB"/>
    <w:rsid w:val="33883169"/>
    <w:rsid w:val="343432F1"/>
    <w:rsid w:val="35A3428A"/>
    <w:rsid w:val="35DA1C76"/>
    <w:rsid w:val="3976722A"/>
    <w:rsid w:val="3A0B0650"/>
    <w:rsid w:val="3AD60C5E"/>
    <w:rsid w:val="3AE25855"/>
    <w:rsid w:val="3B3337EC"/>
    <w:rsid w:val="3B3E6803"/>
    <w:rsid w:val="3DFB09DB"/>
    <w:rsid w:val="3E384E11"/>
    <w:rsid w:val="3EC314F9"/>
    <w:rsid w:val="3F4C5993"/>
    <w:rsid w:val="3F917849"/>
    <w:rsid w:val="3FD31C10"/>
    <w:rsid w:val="403F1053"/>
    <w:rsid w:val="404B17A6"/>
    <w:rsid w:val="410D2F00"/>
    <w:rsid w:val="41291CA9"/>
    <w:rsid w:val="41B541E3"/>
    <w:rsid w:val="41F36599"/>
    <w:rsid w:val="42424E2B"/>
    <w:rsid w:val="42BE0955"/>
    <w:rsid w:val="430766D3"/>
    <w:rsid w:val="438D0328"/>
    <w:rsid w:val="45A32084"/>
    <w:rsid w:val="47633879"/>
    <w:rsid w:val="477B5067"/>
    <w:rsid w:val="48223592"/>
    <w:rsid w:val="48855A71"/>
    <w:rsid w:val="48CE07FD"/>
    <w:rsid w:val="4A031344"/>
    <w:rsid w:val="4AD60806"/>
    <w:rsid w:val="4C39104D"/>
    <w:rsid w:val="4C687B84"/>
    <w:rsid w:val="4DE374C2"/>
    <w:rsid w:val="4E0769B9"/>
    <w:rsid w:val="501E6ED7"/>
    <w:rsid w:val="5039786D"/>
    <w:rsid w:val="510E0CFA"/>
    <w:rsid w:val="51764AF1"/>
    <w:rsid w:val="51FA74D0"/>
    <w:rsid w:val="524D7600"/>
    <w:rsid w:val="52821298"/>
    <w:rsid w:val="531E0F9C"/>
    <w:rsid w:val="53487DC7"/>
    <w:rsid w:val="53F02939"/>
    <w:rsid w:val="54422A68"/>
    <w:rsid w:val="5483555B"/>
    <w:rsid w:val="54907C78"/>
    <w:rsid w:val="54B716A8"/>
    <w:rsid w:val="55DB3175"/>
    <w:rsid w:val="57AD28EF"/>
    <w:rsid w:val="587873A1"/>
    <w:rsid w:val="59245D6F"/>
    <w:rsid w:val="59484FC5"/>
    <w:rsid w:val="59B34326"/>
    <w:rsid w:val="59D32AE1"/>
    <w:rsid w:val="5A987886"/>
    <w:rsid w:val="5B1038C0"/>
    <w:rsid w:val="5B2335F4"/>
    <w:rsid w:val="5B9462A0"/>
    <w:rsid w:val="5BEA2363"/>
    <w:rsid w:val="5C2E04A2"/>
    <w:rsid w:val="5D246FF0"/>
    <w:rsid w:val="5D26561D"/>
    <w:rsid w:val="5D380EAD"/>
    <w:rsid w:val="5D635F29"/>
    <w:rsid w:val="5DDE1A54"/>
    <w:rsid w:val="5E033269"/>
    <w:rsid w:val="5EDA221B"/>
    <w:rsid w:val="5FC058B5"/>
    <w:rsid w:val="637F7835"/>
    <w:rsid w:val="638C0CD0"/>
    <w:rsid w:val="63B23767"/>
    <w:rsid w:val="640D3093"/>
    <w:rsid w:val="64DE058B"/>
    <w:rsid w:val="65242442"/>
    <w:rsid w:val="689D34AB"/>
    <w:rsid w:val="689D4368"/>
    <w:rsid w:val="68D4417F"/>
    <w:rsid w:val="6AD55F8D"/>
    <w:rsid w:val="6BA75B7B"/>
    <w:rsid w:val="6EAB7730"/>
    <w:rsid w:val="6EB505AF"/>
    <w:rsid w:val="6F0F5F11"/>
    <w:rsid w:val="6F9E1043"/>
    <w:rsid w:val="710D6480"/>
    <w:rsid w:val="714B0D57"/>
    <w:rsid w:val="716F2C97"/>
    <w:rsid w:val="725B76BF"/>
    <w:rsid w:val="73A66718"/>
    <w:rsid w:val="759C6025"/>
    <w:rsid w:val="76090510"/>
    <w:rsid w:val="77D870BC"/>
    <w:rsid w:val="77F75794"/>
    <w:rsid w:val="79226841"/>
    <w:rsid w:val="79EE5E9C"/>
    <w:rsid w:val="7A7E219D"/>
    <w:rsid w:val="7B0C3CD0"/>
    <w:rsid w:val="7C5F5C65"/>
    <w:rsid w:val="7CE309DD"/>
    <w:rsid w:val="7D5D1A8C"/>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6833</Words>
  <Characters>7413</Characters>
  <Lines>54</Lines>
  <Paragraphs>15</Paragraphs>
  <TotalTime>0</TotalTime>
  <ScaleCrop>false</ScaleCrop>
  <LinksUpToDate>false</LinksUpToDate>
  <CharactersWithSpaces>7417</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2023-09-15T02:27:00Z</dcterms:created>
  <dc:creator>Administrator</dc:creator>
  <cp:lastModifiedBy>Allen Wang</cp:lastModifiedBy>
  <dcterms:modified xsi:type="dcterms:W3CDTF">2024-08-13T02:44:37Z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2360F31B209E474597CAC1AA86995252_12</vt:lpwstr>
  </property>
</Properties>
</file>