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38BA8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Times New Roman" w:hAnsi="Times New Roman" w:eastAsia="方正小标宋_GBK" w:cs="方正小标宋_GBK"/>
          <w:b w:val="0"/>
          <w:bCs w:val="0"/>
          <w:sz w:val="44"/>
          <w:szCs w:val="44"/>
          <w:lang w:eastAsia="zh-CN"/>
        </w:rPr>
      </w:pPr>
      <w:bookmarkStart w:id="0" w:name="_Toc28753"/>
      <w:bookmarkStart w:id="31" w:name="_GoBack"/>
      <w:r>
        <w:rPr>
          <w:rFonts w:hint="eastAsia" w:ascii="Times New Roman" w:hAnsi="Times New Roman" w:eastAsia="方正小标宋_GBK" w:cs="方正小标宋_GBK"/>
          <w:b w:val="0"/>
          <w:bCs w:val="0"/>
          <w:sz w:val="44"/>
          <w:szCs w:val="44"/>
          <w:lang w:eastAsia="zh-CN"/>
        </w:rPr>
        <w:t>高观镇202</w:t>
      </w:r>
      <w:r>
        <w:rPr>
          <w:rFonts w:hint="eastAsia" w:ascii="Times New Roman" w:hAnsi="Times New Roman" w:eastAsia="方正小标宋_GBK" w:cs="方正小标宋_GBK"/>
          <w:b w:val="0"/>
          <w:bCs w:val="0"/>
          <w:sz w:val="44"/>
          <w:szCs w:val="44"/>
          <w:lang w:val="en-US" w:eastAsia="zh-CN"/>
        </w:rPr>
        <w:t>3</w:t>
      </w:r>
      <w:r>
        <w:rPr>
          <w:rFonts w:hint="eastAsia" w:ascii="Times New Roman" w:hAnsi="Times New Roman" w:eastAsia="方正小标宋_GBK" w:cs="方正小标宋_GBK"/>
          <w:b w:val="0"/>
          <w:bCs w:val="0"/>
          <w:sz w:val="44"/>
          <w:szCs w:val="44"/>
          <w:lang w:eastAsia="zh-CN"/>
        </w:rPr>
        <w:t>年度财政决算报告</w:t>
      </w:r>
      <w:bookmarkEnd w:id="0"/>
      <w:bookmarkEnd w:id="31"/>
    </w:p>
    <w:p w14:paraId="551AACF7">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仿宋_GBK" w:hAnsi="方正仿宋_GBK" w:eastAsia="方正仿宋_GBK" w:cs="方正仿宋_GBK"/>
          <w:kern w:val="0"/>
          <w:sz w:val="32"/>
          <w:szCs w:val="32"/>
          <w:lang w:val="en-US" w:eastAsia="zh-CN" w:bidi="ar"/>
        </w:rPr>
      </w:pPr>
    </w:p>
    <w:p w14:paraId="17BCE521">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right="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各位代表：</w:t>
      </w:r>
    </w:p>
    <w:p w14:paraId="37F12CEF">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受高观镇人民政府委托，现向大会作《高观镇</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年财政决算报告》，请予审议。</w:t>
      </w:r>
    </w:p>
    <w:p w14:paraId="4A4F3273">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一、单位基本情况</w:t>
      </w:r>
    </w:p>
    <w:p w14:paraId="64D1CEFC">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1" w:name="_Toc2963"/>
      <w:bookmarkStart w:id="2" w:name="_Toc32140"/>
      <w:r>
        <w:rPr>
          <w:rFonts w:hint="eastAsia" w:ascii="方正楷体_GBK" w:hAnsi="方正楷体_GBK" w:eastAsia="方正楷体_GBK" w:cs="方正楷体_GBK"/>
          <w:b w:val="0"/>
          <w:bCs w:val="0"/>
          <w:kern w:val="2"/>
          <w:sz w:val="32"/>
          <w:szCs w:val="32"/>
          <w:lang w:val="en-US" w:eastAsia="zh-CN" w:bidi="ar"/>
        </w:rPr>
        <w:t>（一）职能职责</w:t>
      </w:r>
      <w:bookmarkEnd w:id="1"/>
      <w:bookmarkEnd w:id="2"/>
    </w:p>
    <w:p w14:paraId="6323A3CB">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r>
        <w:rPr>
          <w:rFonts w:hint="default" w:ascii="Times New Roman" w:hAnsi="Times New Roman" w:eastAsia="方正仿宋_GBK" w:cs="Times New Roman"/>
          <w:kern w:val="0"/>
          <w:sz w:val="32"/>
          <w:szCs w:val="32"/>
          <w:lang w:val="en-US" w:eastAsia="zh-CN" w:bidi="ar"/>
        </w:rPr>
        <w:t> </w:t>
      </w:r>
    </w:p>
    <w:p w14:paraId="1628EBA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）制定并组织实施村镇建设规划，部署重点工程建设，地方道路建设及公共设施，水利设施的管理，负责土地、林木、水等自然资源和生态环境的保护，做好护林防火工作。</w:t>
      </w:r>
      <w:r>
        <w:rPr>
          <w:rFonts w:hint="default" w:ascii="Times New Roman" w:hAnsi="Times New Roman" w:eastAsia="方正仿宋_GBK" w:cs="Times New Roman"/>
          <w:kern w:val="0"/>
          <w:sz w:val="32"/>
          <w:szCs w:val="32"/>
          <w:lang w:val="en-US" w:eastAsia="zh-CN" w:bidi="ar"/>
        </w:rPr>
        <w:t>    </w:t>
      </w:r>
    </w:p>
    <w:p w14:paraId="070998A4">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负责本行政区域交流与合作，抓辖区民政、计划生育、文化教育、卫生、体育等社会公益事业的综合性工作，维护一切经济单位和个人的正当经济权益，取缔非法经济活动，调解和处理民事纠纷，打击刑事犯罪维护社会稳定。</w:t>
      </w:r>
    </w:p>
    <w:p w14:paraId="1BC1BEE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）按计划组织本级财政收入和地方税的征收，完成国家财政计划，不断培植税源，管好财政资金，增强财政实力。</w:t>
      </w:r>
    </w:p>
    <w:p w14:paraId="6ED58B8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）抓好精神文明建设，丰富群众文化生活，提倡移风易俗，反对封建迷信，破除陈规陋习，树立社会主义新风尚。</w:t>
      </w:r>
    </w:p>
    <w:p w14:paraId="1BB5602C">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）完成上级政府交办的其他事项。</w:t>
      </w:r>
    </w:p>
    <w:p w14:paraId="3B01059F">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3" w:name="_Toc22303"/>
      <w:bookmarkStart w:id="4" w:name="_Toc14272"/>
      <w:r>
        <w:rPr>
          <w:rFonts w:hint="eastAsia" w:ascii="方正楷体_GBK" w:hAnsi="方正楷体_GBK" w:eastAsia="方正楷体_GBK" w:cs="方正楷体_GBK"/>
          <w:b w:val="0"/>
          <w:bCs w:val="0"/>
          <w:kern w:val="2"/>
          <w:sz w:val="32"/>
          <w:szCs w:val="32"/>
          <w:lang w:val="en-US" w:eastAsia="zh-CN" w:bidi="ar"/>
        </w:rPr>
        <w:t>（二）机构设置</w:t>
      </w:r>
      <w:bookmarkEnd w:id="3"/>
      <w:r>
        <w:rPr>
          <w:rFonts w:hint="eastAsia" w:ascii="方正楷体_GBK" w:hAnsi="方正楷体_GBK" w:eastAsia="方正楷体_GBK" w:cs="方正楷体_GBK"/>
          <w:b w:val="0"/>
          <w:bCs w:val="0"/>
          <w:kern w:val="2"/>
          <w:sz w:val="32"/>
          <w:szCs w:val="32"/>
          <w:lang w:val="en-US" w:eastAsia="zh-CN" w:bidi="ar"/>
        </w:rPr>
        <w:t>。</w:t>
      </w:r>
      <w:bookmarkEnd w:id="4"/>
    </w:p>
    <w:p w14:paraId="61326A20">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年镇党委、政府统一设置综合办事机构</w:t>
      </w:r>
      <w:r>
        <w:rPr>
          <w:rFonts w:hint="default" w:ascii="Times New Roman" w:hAnsi="Times New Roman" w:eastAsia="方正仿宋_GBK" w:cs="Times New Roman"/>
          <w:kern w:val="0"/>
          <w:sz w:val="32"/>
          <w:szCs w:val="32"/>
          <w:lang w:val="en-US" w:eastAsia="zh-CN" w:bidi="ar"/>
        </w:rPr>
        <w:t>8</w:t>
      </w:r>
      <w:r>
        <w:rPr>
          <w:rFonts w:hint="eastAsia" w:ascii="方正仿宋_GBK" w:hAnsi="方正仿宋_GBK" w:eastAsia="方正仿宋_GBK" w:cs="方正仿宋_GBK"/>
          <w:kern w:val="0"/>
          <w:sz w:val="32"/>
          <w:szCs w:val="32"/>
          <w:lang w:val="en-US" w:eastAsia="zh-CN" w:bidi="ar"/>
        </w:rPr>
        <w:t xml:space="preserve">个，即党政办公室、党群工作办公室、经济发展办公室、民政和社会事务办公室、规划建设管理办公室、财政办公室、平安建设办公室、乡村振兴办公室；事业站所 </w:t>
      </w:r>
      <w:r>
        <w:rPr>
          <w:rFonts w:hint="default" w:ascii="Times New Roman" w:hAnsi="Times New Roman" w:eastAsia="方正仿宋_GBK" w:cs="Times New Roman"/>
          <w:kern w:val="0"/>
          <w:sz w:val="32"/>
          <w:szCs w:val="32"/>
          <w:lang w:val="en-US" w:eastAsia="zh-CN" w:bidi="ar"/>
        </w:rPr>
        <w:t xml:space="preserve">5 </w:t>
      </w:r>
      <w:r>
        <w:rPr>
          <w:rFonts w:hint="eastAsia" w:ascii="方正仿宋_GBK" w:hAnsi="方正仿宋_GBK" w:eastAsia="方正仿宋_GBK" w:cs="方正仿宋_GBK"/>
          <w:kern w:val="0"/>
          <w:sz w:val="32"/>
          <w:szCs w:val="32"/>
          <w:lang w:val="en-US" w:eastAsia="zh-CN" w:bidi="ar"/>
        </w:rPr>
        <w:t>个，即农业服务中心、文化服务中心、劳动就业和社会保障服务所、退役军人服务站、综合行政执法大队。</w:t>
      </w:r>
    </w:p>
    <w:p w14:paraId="6EC050AC">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5" w:name="_Toc18834"/>
      <w:bookmarkStart w:id="6" w:name="_Toc24463"/>
      <w:r>
        <w:rPr>
          <w:rFonts w:hint="eastAsia" w:ascii="方正楷体_GBK" w:hAnsi="方正楷体_GBK" w:eastAsia="方正楷体_GBK" w:cs="方正楷体_GBK"/>
          <w:b w:val="0"/>
          <w:bCs w:val="0"/>
          <w:kern w:val="2"/>
          <w:sz w:val="32"/>
          <w:szCs w:val="32"/>
          <w:lang w:val="en-US" w:eastAsia="zh-CN" w:bidi="ar"/>
        </w:rPr>
        <w:t>（三）单位构成</w:t>
      </w:r>
      <w:bookmarkEnd w:id="5"/>
      <w:r>
        <w:rPr>
          <w:rFonts w:hint="eastAsia" w:ascii="方正楷体_GBK" w:hAnsi="方正楷体_GBK" w:eastAsia="方正楷体_GBK" w:cs="方正楷体_GBK"/>
          <w:b w:val="0"/>
          <w:bCs w:val="0"/>
          <w:kern w:val="2"/>
          <w:sz w:val="32"/>
          <w:szCs w:val="32"/>
          <w:lang w:val="en-US" w:eastAsia="zh-CN" w:bidi="ar"/>
        </w:rPr>
        <w:t>。</w:t>
      </w:r>
      <w:bookmarkEnd w:id="6"/>
    </w:p>
    <w:p w14:paraId="127C9430">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从预算单位构成看，本单位无下级预算单位。</w:t>
      </w:r>
    </w:p>
    <w:p w14:paraId="23CCB48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二、部门决算情况说明</w:t>
      </w:r>
    </w:p>
    <w:p w14:paraId="3ABFF419">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7" w:name="_Toc8740"/>
      <w:bookmarkStart w:id="8" w:name="_Toc12435"/>
      <w:r>
        <w:rPr>
          <w:rFonts w:hint="eastAsia" w:ascii="方正楷体_GBK" w:hAnsi="方正楷体_GBK" w:eastAsia="方正楷体_GBK" w:cs="方正楷体_GBK"/>
          <w:b w:val="0"/>
          <w:bCs w:val="0"/>
          <w:kern w:val="2"/>
          <w:sz w:val="32"/>
          <w:szCs w:val="32"/>
          <w:lang w:val="en-US" w:eastAsia="zh-CN" w:bidi="ar"/>
        </w:rPr>
        <w:t>（一）收入支出决算总体情况说明</w:t>
      </w:r>
      <w:bookmarkEnd w:id="7"/>
      <w:r>
        <w:rPr>
          <w:rFonts w:hint="eastAsia" w:ascii="方正楷体_GBK" w:hAnsi="方正楷体_GBK" w:eastAsia="方正楷体_GBK" w:cs="方正楷体_GBK"/>
          <w:b w:val="0"/>
          <w:bCs w:val="0"/>
          <w:kern w:val="2"/>
          <w:sz w:val="32"/>
          <w:szCs w:val="32"/>
          <w:lang w:val="en-US" w:eastAsia="zh-CN" w:bidi="ar"/>
        </w:rPr>
        <w:t>。</w:t>
      </w:r>
      <w:bookmarkEnd w:id="8"/>
    </w:p>
    <w:p w14:paraId="3D11642C">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总体情况。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年度收入总计</w:t>
      </w:r>
      <w:r>
        <w:rPr>
          <w:rFonts w:hint="default" w:ascii="Times New Roman" w:hAnsi="Times New Roman" w:eastAsia="方正仿宋_GBK" w:cs="Times New Roman"/>
          <w:kern w:val="0"/>
          <w:sz w:val="32"/>
          <w:szCs w:val="32"/>
          <w:lang w:val="en-US" w:eastAsia="zh-CN" w:bidi="ar"/>
        </w:rPr>
        <w:t>3750.47</w:t>
      </w:r>
      <w:r>
        <w:rPr>
          <w:rFonts w:hint="eastAsia" w:ascii="方正仿宋_GBK" w:hAnsi="方正仿宋_GBK" w:eastAsia="方正仿宋_GBK" w:cs="方正仿宋_GBK"/>
          <w:kern w:val="0"/>
          <w:sz w:val="32"/>
          <w:szCs w:val="32"/>
          <w:lang w:val="en-US" w:eastAsia="zh-CN" w:bidi="ar"/>
        </w:rPr>
        <w:t>万元，支出总计</w:t>
      </w:r>
      <w:r>
        <w:rPr>
          <w:rFonts w:hint="default" w:ascii="Times New Roman" w:hAnsi="Times New Roman" w:eastAsia="方正仿宋_GBK" w:cs="Times New Roman"/>
          <w:kern w:val="0"/>
          <w:sz w:val="32"/>
          <w:szCs w:val="32"/>
          <w:lang w:val="en-US" w:eastAsia="zh-CN" w:bidi="ar"/>
        </w:rPr>
        <w:t>3750.47</w:t>
      </w:r>
      <w:r>
        <w:rPr>
          <w:rFonts w:hint="eastAsia" w:ascii="方正仿宋_GBK" w:hAnsi="方正仿宋_GBK" w:eastAsia="方正仿宋_GBK" w:cs="方正仿宋_GBK"/>
          <w:kern w:val="0"/>
          <w:sz w:val="32"/>
          <w:szCs w:val="32"/>
          <w:lang w:val="en-US" w:eastAsia="zh-CN" w:bidi="ar"/>
        </w:rPr>
        <w:t>万元。收支较上年决算数增加</w:t>
      </w:r>
      <w:r>
        <w:rPr>
          <w:rFonts w:hint="default" w:ascii="Times New Roman" w:hAnsi="Times New Roman" w:eastAsia="方正仿宋_GBK" w:cs="Times New Roman"/>
          <w:kern w:val="0"/>
          <w:sz w:val="32"/>
          <w:szCs w:val="32"/>
          <w:lang w:val="en-US" w:eastAsia="zh-CN" w:bidi="ar"/>
        </w:rPr>
        <w:t>1235.37</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49.1%</w:t>
      </w:r>
      <w:r>
        <w:rPr>
          <w:rFonts w:hint="eastAsia" w:ascii="方正仿宋_GBK" w:hAnsi="方正仿宋_GBK" w:eastAsia="方正仿宋_GBK" w:cs="方正仿宋_GBK"/>
          <w:kern w:val="0"/>
          <w:sz w:val="32"/>
          <w:szCs w:val="32"/>
          <w:lang w:val="en-US" w:eastAsia="zh-CN" w:bidi="ar"/>
        </w:rPr>
        <w:t>，主要原因是本年纳入预算内项目较去年增加，导致年初财力预算增加。</w:t>
      </w:r>
    </w:p>
    <w:p w14:paraId="74026C70">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收入情况。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年度收入合计</w:t>
      </w:r>
      <w:r>
        <w:rPr>
          <w:rFonts w:hint="default" w:ascii="Times New Roman" w:hAnsi="Times New Roman" w:eastAsia="方正仿宋_GBK" w:cs="Times New Roman"/>
          <w:kern w:val="0"/>
          <w:sz w:val="32"/>
          <w:szCs w:val="32"/>
          <w:lang w:val="en-US" w:eastAsia="zh-CN" w:bidi="ar"/>
        </w:rPr>
        <w:t>3750.47</w:t>
      </w:r>
      <w:r>
        <w:rPr>
          <w:rFonts w:hint="eastAsia" w:ascii="方正仿宋_GBK" w:hAnsi="方正仿宋_GBK" w:eastAsia="方正仿宋_GBK" w:cs="方正仿宋_GBK"/>
          <w:kern w:val="0"/>
          <w:sz w:val="32"/>
          <w:szCs w:val="32"/>
          <w:lang w:val="en-US" w:eastAsia="zh-CN" w:bidi="ar"/>
        </w:rPr>
        <w:t>万元，较上年决算数增加</w:t>
      </w:r>
      <w:r>
        <w:rPr>
          <w:rFonts w:hint="default" w:ascii="Times New Roman" w:hAnsi="Times New Roman" w:eastAsia="方正仿宋_GBK" w:cs="Times New Roman"/>
          <w:kern w:val="0"/>
          <w:sz w:val="32"/>
          <w:szCs w:val="32"/>
          <w:lang w:val="en-US" w:eastAsia="zh-CN" w:bidi="ar"/>
        </w:rPr>
        <w:t>1235.37</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49.1%</w:t>
      </w:r>
      <w:r>
        <w:rPr>
          <w:rFonts w:hint="eastAsia" w:ascii="方正仿宋_GBK" w:hAnsi="方正仿宋_GBK" w:eastAsia="方正仿宋_GBK" w:cs="方正仿宋_GBK"/>
          <w:kern w:val="0"/>
          <w:sz w:val="32"/>
          <w:szCs w:val="32"/>
          <w:lang w:val="en-US" w:eastAsia="zh-CN" w:bidi="ar"/>
        </w:rPr>
        <w:t>，主要原因是本年预算内项目较</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年均有所增加。其中：财政拨款收入</w:t>
      </w:r>
      <w:r>
        <w:rPr>
          <w:rFonts w:hint="default" w:ascii="Times New Roman" w:hAnsi="Times New Roman" w:eastAsia="方正仿宋_GBK" w:cs="Times New Roman"/>
          <w:kern w:val="0"/>
          <w:sz w:val="32"/>
          <w:szCs w:val="32"/>
          <w:lang w:val="en-US" w:eastAsia="zh-CN" w:bidi="ar"/>
        </w:rPr>
        <w:t>3750.47</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100%</w:t>
      </w:r>
      <w:r>
        <w:rPr>
          <w:rFonts w:hint="eastAsia" w:ascii="方正仿宋_GBK" w:hAnsi="方正仿宋_GBK" w:eastAsia="方正仿宋_GBK" w:cs="方正仿宋_GBK"/>
          <w:kern w:val="0"/>
          <w:sz w:val="32"/>
          <w:szCs w:val="32"/>
          <w:lang w:val="en-US" w:eastAsia="zh-CN" w:bidi="ar"/>
        </w:rPr>
        <w:t>。</w:t>
      </w:r>
    </w:p>
    <w:p w14:paraId="5ECB9053">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支出情况。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年度支出合计</w:t>
      </w:r>
      <w:r>
        <w:rPr>
          <w:rFonts w:hint="default" w:ascii="Times New Roman" w:hAnsi="Times New Roman" w:eastAsia="方正仿宋_GBK" w:cs="Times New Roman"/>
          <w:kern w:val="0"/>
          <w:sz w:val="32"/>
          <w:szCs w:val="32"/>
          <w:lang w:val="en-US" w:eastAsia="zh-CN" w:bidi="ar"/>
        </w:rPr>
        <w:t>3750.47</w:t>
      </w:r>
      <w:r>
        <w:rPr>
          <w:rFonts w:hint="eastAsia" w:ascii="方正仿宋_GBK" w:hAnsi="方正仿宋_GBK" w:eastAsia="方正仿宋_GBK" w:cs="方正仿宋_GBK"/>
          <w:kern w:val="0"/>
          <w:sz w:val="32"/>
          <w:szCs w:val="32"/>
          <w:lang w:val="en-US" w:eastAsia="zh-CN" w:bidi="ar"/>
        </w:rPr>
        <w:t>万元，较上年决算增加</w:t>
      </w:r>
      <w:r>
        <w:rPr>
          <w:rFonts w:hint="default" w:ascii="Times New Roman" w:hAnsi="Times New Roman" w:eastAsia="方正仿宋_GBK" w:cs="Times New Roman"/>
          <w:kern w:val="0"/>
          <w:sz w:val="32"/>
          <w:szCs w:val="32"/>
          <w:lang w:val="en-US" w:eastAsia="zh-CN" w:bidi="ar"/>
        </w:rPr>
        <w:t>1235.37</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49.1%</w:t>
      </w:r>
      <w:r>
        <w:rPr>
          <w:rFonts w:hint="eastAsia" w:ascii="方正仿宋_GBK" w:hAnsi="方正仿宋_GBK" w:eastAsia="方正仿宋_GBK" w:cs="方正仿宋_GBK"/>
          <w:kern w:val="0"/>
          <w:sz w:val="32"/>
          <w:szCs w:val="32"/>
          <w:lang w:val="en-US" w:eastAsia="zh-CN" w:bidi="ar"/>
        </w:rPr>
        <w:t>，主要原因是</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年较</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年项目基本支出与基本收入有所增加。其中：基本支出</w:t>
      </w:r>
      <w:r>
        <w:rPr>
          <w:rFonts w:hint="default" w:ascii="Times New Roman" w:hAnsi="Times New Roman" w:eastAsia="方正仿宋_GBK" w:cs="Times New Roman"/>
          <w:kern w:val="0"/>
          <w:sz w:val="32"/>
          <w:szCs w:val="32"/>
          <w:lang w:val="en-US" w:eastAsia="zh-CN" w:bidi="ar"/>
        </w:rPr>
        <w:t>1572.09</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41.9%</w:t>
      </w:r>
      <w:r>
        <w:rPr>
          <w:rFonts w:hint="eastAsia" w:ascii="方正仿宋_GBK" w:hAnsi="方正仿宋_GBK" w:eastAsia="方正仿宋_GBK" w:cs="方正仿宋_GBK"/>
          <w:kern w:val="0"/>
          <w:sz w:val="32"/>
          <w:szCs w:val="32"/>
          <w:lang w:val="en-US" w:eastAsia="zh-CN" w:bidi="ar"/>
        </w:rPr>
        <w:t>；项目支出</w:t>
      </w:r>
      <w:r>
        <w:rPr>
          <w:rFonts w:hint="default" w:ascii="Times New Roman" w:hAnsi="Times New Roman" w:eastAsia="方正仿宋_GBK" w:cs="Times New Roman"/>
          <w:kern w:val="0"/>
          <w:sz w:val="32"/>
          <w:szCs w:val="32"/>
          <w:lang w:val="en-US" w:eastAsia="zh-CN" w:bidi="ar"/>
        </w:rPr>
        <w:t>2178.38</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58.1%</w:t>
      </w:r>
      <w:r>
        <w:rPr>
          <w:rFonts w:hint="eastAsia" w:ascii="方正仿宋_GBK" w:hAnsi="方正仿宋_GBK" w:eastAsia="方正仿宋_GBK" w:cs="方正仿宋_GBK"/>
          <w:kern w:val="0"/>
          <w:sz w:val="32"/>
          <w:szCs w:val="32"/>
          <w:lang w:val="en-US" w:eastAsia="zh-CN" w:bidi="ar"/>
        </w:rPr>
        <w:t>。</w:t>
      </w:r>
    </w:p>
    <w:p w14:paraId="1BC47D13">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结转结余情况。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年度年末无结转和结余。</w:t>
      </w:r>
    </w:p>
    <w:p w14:paraId="698F9834">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9" w:name="_Toc16479"/>
      <w:bookmarkStart w:id="10" w:name="_Toc15327"/>
      <w:r>
        <w:rPr>
          <w:rFonts w:hint="eastAsia" w:ascii="方正楷体_GBK" w:hAnsi="方正楷体_GBK" w:eastAsia="方正楷体_GBK" w:cs="方正楷体_GBK"/>
          <w:b w:val="0"/>
          <w:bCs w:val="0"/>
          <w:kern w:val="2"/>
          <w:sz w:val="32"/>
          <w:szCs w:val="32"/>
          <w:lang w:val="en-US" w:eastAsia="zh-CN" w:bidi="ar"/>
        </w:rPr>
        <w:t>（二）财政拨款收入支出决算总体情况说明</w:t>
      </w:r>
      <w:bookmarkEnd w:id="9"/>
      <w:r>
        <w:rPr>
          <w:rFonts w:hint="eastAsia" w:ascii="方正楷体_GBK" w:hAnsi="方正楷体_GBK" w:eastAsia="方正楷体_GBK" w:cs="方正楷体_GBK"/>
          <w:b w:val="0"/>
          <w:bCs w:val="0"/>
          <w:kern w:val="2"/>
          <w:sz w:val="32"/>
          <w:szCs w:val="32"/>
          <w:lang w:val="en-US" w:eastAsia="zh-CN" w:bidi="ar"/>
        </w:rPr>
        <w:t>。</w:t>
      </w:r>
      <w:bookmarkEnd w:id="10"/>
    </w:p>
    <w:p w14:paraId="0DD4274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年度财政拨款收、支总计</w:t>
      </w:r>
      <w:r>
        <w:rPr>
          <w:rFonts w:hint="default" w:ascii="Times New Roman" w:hAnsi="Times New Roman" w:eastAsia="方正仿宋_GBK" w:cs="Times New Roman"/>
          <w:kern w:val="0"/>
          <w:sz w:val="32"/>
          <w:szCs w:val="32"/>
          <w:lang w:val="en-US" w:eastAsia="zh-CN" w:bidi="ar"/>
        </w:rPr>
        <w:t>3750.47</w:t>
      </w:r>
      <w:r>
        <w:rPr>
          <w:rFonts w:hint="eastAsia" w:ascii="方正仿宋_GBK" w:hAnsi="方正仿宋_GBK" w:eastAsia="方正仿宋_GBK" w:cs="方正仿宋_GBK"/>
          <w:kern w:val="0"/>
          <w:sz w:val="32"/>
          <w:szCs w:val="32"/>
          <w:lang w:val="en-US" w:eastAsia="zh-CN" w:bidi="ar"/>
        </w:rPr>
        <w:t>万元。与</w:t>
      </w:r>
      <w:r>
        <w:rPr>
          <w:rFonts w:hint="default" w:ascii="Times New Roman" w:hAnsi="Times New Roman" w:eastAsia="方正仿宋_GBK" w:cs="Times New Roman"/>
          <w:kern w:val="0"/>
          <w:sz w:val="32"/>
          <w:szCs w:val="32"/>
          <w:lang w:val="en-US" w:eastAsia="zh-CN" w:bidi="ar"/>
        </w:rPr>
        <w:t>2022</w:t>
      </w:r>
      <w:r>
        <w:rPr>
          <w:rFonts w:hint="eastAsia" w:ascii="方正仿宋_GBK" w:hAnsi="方正仿宋_GBK" w:eastAsia="方正仿宋_GBK" w:cs="方正仿宋_GBK"/>
          <w:kern w:val="0"/>
          <w:sz w:val="32"/>
          <w:szCs w:val="32"/>
          <w:lang w:val="en-US" w:eastAsia="zh-CN" w:bidi="ar"/>
        </w:rPr>
        <w:t>年相比，财政拨款收、支总计各增加</w:t>
      </w:r>
      <w:r>
        <w:rPr>
          <w:rFonts w:hint="default" w:ascii="Times New Roman" w:hAnsi="Times New Roman" w:eastAsia="方正仿宋_GBK" w:cs="Times New Roman"/>
          <w:kern w:val="0"/>
          <w:sz w:val="32"/>
          <w:szCs w:val="32"/>
          <w:lang w:val="en-US" w:eastAsia="zh-CN" w:bidi="ar"/>
        </w:rPr>
        <w:t>1235.37</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49.1%</w:t>
      </w:r>
      <w:r>
        <w:rPr>
          <w:rFonts w:hint="eastAsia" w:ascii="方正仿宋_GBK" w:hAnsi="方正仿宋_GBK" w:eastAsia="方正仿宋_GBK" w:cs="方正仿宋_GBK"/>
          <w:kern w:val="0"/>
          <w:sz w:val="32"/>
          <w:szCs w:val="32"/>
          <w:lang w:val="en-US" w:eastAsia="zh-CN" w:bidi="ar"/>
        </w:rPr>
        <w:t>。主要原因是</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年增加了项目收支，其中基本支出</w:t>
      </w:r>
      <w:r>
        <w:rPr>
          <w:rFonts w:hint="default" w:ascii="Times New Roman" w:hAnsi="Times New Roman" w:eastAsia="方正仿宋_GBK" w:cs="Times New Roman"/>
          <w:kern w:val="0"/>
          <w:sz w:val="32"/>
          <w:szCs w:val="32"/>
          <w:lang w:val="en-US" w:eastAsia="zh-CN" w:bidi="ar"/>
        </w:rPr>
        <w:t>1572.09</w:t>
      </w:r>
      <w:r>
        <w:rPr>
          <w:rFonts w:hint="eastAsia" w:ascii="方正仿宋_GBK" w:hAnsi="方正仿宋_GBK" w:eastAsia="方正仿宋_GBK" w:cs="方正仿宋_GBK"/>
          <w:kern w:val="0"/>
          <w:sz w:val="32"/>
          <w:szCs w:val="32"/>
          <w:lang w:val="en-US" w:eastAsia="zh-CN" w:bidi="ar"/>
        </w:rPr>
        <w:t>万元，占总支出的</w:t>
      </w:r>
      <w:r>
        <w:rPr>
          <w:rFonts w:hint="default" w:ascii="Times New Roman" w:hAnsi="Times New Roman" w:eastAsia="方正仿宋_GBK" w:cs="Times New Roman"/>
          <w:kern w:val="0"/>
          <w:sz w:val="32"/>
          <w:szCs w:val="32"/>
          <w:lang w:val="en-US" w:eastAsia="zh-CN" w:bidi="ar"/>
        </w:rPr>
        <w:t>41.9%</w:t>
      </w:r>
      <w:r>
        <w:rPr>
          <w:rFonts w:hint="eastAsia" w:ascii="方正仿宋_GBK" w:hAnsi="方正仿宋_GBK" w:eastAsia="方正仿宋_GBK" w:cs="方正仿宋_GBK"/>
          <w:kern w:val="0"/>
          <w:sz w:val="32"/>
          <w:szCs w:val="32"/>
          <w:lang w:val="en-US" w:eastAsia="zh-CN" w:bidi="ar"/>
        </w:rPr>
        <w:t>，项目支出</w:t>
      </w:r>
      <w:r>
        <w:rPr>
          <w:rFonts w:hint="default" w:ascii="Times New Roman" w:hAnsi="Times New Roman" w:eastAsia="方正仿宋_GBK" w:cs="Times New Roman"/>
          <w:kern w:val="0"/>
          <w:sz w:val="32"/>
          <w:szCs w:val="32"/>
          <w:lang w:val="en-US" w:eastAsia="zh-CN" w:bidi="ar"/>
        </w:rPr>
        <w:t>2178.38</w:t>
      </w:r>
      <w:r>
        <w:rPr>
          <w:rFonts w:hint="eastAsia" w:ascii="方正仿宋_GBK" w:hAnsi="方正仿宋_GBK" w:eastAsia="方正仿宋_GBK" w:cs="方正仿宋_GBK"/>
          <w:kern w:val="0"/>
          <w:sz w:val="32"/>
          <w:szCs w:val="32"/>
          <w:lang w:val="en-US" w:eastAsia="zh-CN" w:bidi="ar"/>
        </w:rPr>
        <w:t>万元，占总支出的</w:t>
      </w:r>
      <w:r>
        <w:rPr>
          <w:rFonts w:hint="default" w:ascii="Times New Roman" w:hAnsi="Times New Roman" w:eastAsia="方正仿宋_GBK" w:cs="Times New Roman"/>
          <w:kern w:val="0"/>
          <w:sz w:val="32"/>
          <w:szCs w:val="32"/>
          <w:lang w:val="en-US" w:eastAsia="zh-CN" w:bidi="ar"/>
        </w:rPr>
        <w:t>58.1%</w:t>
      </w:r>
      <w:r>
        <w:rPr>
          <w:rFonts w:hint="eastAsia" w:ascii="方正仿宋_GBK" w:hAnsi="方正仿宋_GBK" w:eastAsia="方正仿宋_GBK" w:cs="方正仿宋_GBK"/>
          <w:kern w:val="0"/>
          <w:sz w:val="32"/>
          <w:szCs w:val="32"/>
          <w:lang w:val="en-US" w:eastAsia="zh-CN" w:bidi="ar"/>
        </w:rPr>
        <w:t>。</w:t>
      </w:r>
    </w:p>
    <w:p w14:paraId="0EAF3C02">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11" w:name="_Toc1736"/>
      <w:bookmarkStart w:id="12" w:name="_Toc22494"/>
      <w:r>
        <w:rPr>
          <w:rFonts w:hint="eastAsia" w:ascii="方正楷体_GBK" w:hAnsi="方正楷体_GBK" w:eastAsia="方正楷体_GBK" w:cs="方正楷体_GBK"/>
          <w:b w:val="0"/>
          <w:bCs w:val="0"/>
          <w:kern w:val="2"/>
          <w:sz w:val="32"/>
          <w:szCs w:val="32"/>
          <w:lang w:val="en-US" w:eastAsia="zh-CN" w:bidi="ar"/>
        </w:rPr>
        <w:t>（三）一般公共预算财政拨款收入支出决算情况说明</w:t>
      </w:r>
      <w:bookmarkEnd w:id="11"/>
      <w:r>
        <w:rPr>
          <w:rFonts w:hint="eastAsia" w:ascii="方正楷体_GBK" w:hAnsi="方正楷体_GBK" w:eastAsia="方正楷体_GBK" w:cs="方正楷体_GBK"/>
          <w:b w:val="0"/>
          <w:bCs w:val="0"/>
          <w:kern w:val="2"/>
          <w:sz w:val="32"/>
          <w:szCs w:val="32"/>
          <w:lang w:val="en-US" w:eastAsia="zh-CN" w:bidi="ar"/>
        </w:rPr>
        <w:t>。</w:t>
      </w:r>
      <w:bookmarkEnd w:id="12"/>
    </w:p>
    <w:p w14:paraId="3AF546A7">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收入情况。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年度一般公共预算财政拨款收入</w:t>
      </w:r>
      <w:r>
        <w:rPr>
          <w:rFonts w:hint="default" w:ascii="Times New Roman" w:hAnsi="Times New Roman" w:eastAsia="方正仿宋_GBK" w:cs="Times New Roman"/>
          <w:kern w:val="0"/>
          <w:sz w:val="32"/>
          <w:szCs w:val="32"/>
          <w:lang w:val="en-US" w:eastAsia="zh-CN" w:bidi="ar"/>
        </w:rPr>
        <w:t>2168.47</w:t>
      </w:r>
      <w:r>
        <w:rPr>
          <w:rFonts w:hint="eastAsia" w:ascii="方正仿宋_GBK" w:hAnsi="方正仿宋_GBK" w:eastAsia="方正仿宋_GBK" w:cs="方正仿宋_GBK"/>
          <w:kern w:val="0"/>
          <w:sz w:val="32"/>
          <w:szCs w:val="32"/>
          <w:lang w:val="en-US" w:eastAsia="zh-CN" w:bidi="ar"/>
        </w:rPr>
        <w:t>万元，较上年决算数减少</w:t>
      </w:r>
      <w:r>
        <w:rPr>
          <w:rFonts w:hint="default" w:ascii="Times New Roman" w:hAnsi="Times New Roman" w:eastAsia="方正仿宋_GBK" w:cs="Times New Roman"/>
          <w:kern w:val="0"/>
          <w:sz w:val="32"/>
          <w:szCs w:val="32"/>
          <w:lang w:val="en-US" w:eastAsia="zh-CN" w:bidi="ar"/>
        </w:rPr>
        <w:t>344.35</w:t>
      </w:r>
      <w:r>
        <w:rPr>
          <w:rFonts w:hint="eastAsia" w:ascii="方正仿宋_GBK" w:hAnsi="方正仿宋_GBK" w:eastAsia="方正仿宋_GBK" w:cs="方正仿宋_GBK"/>
          <w:kern w:val="0"/>
          <w:sz w:val="32"/>
          <w:szCs w:val="32"/>
          <w:lang w:val="en-US" w:eastAsia="zh-CN" w:bidi="ar"/>
        </w:rPr>
        <w:t>万元，减少</w:t>
      </w:r>
      <w:r>
        <w:rPr>
          <w:rFonts w:hint="default" w:ascii="Times New Roman" w:hAnsi="Times New Roman" w:eastAsia="方正仿宋_GBK" w:cs="Times New Roman"/>
          <w:kern w:val="0"/>
          <w:sz w:val="32"/>
          <w:szCs w:val="32"/>
          <w:lang w:val="en-US" w:eastAsia="zh-CN" w:bidi="ar"/>
        </w:rPr>
        <w:t>13.7%</w:t>
      </w:r>
      <w:r>
        <w:rPr>
          <w:rFonts w:hint="eastAsia" w:ascii="方正仿宋_GBK" w:hAnsi="方正仿宋_GBK" w:eastAsia="方正仿宋_GBK" w:cs="方正仿宋_GBK"/>
          <w:kern w:val="0"/>
          <w:sz w:val="32"/>
          <w:szCs w:val="32"/>
          <w:lang w:val="en-US" w:eastAsia="zh-CN" w:bidi="ar"/>
        </w:rPr>
        <w:t>。主要原因是减少了文化旅游体育与传媒支出，社会保障和就业支出，农林水收入等。较年初预算数增加</w:t>
      </w:r>
      <w:r>
        <w:rPr>
          <w:rFonts w:hint="default" w:ascii="Times New Roman" w:hAnsi="Times New Roman" w:eastAsia="方正仿宋_GBK" w:cs="Times New Roman"/>
          <w:kern w:val="0"/>
          <w:sz w:val="32"/>
          <w:szCs w:val="32"/>
          <w:lang w:val="en-US" w:eastAsia="zh-CN" w:bidi="ar"/>
        </w:rPr>
        <w:t>844.54</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63.7%</w:t>
      </w:r>
      <w:r>
        <w:rPr>
          <w:rFonts w:hint="eastAsia" w:ascii="方正仿宋_GBK" w:hAnsi="方正仿宋_GBK" w:eastAsia="方正仿宋_GBK" w:cs="方正仿宋_GBK"/>
          <w:kern w:val="0"/>
          <w:sz w:val="32"/>
          <w:szCs w:val="32"/>
          <w:lang w:val="en-US" w:eastAsia="zh-CN" w:bidi="ar"/>
        </w:rPr>
        <w:t>。主要原因是本年纳入预算内项目较去年增加，导致财力预算增加。此外，无年初财政拨款结转和结余。</w:t>
      </w:r>
    </w:p>
    <w:p w14:paraId="6D04D8F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支出情况。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年度一般公共预算财政拨款支出</w:t>
      </w:r>
      <w:r>
        <w:rPr>
          <w:rFonts w:hint="default" w:ascii="Times New Roman" w:hAnsi="Times New Roman" w:eastAsia="方正仿宋_GBK" w:cs="Times New Roman"/>
          <w:kern w:val="0"/>
          <w:sz w:val="32"/>
          <w:szCs w:val="32"/>
          <w:lang w:val="en-US" w:eastAsia="zh-CN" w:bidi="ar"/>
        </w:rPr>
        <w:t>2168.47</w:t>
      </w:r>
      <w:r>
        <w:rPr>
          <w:rFonts w:hint="eastAsia" w:ascii="方正仿宋_GBK" w:hAnsi="方正仿宋_GBK" w:eastAsia="方正仿宋_GBK" w:cs="方正仿宋_GBK"/>
          <w:kern w:val="0"/>
          <w:sz w:val="32"/>
          <w:szCs w:val="32"/>
          <w:lang w:val="en-US" w:eastAsia="zh-CN" w:bidi="ar"/>
        </w:rPr>
        <w:t>万元，较上年决算数减少</w:t>
      </w:r>
      <w:r>
        <w:rPr>
          <w:rFonts w:hint="default" w:ascii="Times New Roman" w:hAnsi="Times New Roman" w:eastAsia="方正仿宋_GBK" w:cs="Times New Roman"/>
          <w:kern w:val="0"/>
          <w:sz w:val="32"/>
          <w:szCs w:val="32"/>
          <w:lang w:val="en-US" w:eastAsia="zh-CN" w:bidi="ar"/>
        </w:rPr>
        <w:t>344.35</w:t>
      </w:r>
      <w:r>
        <w:rPr>
          <w:rFonts w:hint="eastAsia" w:ascii="方正仿宋_GBK" w:hAnsi="方正仿宋_GBK" w:eastAsia="方正仿宋_GBK" w:cs="方正仿宋_GBK"/>
          <w:kern w:val="0"/>
          <w:sz w:val="32"/>
          <w:szCs w:val="32"/>
          <w:lang w:val="en-US" w:eastAsia="zh-CN" w:bidi="ar"/>
        </w:rPr>
        <w:t>万元，减少</w:t>
      </w:r>
      <w:r>
        <w:rPr>
          <w:rFonts w:hint="default" w:ascii="Times New Roman" w:hAnsi="Times New Roman" w:eastAsia="方正仿宋_GBK" w:cs="Times New Roman"/>
          <w:kern w:val="0"/>
          <w:sz w:val="32"/>
          <w:szCs w:val="32"/>
          <w:lang w:val="en-US" w:eastAsia="zh-CN" w:bidi="ar"/>
        </w:rPr>
        <w:t>13.7%</w:t>
      </w:r>
      <w:r>
        <w:rPr>
          <w:rFonts w:hint="eastAsia" w:ascii="方正仿宋_GBK" w:hAnsi="方正仿宋_GBK" w:eastAsia="方正仿宋_GBK" w:cs="方正仿宋_GBK"/>
          <w:kern w:val="0"/>
          <w:sz w:val="32"/>
          <w:szCs w:val="32"/>
          <w:lang w:val="en-US" w:eastAsia="zh-CN" w:bidi="ar"/>
        </w:rPr>
        <w:t>。主要原因是一般公共服务支出，文化旅游体育与传媒，卫生健康支出和农林水支出减少。较年初预算数增加</w:t>
      </w:r>
      <w:r>
        <w:rPr>
          <w:rFonts w:hint="default" w:ascii="Times New Roman" w:hAnsi="Times New Roman" w:eastAsia="方正仿宋_GBK" w:cs="Times New Roman"/>
          <w:kern w:val="0"/>
          <w:sz w:val="32"/>
          <w:szCs w:val="32"/>
          <w:lang w:val="en-US" w:eastAsia="zh-CN" w:bidi="ar"/>
        </w:rPr>
        <w:t>844.54</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63.7%</w:t>
      </w:r>
      <w:r>
        <w:rPr>
          <w:rFonts w:hint="eastAsia" w:ascii="方正仿宋_GBK" w:hAnsi="方正仿宋_GBK" w:eastAsia="方正仿宋_GBK" w:cs="方正仿宋_GBK"/>
          <w:kern w:val="0"/>
          <w:sz w:val="32"/>
          <w:szCs w:val="32"/>
          <w:lang w:val="en-US" w:eastAsia="zh-CN" w:bidi="ar"/>
        </w:rPr>
        <w:t>。主要原因是年初预算只有基本刚性支出，后期大幅增加专项资金支出。</w:t>
      </w:r>
    </w:p>
    <w:p w14:paraId="0D942869">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结转结余情况。</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年度年末无一般公共预算财政拨款结转和结余。</w:t>
      </w:r>
    </w:p>
    <w:p w14:paraId="69B3293D">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比较情况。本部门</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年度一般公共预算财政拨款支出主要用于以下几个方面。</w:t>
      </w:r>
    </w:p>
    <w:p w14:paraId="5135365C">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）一般公共服务支出</w:t>
      </w:r>
      <w:r>
        <w:rPr>
          <w:rFonts w:hint="default" w:ascii="Times New Roman" w:hAnsi="Times New Roman" w:eastAsia="方正仿宋_GBK" w:cs="Times New Roman"/>
          <w:kern w:val="0"/>
          <w:sz w:val="32"/>
          <w:szCs w:val="32"/>
          <w:lang w:val="en-US" w:eastAsia="zh-CN" w:bidi="ar"/>
        </w:rPr>
        <w:t>544.73</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25.1%</w:t>
      </w:r>
      <w:r>
        <w:rPr>
          <w:rFonts w:hint="eastAsia" w:ascii="方正仿宋_GBK" w:hAnsi="方正仿宋_GBK" w:eastAsia="方正仿宋_GBK" w:cs="方正仿宋_GBK"/>
          <w:kern w:val="0"/>
          <w:sz w:val="32"/>
          <w:szCs w:val="32"/>
          <w:lang w:val="en-US" w:eastAsia="zh-CN" w:bidi="ar"/>
        </w:rPr>
        <w:t>，较年初预算数减少</w:t>
      </w:r>
      <w:r>
        <w:rPr>
          <w:rFonts w:hint="default" w:ascii="Times New Roman" w:hAnsi="Times New Roman" w:eastAsia="方正仿宋_GBK" w:cs="Times New Roman"/>
          <w:kern w:val="0"/>
          <w:sz w:val="32"/>
          <w:szCs w:val="32"/>
          <w:lang w:val="en-US" w:eastAsia="zh-CN" w:bidi="ar"/>
        </w:rPr>
        <w:t>3.8</w:t>
      </w:r>
      <w:r>
        <w:rPr>
          <w:rFonts w:hint="eastAsia" w:ascii="方正仿宋_GBK" w:hAnsi="方正仿宋_GBK" w:eastAsia="方正仿宋_GBK" w:cs="方正仿宋_GBK"/>
          <w:kern w:val="0"/>
          <w:sz w:val="32"/>
          <w:szCs w:val="32"/>
          <w:lang w:val="en-US" w:eastAsia="zh-CN" w:bidi="ar"/>
        </w:rPr>
        <w:t>万元，减少</w:t>
      </w:r>
      <w:r>
        <w:rPr>
          <w:rFonts w:hint="default" w:ascii="Times New Roman" w:hAnsi="Times New Roman" w:eastAsia="方正仿宋_GBK" w:cs="Times New Roman"/>
          <w:kern w:val="0"/>
          <w:sz w:val="32"/>
          <w:szCs w:val="32"/>
          <w:lang w:val="en-US" w:eastAsia="zh-CN" w:bidi="ar"/>
        </w:rPr>
        <w:t>0.69%</w:t>
      </w:r>
      <w:r>
        <w:rPr>
          <w:rFonts w:hint="eastAsia" w:ascii="方正仿宋_GBK" w:hAnsi="方正仿宋_GBK" w:eastAsia="方正仿宋_GBK" w:cs="方正仿宋_GBK"/>
          <w:kern w:val="0"/>
          <w:sz w:val="32"/>
          <w:szCs w:val="32"/>
          <w:lang w:val="en-US" w:eastAsia="zh-CN" w:bidi="ar"/>
        </w:rPr>
        <w:t>，主要原因是年初编制财力时适当将公用经费增加。</w:t>
      </w:r>
    </w:p>
    <w:p w14:paraId="1006639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）文化旅游体育与传媒支出</w:t>
      </w:r>
      <w:r>
        <w:rPr>
          <w:rFonts w:hint="default" w:ascii="Times New Roman" w:hAnsi="Times New Roman" w:eastAsia="方正仿宋_GBK" w:cs="Times New Roman"/>
          <w:kern w:val="0"/>
          <w:sz w:val="32"/>
          <w:szCs w:val="32"/>
          <w:lang w:val="en-US" w:eastAsia="zh-CN" w:bidi="ar"/>
        </w:rPr>
        <w:t>11.34</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0.52%</w:t>
      </w:r>
      <w:r>
        <w:rPr>
          <w:rFonts w:hint="eastAsia" w:ascii="方正仿宋_GBK" w:hAnsi="方正仿宋_GBK" w:eastAsia="方正仿宋_GBK" w:cs="方正仿宋_GBK"/>
          <w:kern w:val="0"/>
          <w:sz w:val="32"/>
          <w:szCs w:val="32"/>
          <w:lang w:val="en-US" w:eastAsia="zh-CN" w:bidi="ar"/>
        </w:rPr>
        <w:t>，较年初预算数增加</w:t>
      </w:r>
      <w:r>
        <w:rPr>
          <w:rFonts w:hint="default" w:ascii="Times New Roman" w:hAnsi="Times New Roman" w:eastAsia="方正仿宋_GBK" w:cs="Times New Roman"/>
          <w:kern w:val="0"/>
          <w:sz w:val="32"/>
          <w:szCs w:val="32"/>
          <w:lang w:val="en-US" w:eastAsia="zh-CN" w:bidi="ar"/>
        </w:rPr>
        <w:t>3.5</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44.6%</w:t>
      </w:r>
      <w:r>
        <w:rPr>
          <w:rFonts w:hint="eastAsia" w:ascii="方正仿宋_GBK" w:hAnsi="方正仿宋_GBK" w:eastAsia="方正仿宋_GBK" w:cs="方正仿宋_GBK"/>
          <w:kern w:val="0"/>
          <w:sz w:val="32"/>
          <w:szCs w:val="32"/>
          <w:lang w:val="en-US" w:eastAsia="zh-CN" w:bidi="ar"/>
        </w:rPr>
        <w:t>，主要原因是增加了文化服务相关支出。</w:t>
      </w:r>
    </w:p>
    <w:p w14:paraId="2F096A41">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3</w:t>
      </w:r>
      <w:r>
        <w:rPr>
          <w:rFonts w:hint="eastAsia" w:ascii="方正仿宋_GBK" w:hAnsi="方正仿宋_GBK" w:eastAsia="方正仿宋_GBK" w:cs="方正仿宋_GBK"/>
          <w:kern w:val="0"/>
          <w:sz w:val="32"/>
          <w:szCs w:val="32"/>
          <w:lang w:val="en-US" w:eastAsia="zh-CN" w:bidi="ar"/>
        </w:rPr>
        <w:t>）社会保障与就业支出</w:t>
      </w:r>
      <w:r>
        <w:rPr>
          <w:rFonts w:hint="default" w:ascii="Times New Roman" w:hAnsi="Times New Roman" w:eastAsia="方正仿宋_GBK" w:cs="Times New Roman"/>
          <w:kern w:val="0"/>
          <w:sz w:val="32"/>
          <w:szCs w:val="32"/>
          <w:lang w:val="en-US" w:eastAsia="zh-CN" w:bidi="ar"/>
        </w:rPr>
        <w:t>195.52</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，较年初预算数减少</w:t>
      </w:r>
      <w:r>
        <w:rPr>
          <w:rFonts w:hint="default" w:ascii="Times New Roman" w:hAnsi="Times New Roman" w:eastAsia="方正仿宋_GBK" w:cs="Times New Roman"/>
          <w:kern w:val="0"/>
          <w:sz w:val="32"/>
          <w:szCs w:val="32"/>
          <w:lang w:val="en-US" w:eastAsia="zh-CN" w:bidi="ar"/>
        </w:rPr>
        <w:t>19.46</w:t>
      </w:r>
      <w:r>
        <w:rPr>
          <w:rFonts w:hint="eastAsia" w:ascii="方正仿宋_GBK" w:hAnsi="方正仿宋_GBK" w:eastAsia="方正仿宋_GBK" w:cs="方正仿宋_GBK"/>
          <w:kern w:val="0"/>
          <w:sz w:val="32"/>
          <w:szCs w:val="32"/>
          <w:lang w:val="en-US" w:eastAsia="zh-CN" w:bidi="ar"/>
        </w:rPr>
        <w:t>万元，下降</w:t>
      </w:r>
      <w:r>
        <w:rPr>
          <w:rFonts w:hint="default" w:ascii="Times New Roman" w:hAnsi="Times New Roman" w:eastAsia="方正仿宋_GBK" w:cs="Times New Roman"/>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，主要原因是行政事业单位养老支出、基层政权建设和社区治理等相关经费支出减少。</w:t>
      </w:r>
    </w:p>
    <w:p w14:paraId="49EB75B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4</w:t>
      </w:r>
      <w:r>
        <w:rPr>
          <w:rFonts w:hint="eastAsia" w:ascii="方正仿宋_GBK" w:hAnsi="方正仿宋_GBK" w:eastAsia="方正仿宋_GBK" w:cs="方正仿宋_GBK"/>
          <w:kern w:val="0"/>
          <w:sz w:val="32"/>
          <w:szCs w:val="32"/>
          <w:lang w:val="en-US" w:eastAsia="zh-CN" w:bidi="ar"/>
        </w:rPr>
        <w:t>）卫生健康支出</w:t>
      </w:r>
      <w:r>
        <w:rPr>
          <w:rFonts w:hint="default" w:ascii="Times New Roman" w:hAnsi="Times New Roman" w:eastAsia="方正仿宋_GBK" w:cs="Times New Roman"/>
          <w:kern w:val="0"/>
          <w:sz w:val="32"/>
          <w:szCs w:val="32"/>
          <w:lang w:val="en-US" w:eastAsia="zh-CN" w:bidi="ar"/>
        </w:rPr>
        <w:t>81.81</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3.8%</w:t>
      </w:r>
      <w:r>
        <w:rPr>
          <w:rFonts w:hint="eastAsia" w:ascii="方正仿宋_GBK" w:hAnsi="方正仿宋_GBK" w:eastAsia="方正仿宋_GBK" w:cs="方正仿宋_GBK"/>
          <w:kern w:val="0"/>
          <w:sz w:val="32"/>
          <w:szCs w:val="32"/>
          <w:lang w:val="en-US" w:eastAsia="zh-CN" w:bidi="ar"/>
        </w:rPr>
        <w:t>，较年初预算数增加</w:t>
      </w:r>
      <w:r>
        <w:rPr>
          <w:rFonts w:hint="default" w:ascii="Times New Roman" w:hAnsi="Times New Roman" w:eastAsia="方正仿宋_GBK" w:cs="Times New Roman"/>
          <w:kern w:val="0"/>
          <w:sz w:val="32"/>
          <w:szCs w:val="32"/>
          <w:lang w:val="en-US" w:eastAsia="zh-CN" w:bidi="ar"/>
        </w:rPr>
        <w:t>50.32</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159%</w:t>
      </w:r>
      <w:r>
        <w:rPr>
          <w:rFonts w:hint="eastAsia" w:ascii="方正仿宋_GBK" w:hAnsi="方正仿宋_GBK" w:eastAsia="方正仿宋_GBK" w:cs="方正仿宋_GBK"/>
          <w:kern w:val="0"/>
          <w:sz w:val="32"/>
          <w:szCs w:val="32"/>
          <w:lang w:val="en-US" w:eastAsia="zh-CN" w:bidi="ar"/>
        </w:rPr>
        <w:t>，主要原因是年初编制财力时适当压缩经费，年中追加预算，支出相应增加。</w:t>
      </w:r>
    </w:p>
    <w:p w14:paraId="6FE627E2">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5</w:t>
      </w:r>
      <w:r>
        <w:rPr>
          <w:rFonts w:hint="eastAsia" w:ascii="方正仿宋_GBK" w:hAnsi="方正仿宋_GBK" w:eastAsia="方正仿宋_GBK" w:cs="方正仿宋_GBK"/>
          <w:kern w:val="0"/>
          <w:sz w:val="32"/>
          <w:szCs w:val="32"/>
          <w:lang w:val="en-US" w:eastAsia="zh-CN" w:bidi="ar"/>
        </w:rPr>
        <w:t>）城乡社区支出</w:t>
      </w:r>
      <w:r>
        <w:rPr>
          <w:rFonts w:hint="default" w:ascii="Times New Roman" w:hAnsi="Times New Roman" w:eastAsia="方正仿宋_GBK" w:cs="Times New Roman"/>
          <w:kern w:val="0"/>
          <w:sz w:val="32"/>
          <w:szCs w:val="32"/>
          <w:lang w:val="en-US" w:eastAsia="zh-CN" w:bidi="ar"/>
        </w:rPr>
        <w:t>40</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1.8%</w:t>
      </w:r>
      <w:r>
        <w:rPr>
          <w:rFonts w:hint="eastAsia" w:ascii="方正仿宋_GBK" w:hAnsi="方正仿宋_GBK" w:eastAsia="方正仿宋_GBK" w:cs="方正仿宋_GBK"/>
          <w:kern w:val="0"/>
          <w:sz w:val="32"/>
          <w:szCs w:val="32"/>
          <w:lang w:val="en-US" w:eastAsia="zh-CN" w:bidi="ar"/>
        </w:rPr>
        <w:t>，较年初预算数减少</w:t>
      </w:r>
      <w:r>
        <w:rPr>
          <w:rFonts w:hint="default" w:ascii="Times New Roman" w:hAnsi="Times New Roman" w:eastAsia="方正仿宋_GBK" w:cs="Times New Roman"/>
          <w:kern w:val="0"/>
          <w:sz w:val="32"/>
          <w:szCs w:val="32"/>
          <w:lang w:val="en-US" w:eastAsia="zh-CN" w:bidi="ar"/>
        </w:rPr>
        <w:t>4.77</w:t>
      </w:r>
      <w:r>
        <w:rPr>
          <w:rFonts w:hint="eastAsia" w:ascii="方正仿宋_GBK" w:hAnsi="方正仿宋_GBK" w:eastAsia="方正仿宋_GBK" w:cs="方正仿宋_GBK"/>
          <w:kern w:val="0"/>
          <w:sz w:val="32"/>
          <w:szCs w:val="32"/>
          <w:lang w:val="en-US" w:eastAsia="zh-CN" w:bidi="ar"/>
        </w:rPr>
        <w:t>万元，减少</w:t>
      </w:r>
      <w:r>
        <w:rPr>
          <w:rFonts w:hint="default" w:ascii="Times New Roman" w:hAnsi="Times New Roman" w:eastAsia="方正仿宋_GBK" w:cs="Times New Roman"/>
          <w:kern w:val="0"/>
          <w:sz w:val="32"/>
          <w:szCs w:val="32"/>
          <w:lang w:val="en-US" w:eastAsia="zh-CN" w:bidi="ar"/>
        </w:rPr>
        <w:t>10.6%</w:t>
      </w:r>
      <w:r>
        <w:rPr>
          <w:rFonts w:hint="eastAsia" w:ascii="方正仿宋_GBK" w:hAnsi="方正仿宋_GBK" w:eastAsia="方正仿宋_GBK" w:cs="方正仿宋_GBK"/>
          <w:kern w:val="0"/>
          <w:sz w:val="32"/>
          <w:szCs w:val="32"/>
          <w:lang w:val="en-US" w:eastAsia="zh-CN" w:bidi="ar"/>
        </w:rPr>
        <w:t>，主要原因是年初编制预算时按照往年支出数编制，但本年城乡社区环境卫生支出较往年有所减少。</w:t>
      </w:r>
    </w:p>
    <w:p w14:paraId="00F50EE9">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6</w:t>
      </w:r>
      <w:r>
        <w:rPr>
          <w:rFonts w:hint="eastAsia" w:ascii="方正仿宋_GBK" w:hAnsi="方正仿宋_GBK" w:eastAsia="方正仿宋_GBK" w:cs="方正仿宋_GBK"/>
          <w:kern w:val="0"/>
          <w:sz w:val="32"/>
          <w:szCs w:val="32"/>
          <w:lang w:val="en-US" w:eastAsia="zh-CN" w:bidi="ar"/>
        </w:rPr>
        <w:t>）农林水支出</w:t>
      </w:r>
      <w:r>
        <w:rPr>
          <w:rFonts w:hint="default" w:ascii="Times New Roman" w:hAnsi="Times New Roman" w:eastAsia="方正仿宋_GBK" w:cs="Times New Roman"/>
          <w:kern w:val="0"/>
          <w:sz w:val="32"/>
          <w:szCs w:val="32"/>
          <w:lang w:val="en-US" w:eastAsia="zh-CN" w:bidi="ar"/>
        </w:rPr>
        <w:t>1226.18</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57%</w:t>
      </w:r>
      <w:r>
        <w:rPr>
          <w:rFonts w:hint="eastAsia" w:ascii="方正仿宋_GBK" w:hAnsi="方正仿宋_GBK" w:eastAsia="方正仿宋_GBK" w:cs="方正仿宋_GBK"/>
          <w:kern w:val="0"/>
          <w:sz w:val="32"/>
          <w:szCs w:val="32"/>
          <w:lang w:val="en-US" w:eastAsia="zh-CN" w:bidi="ar"/>
        </w:rPr>
        <w:t>，较年初预算数增加</w:t>
      </w:r>
      <w:r>
        <w:rPr>
          <w:rFonts w:hint="default" w:ascii="Times New Roman" w:hAnsi="Times New Roman" w:eastAsia="方正仿宋_GBK" w:cs="Times New Roman"/>
          <w:kern w:val="0"/>
          <w:sz w:val="32"/>
          <w:szCs w:val="32"/>
          <w:lang w:val="en-US" w:eastAsia="zh-CN" w:bidi="ar"/>
        </w:rPr>
        <w:t>982.71</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403.6%</w:t>
      </w:r>
      <w:r>
        <w:rPr>
          <w:rFonts w:hint="eastAsia" w:ascii="方正仿宋_GBK" w:hAnsi="方正仿宋_GBK" w:eastAsia="方正仿宋_GBK" w:cs="方正仿宋_GBK"/>
          <w:kern w:val="0"/>
          <w:sz w:val="32"/>
          <w:szCs w:val="32"/>
          <w:lang w:val="en-US" w:eastAsia="zh-CN" w:bidi="ar"/>
        </w:rPr>
        <w:t>，主要原因是年初编制预算时按照往年支出数编制，而本年新增部分农村基础设施建设，年中追加预算，支出相应增加。</w:t>
      </w:r>
    </w:p>
    <w:p w14:paraId="5B98FD04">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7</w:t>
      </w:r>
      <w:r>
        <w:rPr>
          <w:rFonts w:hint="eastAsia" w:ascii="方正仿宋_GBK" w:hAnsi="方正仿宋_GBK" w:eastAsia="方正仿宋_GBK" w:cs="方正仿宋_GBK"/>
          <w:kern w:val="0"/>
          <w:sz w:val="32"/>
          <w:szCs w:val="32"/>
          <w:lang w:val="en-US" w:eastAsia="zh-CN" w:bidi="ar"/>
        </w:rPr>
        <w:t>）交通运输支出</w:t>
      </w:r>
      <w:r>
        <w:rPr>
          <w:rFonts w:hint="default" w:ascii="Times New Roman" w:hAnsi="Times New Roman" w:eastAsia="方正仿宋_GBK" w:cs="Times New Roman"/>
          <w:kern w:val="0"/>
          <w:sz w:val="32"/>
          <w:szCs w:val="32"/>
          <w:lang w:val="en-US" w:eastAsia="zh-CN" w:bidi="ar"/>
        </w:rPr>
        <w:t>26.65</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1.2%</w:t>
      </w:r>
      <w:r>
        <w:rPr>
          <w:rFonts w:hint="eastAsia" w:ascii="方正仿宋_GBK" w:hAnsi="方正仿宋_GBK" w:eastAsia="方正仿宋_GBK" w:cs="方正仿宋_GBK"/>
          <w:kern w:val="0"/>
          <w:sz w:val="32"/>
          <w:szCs w:val="32"/>
          <w:lang w:val="en-US" w:eastAsia="zh-CN" w:bidi="ar"/>
        </w:rPr>
        <w:t>，较年初预算数增加</w:t>
      </w:r>
      <w:r>
        <w:rPr>
          <w:rFonts w:hint="default" w:ascii="Times New Roman" w:hAnsi="Times New Roman" w:eastAsia="方正仿宋_GBK" w:cs="Times New Roman"/>
          <w:kern w:val="0"/>
          <w:sz w:val="32"/>
          <w:szCs w:val="32"/>
          <w:lang w:val="en-US" w:eastAsia="zh-CN" w:bidi="ar"/>
        </w:rPr>
        <w:t>26.65</w:t>
      </w:r>
      <w:r>
        <w:rPr>
          <w:rFonts w:hint="eastAsia" w:ascii="方正仿宋_GBK" w:hAnsi="方正仿宋_GBK" w:eastAsia="方正仿宋_GBK" w:cs="方正仿宋_GBK"/>
          <w:kern w:val="0"/>
          <w:sz w:val="32"/>
          <w:szCs w:val="32"/>
          <w:lang w:val="en-US" w:eastAsia="zh-CN" w:bidi="ar"/>
        </w:rPr>
        <w:t>万元，主要原因是年中追加预算，支出相应增加。</w:t>
      </w:r>
    </w:p>
    <w:p w14:paraId="2E02C37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8</w:t>
      </w:r>
      <w:r>
        <w:rPr>
          <w:rFonts w:hint="eastAsia" w:ascii="方正仿宋_GBK" w:hAnsi="方正仿宋_GBK" w:eastAsia="方正仿宋_GBK" w:cs="方正仿宋_GBK"/>
          <w:kern w:val="0"/>
          <w:sz w:val="32"/>
          <w:szCs w:val="32"/>
          <w:lang w:val="en-US" w:eastAsia="zh-CN" w:bidi="ar"/>
        </w:rPr>
        <w:t>）住房保障支出</w:t>
      </w:r>
      <w:r>
        <w:rPr>
          <w:rFonts w:hint="default" w:ascii="Times New Roman" w:hAnsi="Times New Roman" w:eastAsia="方正仿宋_GBK" w:cs="Times New Roman"/>
          <w:kern w:val="0"/>
          <w:sz w:val="32"/>
          <w:szCs w:val="32"/>
          <w:lang w:val="en-US" w:eastAsia="zh-CN" w:bidi="ar"/>
        </w:rPr>
        <w:t>53.9</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2.5%</w:t>
      </w:r>
      <w:r>
        <w:rPr>
          <w:rFonts w:hint="eastAsia" w:ascii="方正仿宋_GBK" w:hAnsi="方正仿宋_GBK" w:eastAsia="方正仿宋_GBK" w:cs="方正仿宋_GBK"/>
          <w:kern w:val="0"/>
          <w:sz w:val="32"/>
          <w:szCs w:val="32"/>
          <w:lang w:val="en-US" w:eastAsia="zh-CN" w:bidi="ar"/>
        </w:rPr>
        <w:t>，较年初预算数无变化。</w:t>
      </w:r>
    </w:p>
    <w:p w14:paraId="4923A31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9</w:t>
      </w:r>
      <w:r>
        <w:rPr>
          <w:rFonts w:hint="eastAsia" w:ascii="方正仿宋_GBK" w:hAnsi="方正仿宋_GBK" w:eastAsia="方正仿宋_GBK" w:cs="方正仿宋_GBK"/>
          <w:kern w:val="0"/>
          <w:sz w:val="32"/>
          <w:szCs w:val="32"/>
          <w:lang w:val="en-US" w:eastAsia="zh-CN" w:bidi="ar"/>
        </w:rPr>
        <w:t>）灾害防治及应急管理支出</w:t>
      </w:r>
      <w:r>
        <w:rPr>
          <w:rFonts w:hint="default" w:ascii="Times New Roman" w:hAnsi="Times New Roman" w:eastAsia="方正仿宋_GBK" w:cs="Times New Roman"/>
          <w:kern w:val="0"/>
          <w:sz w:val="32"/>
          <w:szCs w:val="32"/>
          <w:lang w:val="en-US" w:eastAsia="zh-CN" w:bidi="ar"/>
        </w:rPr>
        <w:t>15</w:t>
      </w:r>
      <w:r>
        <w:rPr>
          <w:rFonts w:hint="eastAsia" w:ascii="方正仿宋_GBK" w:hAnsi="方正仿宋_GBK" w:eastAsia="方正仿宋_GBK" w:cs="方正仿宋_GBK"/>
          <w:kern w:val="0"/>
          <w:sz w:val="32"/>
          <w:szCs w:val="32"/>
          <w:lang w:val="en-US" w:eastAsia="zh-CN" w:bidi="ar"/>
        </w:rPr>
        <w:t>万元，占</w:t>
      </w:r>
      <w:r>
        <w:rPr>
          <w:rFonts w:hint="default" w:ascii="Times New Roman" w:hAnsi="Times New Roman" w:eastAsia="方正仿宋_GBK" w:cs="Times New Roman"/>
          <w:kern w:val="0"/>
          <w:sz w:val="32"/>
          <w:szCs w:val="32"/>
          <w:lang w:val="en-US" w:eastAsia="zh-CN" w:bidi="ar"/>
        </w:rPr>
        <w:t>0.69%</w:t>
      </w:r>
      <w:r>
        <w:rPr>
          <w:rFonts w:hint="eastAsia" w:ascii="方正仿宋_GBK" w:hAnsi="方正仿宋_GBK" w:eastAsia="方正仿宋_GBK" w:cs="方正仿宋_GBK"/>
          <w:kern w:val="0"/>
          <w:sz w:val="32"/>
          <w:szCs w:val="32"/>
          <w:lang w:val="en-US" w:eastAsia="zh-CN" w:bidi="ar"/>
        </w:rPr>
        <w:t>，较年初预算数增加</w:t>
      </w:r>
      <w:r>
        <w:rPr>
          <w:rFonts w:hint="default" w:ascii="Times New Roman" w:hAnsi="Times New Roman" w:eastAsia="方正仿宋_GBK" w:cs="Times New Roman"/>
          <w:kern w:val="0"/>
          <w:sz w:val="32"/>
          <w:szCs w:val="32"/>
          <w:lang w:val="en-US" w:eastAsia="zh-CN" w:bidi="ar"/>
        </w:rPr>
        <w:t>15</w:t>
      </w:r>
      <w:r>
        <w:rPr>
          <w:rFonts w:hint="eastAsia" w:ascii="方正仿宋_GBK" w:hAnsi="方正仿宋_GBK" w:eastAsia="方正仿宋_GBK" w:cs="方正仿宋_GBK"/>
          <w:kern w:val="0"/>
          <w:sz w:val="32"/>
          <w:szCs w:val="32"/>
          <w:lang w:val="en-US" w:eastAsia="zh-CN" w:bidi="ar"/>
        </w:rPr>
        <w:t>万元，主要原因是增加了灾害防治及应急管理支出。</w:t>
      </w:r>
    </w:p>
    <w:p w14:paraId="585572F6">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13" w:name="_Toc17771"/>
      <w:bookmarkStart w:id="14" w:name="_Toc24423"/>
      <w:r>
        <w:rPr>
          <w:rFonts w:hint="eastAsia" w:ascii="方正楷体_GBK" w:hAnsi="方正楷体_GBK" w:eastAsia="方正楷体_GBK" w:cs="方正楷体_GBK"/>
          <w:b w:val="0"/>
          <w:bCs w:val="0"/>
          <w:kern w:val="2"/>
          <w:sz w:val="32"/>
          <w:szCs w:val="32"/>
          <w:lang w:val="en-US" w:eastAsia="zh-CN" w:bidi="ar"/>
        </w:rPr>
        <w:t>（四）一般公共预算财政拨款基本支出决算情况说明</w:t>
      </w:r>
      <w:bookmarkEnd w:id="13"/>
      <w:r>
        <w:rPr>
          <w:rFonts w:hint="eastAsia" w:ascii="方正楷体_GBK" w:hAnsi="方正楷体_GBK" w:eastAsia="方正楷体_GBK" w:cs="方正楷体_GBK"/>
          <w:b w:val="0"/>
          <w:bCs w:val="0"/>
          <w:kern w:val="2"/>
          <w:sz w:val="32"/>
          <w:szCs w:val="32"/>
          <w:lang w:val="en-US" w:eastAsia="zh-CN" w:bidi="ar"/>
        </w:rPr>
        <w:t>。</w:t>
      </w:r>
      <w:bookmarkEnd w:id="14"/>
    </w:p>
    <w:p w14:paraId="1B38326B">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年度一般公共预算财政拨款基本支出</w:t>
      </w:r>
      <w:r>
        <w:rPr>
          <w:rFonts w:hint="default" w:ascii="Times New Roman" w:hAnsi="Times New Roman" w:eastAsia="方正仿宋_GBK" w:cs="Times New Roman"/>
          <w:kern w:val="0"/>
          <w:sz w:val="32"/>
          <w:szCs w:val="32"/>
          <w:lang w:val="en-US" w:eastAsia="zh-CN" w:bidi="ar"/>
        </w:rPr>
        <w:t>955.5</w:t>
      </w:r>
      <w:r>
        <w:rPr>
          <w:rFonts w:hint="eastAsia" w:ascii="方正仿宋_GBK" w:hAnsi="方正仿宋_GBK" w:eastAsia="方正仿宋_GBK" w:cs="方正仿宋_GBK"/>
          <w:kern w:val="0"/>
          <w:sz w:val="32"/>
          <w:szCs w:val="32"/>
          <w:lang w:val="en-US" w:eastAsia="zh-CN" w:bidi="ar"/>
        </w:rPr>
        <w:t>万元。其中：人员经费</w:t>
      </w:r>
      <w:r>
        <w:rPr>
          <w:rFonts w:hint="default" w:ascii="Times New Roman" w:hAnsi="Times New Roman" w:eastAsia="方正仿宋_GBK" w:cs="Times New Roman"/>
          <w:kern w:val="0"/>
          <w:sz w:val="32"/>
          <w:szCs w:val="32"/>
          <w:lang w:val="en-US" w:eastAsia="zh-CN" w:bidi="ar"/>
        </w:rPr>
        <w:t>886.69</w:t>
      </w:r>
      <w:r>
        <w:rPr>
          <w:rFonts w:hint="eastAsia" w:ascii="方正仿宋_GBK" w:hAnsi="方正仿宋_GBK" w:eastAsia="方正仿宋_GBK" w:cs="方正仿宋_GBK"/>
          <w:kern w:val="0"/>
          <w:sz w:val="32"/>
          <w:szCs w:val="32"/>
          <w:lang w:val="en-US" w:eastAsia="zh-CN" w:bidi="ar"/>
        </w:rPr>
        <w:t>万元，较上年决算数增加</w:t>
      </w:r>
      <w:r>
        <w:rPr>
          <w:rFonts w:hint="default" w:ascii="Times New Roman" w:hAnsi="Times New Roman" w:eastAsia="方正仿宋_GBK" w:cs="Times New Roman"/>
          <w:kern w:val="0"/>
          <w:sz w:val="32"/>
          <w:szCs w:val="32"/>
          <w:lang w:val="en-US" w:eastAsia="zh-CN" w:bidi="ar"/>
        </w:rPr>
        <w:t>85.58</w:t>
      </w:r>
      <w:r>
        <w:rPr>
          <w:rFonts w:hint="eastAsia" w:ascii="方正仿宋_GBK" w:hAnsi="方正仿宋_GBK" w:eastAsia="方正仿宋_GBK" w:cs="方正仿宋_GBK"/>
          <w:kern w:val="0"/>
          <w:sz w:val="32"/>
          <w:szCs w:val="32"/>
          <w:lang w:val="en-US" w:eastAsia="zh-CN" w:bidi="ar"/>
        </w:rPr>
        <w:t>万元，增加</w:t>
      </w:r>
      <w:r>
        <w:rPr>
          <w:rFonts w:hint="default" w:ascii="Times New Roman" w:hAnsi="Times New Roman" w:eastAsia="方正仿宋_GBK" w:cs="Times New Roman"/>
          <w:kern w:val="0"/>
          <w:sz w:val="32"/>
          <w:szCs w:val="32"/>
          <w:lang w:val="en-US" w:eastAsia="zh-CN" w:bidi="ar"/>
        </w:rPr>
        <w:t>11%</w:t>
      </w:r>
      <w:r>
        <w:rPr>
          <w:rFonts w:hint="eastAsia" w:ascii="方正仿宋_GBK" w:hAnsi="方正仿宋_GBK" w:eastAsia="方正仿宋_GBK" w:cs="方正仿宋_GBK"/>
          <w:kern w:val="0"/>
          <w:sz w:val="32"/>
          <w:szCs w:val="32"/>
          <w:lang w:val="en-US" w:eastAsia="zh-CN" w:bidi="ar"/>
        </w:rPr>
        <w:t>，主要原因是政策性福利待遇调整、人员增减变化。人员经费用途主要包括：基本工资、津贴补贴、奖金、社会保障缴费、绩效工资、机关事业单位养老保险缴费、职业年金缴费、退休费、生活补助、医疗费、住房公积金、其他对个人和家庭的补助支出。公用经费</w:t>
      </w:r>
      <w:r>
        <w:rPr>
          <w:rFonts w:hint="default" w:ascii="Times New Roman" w:hAnsi="Times New Roman" w:eastAsia="方正仿宋_GBK" w:cs="Times New Roman"/>
          <w:kern w:val="0"/>
          <w:sz w:val="32"/>
          <w:szCs w:val="32"/>
          <w:lang w:val="en-US" w:eastAsia="zh-CN" w:bidi="ar"/>
        </w:rPr>
        <w:t>68.61</w:t>
      </w:r>
      <w:r>
        <w:rPr>
          <w:rFonts w:hint="eastAsia" w:ascii="方正仿宋_GBK" w:hAnsi="方正仿宋_GBK" w:eastAsia="方正仿宋_GBK" w:cs="方正仿宋_GBK"/>
          <w:kern w:val="0"/>
          <w:sz w:val="32"/>
          <w:szCs w:val="32"/>
          <w:lang w:val="en-US" w:eastAsia="zh-CN" w:bidi="ar"/>
        </w:rPr>
        <w:t>万元，较上年决算数减少</w:t>
      </w:r>
      <w:r>
        <w:rPr>
          <w:rFonts w:hint="default" w:ascii="Times New Roman" w:hAnsi="Times New Roman" w:eastAsia="方正仿宋_GBK" w:cs="Times New Roman"/>
          <w:kern w:val="0"/>
          <w:sz w:val="32"/>
          <w:szCs w:val="32"/>
          <w:lang w:val="en-US" w:eastAsia="zh-CN" w:bidi="ar"/>
        </w:rPr>
        <w:t>42.69</w:t>
      </w:r>
      <w:r>
        <w:rPr>
          <w:rFonts w:hint="eastAsia" w:ascii="方正仿宋_GBK" w:hAnsi="方正仿宋_GBK" w:eastAsia="方正仿宋_GBK" w:cs="方正仿宋_GBK"/>
          <w:kern w:val="0"/>
          <w:sz w:val="32"/>
          <w:szCs w:val="32"/>
          <w:lang w:val="en-US" w:eastAsia="zh-CN" w:bidi="ar"/>
        </w:rPr>
        <w:t>万元，减少</w:t>
      </w:r>
      <w:r>
        <w:rPr>
          <w:rFonts w:hint="default" w:ascii="Times New Roman" w:hAnsi="Times New Roman" w:eastAsia="方正仿宋_GBK" w:cs="Times New Roman"/>
          <w:kern w:val="0"/>
          <w:sz w:val="32"/>
          <w:szCs w:val="32"/>
          <w:lang w:val="en-US" w:eastAsia="zh-CN" w:bidi="ar"/>
        </w:rPr>
        <w:t>38.3%</w:t>
      </w:r>
      <w:r>
        <w:rPr>
          <w:rFonts w:hint="eastAsia" w:ascii="方正仿宋_GBK" w:hAnsi="方正仿宋_GBK" w:eastAsia="方正仿宋_GBK" w:cs="方正仿宋_GBK"/>
          <w:kern w:val="0"/>
          <w:sz w:val="32"/>
          <w:szCs w:val="32"/>
          <w:lang w:val="en-US" w:eastAsia="zh-CN" w:bidi="ar"/>
        </w:rPr>
        <w:t>，主要原因是办公费、电费、其他费用等运转支出减少。公用经费用途主要包括办公费、手续费、电费、邮电费、差旅费、维修（护）费、会议费、培训费、劳务费、工会经费、公务接待费、公务用车运行维护费以及其他交通费用等。</w:t>
      </w:r>
    </w:p>
    <w:p w14:paraId="5E096587">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15" w:name="_Toc13402"/>
      <w:bookmarkStart w:id="16" w:name="_Toc13998"/>
      <w:r>
        <w:rPr>
          <w:rFonts w:hint="eastAsia" w:ascii="方正楷体_GBK" w:hAnsi="方正楷体_GBK" w:eastAsia="方正楷体_GBK" w:cs="方正楷体_GBK"/>
          <w:b w:val="0"/>
          <w:bCs w:val="0"/>
          <w:kern w:val="2"/>
          <w:sz w:val="32"/>
          <w:szCs w:val="32"/>
          <w:lang w:val="en-US" w:eastAsia="zh-CN" w:bidi="ar"/>
        </w:rPr>
        <w:t>（五）政府性基金预算收支决算情况说明。</w:t>
      </w:r>
      <w:bookmarkEnd w:id="15"/>
      <w:bookmarkEnd w:id="16"/>
    </w:p>
    <w:p w14:paraId="5F885B54">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年度政府性基金预算财政拨款年初结转结余</w:t>
      </w:r>
      <w:r>
        <w:rPr>
          <w:rFonts w:hint="default" w:ascii="Times New Roman" w:hAnsi="Times New Roman" w:eastAsia="方正仿宋_GBK" w:cs="Times New Roman"/>
          <w:kern w:val="0"/>
          <w:sz w:val="32"/>
          <w:szCs w:val="32"/>
          <w:lang w:val="en-US" w:eastAsia="zh-CN" w:bidi="ar"/>
        </w:rPr>
        <w:t>0.00</w:t>
      </w:r>
      <w:r>
        <w:rPr>
          <w:rFonts w:hint="eastAsia" w:ascii="方正仿宋_GBK" w:hAnsi="方正仿宋_GBK" w:eastAsia="方正仿宋_GBK" w:cs="方正仿宋_GBK"/>
          <w:kern w:val="0"/>
          <w:sz w:val="32"/>
          <w:szCs w:val="32"/>
          <w:lang w:val="en-US" w:eastAsia="zh-CN" w:bidi="ar"/>
        </w:rPr>
        <w:t>万元，年末结转结余</w:t>
      </w:r>
      <w:r>
        <w:rPr>
          <w:rFonts w:hint="default" w:ascii="Times New Roman" w:hAnsi="Times New Roman" w:eastAsia="方正仿宋_GBK" w:cs="Times New Roman"/>
          <w:kern w:val="0"/>
          <w:sz w:val="32"/>
          <w:szCs w:val="32"/>
          <w:lang w:val="en-US" w:eastAsia="zh-CN" w:bidi="ar"/>
        </w:rPr>
        <w:t>0.00</w:t>
      </w:r>
      <w:r>
        <w:rPr>
          <w:rFonts w:hint="eastAsia" w:ascii="方正仿宋_GBK" w:hAnsi="方正仿宋_GBK" w:eastAsia="方正仿宋_GBK" w:cs="方正仿宋_GBK"/>
          <w:kern w:val="0"/>
          <w:sz w:val="32"/>
          <w:szCs w:val="32"/>
          <w:lang w:val="en-US" w:eastAsia="zh-CN" w:bidi="ar"/>
        </w:rPr>
        <w:t>万元。本年收入</w:t>
      </w:r>
      <w:r>
        <w:rPr>
          <w:rFonts w:hint="default" w:ascii="Times New Roman" w:hAnsi="Times New Roman" w:eastAsia="方正仿宋_GBK" w:cs="Times New Roman"/>
          <w:kern w:val="0"/>
          <w:sz w:val="32"/>
          <w:szCs w:val="32"/>
          <w:lang w:val="en-US" w:eastAsia="zh-CN" w:bidi="ar"/>
        </w:rPr>
        <w:t>641.92</w:t>
      </w:r>
      <w:r>
        <w:rPr>
          <w:rFonts w:hint="eastAsia" w:ascii="方正仿宋_GBK" w:hAnsi="方正仿宋_GBK" w:eastAsia="方正仿宋_GBK" w:cs="方正仿宋_GBK"/>
          <w:kern w:val="0"/>
          <w:sz w:val="32"/>
          <w:szCs w:val="32"/>
          <w:lang w:val="en-US" w:eastAsia="zh-CN" w:bidi="ar"/>
        </w:rPr>
        <w:t>万元，较上年决算数增加</w:t>
      </w:r>
      <w:r>
        <w:rPr>
          <w:rFonts w:hint="default" w:ascii="Times New Roman" w:hAnsi="Times New Roman" w:eastAsia="方正仿宋_GBK" w:cs="Times New Roman"/>
          <w:kern w:val="0"/>
          <w:sz w:val="32"/>
          <w:szCs w:val="32"/>
          <w:lang w:val="en-US" w:eastAsia="zh-CN" w:bidi="ar"/>
        </w:rPr>
        <w:t>639.65</w:t>
      </w:r>
      <w:r>
        <w:rPr>
          <w:rFonts w:hint="eastAsia" w:ascii="方正仿宋_GBK" w:hAnsi="方正仿宋_GBK" w:eastAsia="方正仿宋_GBK" w:cs="方正仿宋_GBK"/>
          <w:kern w:val="0"/>
          <w:sz w:val="32"/>
          <w:szCs w:val="32"/>
          <w:lang w:val="en-US" w:eastAsia="zh-CN" w:bidi="ar"/>
        </w:rPr>
        <w:t>万元，增长</w:t>
      </w:r>
      <w:r>
        <w:rPr>
          <w:rFonts w:hint="default" w:ascii="Times New Roman" w:hAnsi="Times New Roman" w:eastAsia="方正仿宋_GBK" w:cs="Times New Roman"/>
          <w:kern w:val="0"/>
          <w:sz w:val="32"/>
          <w:szCs w:val="32"/>
          <w:lang w:val="en-US" w:eastAsia="zh-CN" w:bidi="ar"/>
        </w:rPr>
        <w:t>28178%</w:t>
      </w:r>
      <w:r>
        <w:rPr>
          <w:rFonts w:hint="eastAsia" w:ascii="方正仿宋_GBK" w:hAnsi="方正仿宋_GBK" w:eastAsia="方正仿宋_GBK" w:cs="方正仿宋_GBK"/>
          <w:kern w:val="0"/>
          <w:sz w:val="32"/>
          <w:szCs w:val="32"/>
          <w:lang w:val="en-US" w:eastAsia="zh-CN" w:bidi="ar"/>
        </w:rPr>
        <w:t>，主要原因是增加了其他收入（其中主要是彩票公益金收入）。本年支出</w:t>
      </w:r>
      <w:r>
        <w:rPr>
          <w:rFonts w:hint="default" w:ascii="Times New Roman" w:hAnsi="Times New Roman" w:eastAsia="方正仿宋_GBK" w:cs="Times New Roman"/>
          <w:kern w:val="0"/>
          <w:sz w:val="32"/>
          <w:szCs w:val="32"/>
          <w:lang w:val="en-US" w:eastAsia="zh-CN" w:bidi="ar"/>
        </w:rPr>
        <w:t>641.92</w:t>
      </w:r>
      <w:r>
        <w:rPr>
          <w:rFonts w:hint="eastAsia" w:ascii="方正仿宋_GBK" w:hAnsi="方正仿宋_GBK" w:eastAsia="方正仿宋_GBK" w:cs="方正仿宋_GBK"/>
          <w:kern w:val="0"/>
          <w:sz w:val="32"/>
          <w:szCs w:val="32"/>
          <w:lang w:val="en-US" w:eastAsia="zh-CN" w:bidi="ar"/>
        </w:rPr>
        <w:t>万元，较上年决算数增加</w:t>
      </w:r>
      <w:r>
        <w:rPr>
          <w:rFonts w:hint="default" w:ascii="Times New Roman" w:hAnsi="Times New Roman" w:eastAsia="方正仿宋_GBK" w:cs="Times New Roman"/>
          <w:kern w:val="0"/>
          <w:sz w:val="32"/>
          <w:szCs w:val="32"/>
          <w:lang w:val="en-US" w:eastAsia="zh-CN" w:bidi="ar"/>
        </w:rPr>
        <w:t>639.65</w:t>
      </w:r>
      <w:r>
        <w:rPr>
          <w:rFonts w:hint="eastAsia" w:ascii="方正仿宋_GBK" w:hAnsi="方正仿宋_GBK" w:eastAsia="方正仿宋_GBK" w:cs="方正仿宋_GBK"/>
          <w:kern w:val="0"/>
          <w:sz w:val="32"/>
          <w:szCs w:val="32"/>
          <w:lang w:val="en-US" w:eastAsia="zh-CN" w:bidi="ar"/>
        </w:rPr>
        <w:t>万元，增加</w:t>
      </w:r>
      <w:r>
        <w:rPr>
          <w:rFonts w:hint="default" w:ascii="Times New Roman" w:hAnsi="Times New Roman" w:eastAsia="方正仿宋_GBK" w:cs="Times New Roman"/>
          <w:kern w:val="0"/>
          <w:sz w:val="32"/>
          <w:szCs w:val="32"/>
          <w:lang w:val="en-US" w:eastAsia="zh-CN" w:bidi="ar"/>
        </w:rPr>
        <w:t>28178%</w:t>
      </w:r>
      <w:r>
        <w:rPr>
          <w:rFonts w:hint="eastAsia" w:ascii="方正仿宋_GBK" w:hAnsi="方正仿宋_GBK" w:eastAsia="方正仿宋_GBK" w:cs="方正仿宋_GBK"/>
          <w:kern w:val="0"/>
          <w:sz w:val="32"/>
          <w:szCs w:val="32"/>
          <w:lang w:val="en-US" w:eastAsia="zh-CN" w:bidi="ar"/>
        </w:rPr>
        <w:t>，主要原因是增加了其他支出（其中主要是彩票公益金安排的支出）。</w:t>
      </w:r>
    </w:p>
    <w:p w14:paraId="6D095AE2">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outlineLvl w:val="0"/>
        <w:rPr>
          <w:rFonts w:hint="default" w:ascii="Times New Roman" w:hAnsi="Times New Roman" w:eastAsia="方正仿宋_GBK" w:cs="Times New Roman"/>
          <w:kern w:val="0"/>
          <w:sz w:val="32"/>
          <w:szCs w:val="32"/>
        </w:rPr>
      </w:pPr>
      <w:bookmarkStart w:id="17" w:name="_Toc1462"/>
      <w:bookmarkStart w:id="18" w:name="_Toc9705"/>
      <w:r>
        <w:rPr>
          <w:rFonts w:hint="eastAsia" w:ascii="方正仿宋_GBK" w:hAnsi="方正仿宋_GBK" w:eastAsia="方正仿宋_GBK" w:cs="方正仿宋_GBK"/>
          <w:kern w:val="0"/>
          <w:sz w:val="32"/>
          <w:szCs w:val="32"/>
          <w:lang w:val="en-US" w:eastAsia="zh-CN" w:bidi="ar"/>
        </w:rPr>
        <w:t>（六）国有资本经营预算财政拨款支出决算情况说明。</w:t>
      </w:r>
      <w:bookmarkEnd w:id="17"/>
      <w:bookmarkEnd w:id="18"/>
    </w:p>
    <w:p w14:paraId="3E7E4DB0">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本部门</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年度无国有资本经营预算财政拨款支出。</w:t>
      </w:r>
    </w:p>
    <w:p w14:paraId="47B56D7A">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三、“三公”经费情况说明</w:t>
      </w:r>
    </w:p>
    <w:p w14:paraId="5B8C77AF">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outlineLvl w:val="0"/>
        <w:rPr>
          <w:rFonts w:hint="default" w:ascii="Times New Roman" w:hAnsi="Times New Roman" w:eastAsia="方正仿宋_GBK" w:cs="Times New Roman"/>
          <w:kern w:val="0"/>
          <w:sz w:val="32"/>
          <w:szCs w:val="32"/>
        </w:rPr>
      </w:pPr>
      <w:bookmarkStart w:id="19" w:name="_Toc6936"/>
      <w:bookmarkStart w:id="20" w:name="_Toc31992"/>
      <w:r>
        <w:rPr>
          <w:rFonts w:hint="eastAsia" w:ascii="方正仿宋_GBK" w:hAnsi="方正仿宋_GBK" w:eastAsia="方正仿宋_GBK" w:cs="方正仿宋_GBK"/>
          <w:kern w:val="0"/>
          <w:sz w:val="32"/>
          <w:szCs w:val="32"/>
          <w:lang w:val="en-US" w:eastAsia="zh-CN" w:bidi="ar"/>
        </w:rPr>
        <w:t>（一）</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经费支出总体情况说明</w:t>
      </w:r>
      <w:bookmarkEnd w:id="19"/>
      <w:r>
        <w:rPr>
          <w:rFonts w:hint="eastAsia" w:ascii="方正仿宋_GBK" w:hAnsi="方正仿宋_GBK" w:eastAsia="方正仿宋_GBK" w:cs="方正仿宋_GBK"/>
          <w:kern w:val="0"/>
          <w:sz w:val="32"/>
          <w:szCs w:val="32"/>
          <w:lang w:val="en-US" w:eastAsia="zh-CN" w:bidi="ar"/>
        </w:rPr>
        <w:t>。</w:t>
      </w:r>
      <w:bookmarkEnd w:id="20"/>
    </w:p>
    <w:p w14:paraId="4F83D1C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经费支出共计</w:t>
      </w:r>
      <w:r>
        <w:rPr>
          <w:rFonts w:hint="default" w:ascii="Times New Roman" w:hAnsi="Times New Roman" w:eastAsia="方正仿宋_GBK" w:cs="Times New Roman"/>
          <w:kern w:val="0"/>
          <w:sz w:val="32"/>
          <w:szCs w:val="32"/>
          <w:lang w:val="en-US" w:eastAsia="zh-CN" w:bidi="ar"/>
        </w:rPr>
        <w:t>9.18</w:t>
      </w:r>
      <w:r>
        <w:rPr>
          <w:rFonts w:hint="eastAsia" w:ascii="方正仿宋_GBK" w:hAnsi="方正仿宋_GBK" w:eastAsia="方正仿宋_GBK" w:cs="方正仿宋_GBK"/>
          <w:kern w:val="0"/>
          <w:sz w:val="32"/>
          <w:szCs w:val="32"/>
          <w:lang w:val="en-US" w:eastAsia="zh-CN" w:bidi="ar"/>
        </w:rPr>
        <w:t>万元，较年初预算数减少</w:t>
      </w:r>
      <w:r>
        <w:rPr>
          <w:rFonts w:hint="default" w:ascii="Times New Roman" w:hAnsi="Times New Roman" w:eastAsia="方正仿宋_GBK" w:cs="Times New Roman"/>
          <w:kern w:val="0"/>
          <w:sz w:val="32"/>
          <w:szCs w:val="32"/>
          <w:lang w:val="en-US" w:eastAsia="zh-CN" w:bidi="ar"/>
        </w:rPr>
        <w:t>0.15</w:t>
      </w:r>
      <w:r>
        <w:rPr>
          <w:rFonts w:hint="eastAsia" w:ascii="方正仿宋_GBK" w:hAnsi="方正仿宋_GBK" w:eastAsia="方正仿宋_GBK" w:cs="方正仿宋_GBK"/>
          <w:kern w:val="0"/>
          <w:sz w:val="32"/>
          <w:szCs w:val="32"/>
          <w:lang w:val="en-US" w:eastAsia="zh-CN" w:bidi="ar"/>
        </w:rPr>
        <w:t>万元，下降</w:t>
      </w:r>
      <w:r>
        <w:rPr>
          <w:rFonts w:hint="default" w:ascii="Times New Roman" w:hAnsi="Times New Roman" w:eastAsia="方正仿宋_GBK" w:cs="Times New Roman"/>
          <w:kern w:val="0"/>
          <w:sz w:val="32"/>
          <w:szCs w:val="32"/>
          <w:lang w:val="en-US" w:eastAsia="zh-CN" w:bidi="ar"/>
        </w:rPr>
        <w:t>1.6%</w:t>
      </w:r>
      <w:r>
        <w:rPr>
          <w:rFonts w:hint="eastAsia" w:ascii="方正仿宋_GBK" w:hAnsi="方正仿宋_GBK" w:eastAsia="方正仿宋_GBK" w:cs="方正仿宋_GBK"/>
          <w:kern w:val="0"/>
          <w:sz w:val="32"/>
          <w:szCs w:val="32"/>
          <w:lang w:val="en-US" w:eastAsia="zh-CN" w:bidi="ar"/>
        </w:rPr>
        <w:t>，主要原因是一是认真贯彻落实中央八项规定精神，按照只减不增的要求从严控制</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经费，二是严格落实公车使用规定，公车运行维护成本有所下降。三是强化公务接待支出管理，严格遵守公务接待开支范围和开支标准，严格控制陪餐人数，公务接待费大幅下降。四是进一步规范因公出国（境）活动，今年未安排人员出国出访。</w:t>
      </w:r>
    </w:p>
    <w:p w14:paraId="68BF9CCB">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21" w:name="_Toc21181"/>
      <w:bookmarkStart w:id="22" w:name="_Toc15804"/>
      <w:r>
        <w:rPr>
          <w:rFonts w:hint="eastAsia" w:ascii="方正楷体_GBK" w:hAnsi="方正楷体_GBK" w:eastAsia="方正楷体_GBK" w:cs="方正楷体_GBK"/>
          <w:b w:val="0"/>
          <w:bCs w:val="0"/>
          <w:kern w:val="2"/>
          <w:sz w:val="32"/>
          <w:szCs w:val="32"/>
          <w:lang w:val="en-US" w:eastAsia="zh-CN" w:bidi="ar"/>
        </w:rPr>
        <w:t>（二）</w:t>
      </w:r>
      <w:r>
        <w:rPr>
          <w:rFonts w:hint="default" w:ascii="Times New Roman" w:hAnsi="Times New Roman" w:eastAsia="方正楷体_GBK" w:cs="Times New Roman"/>
          <w:b w:val="0"/>
          <w:bCs w:val="0"/>
          <w:kern w:val="2"/>
          <w:sz w:val="32"/>
          <w:szCs w:val="32"/>
          <w:lang w:val="en-US" w:eastAsia="zh-CN" w:bidi="ar"/>
        </w:rPr>
        <w:t>“</w:t>
      </w:r>
      <w:r>
        <w:rPr>
          <w:rFonts w:hint="eastAsia" w:ascii="方正楷体_GBK" w:hAnsi="方正楷体_GBK" w:eastAsia="方正楷体_GBK" w:cs="方正楷体_GBK"/>
          <w:b w:val="0"/>
          <w:bCs w:val="0"/>
          <w:kern w:val="2"/>
          <w:sz w:val="32"/>
          <w:szCs w:val="32"/>
          <w:lang w:val="en-US" w:eastAsia="zh-CN" w:bidi="ar"/>
        </w:rPr>
        <w:t>三公</w:t>
      </w:r>
      <w:r>
        <w:rPr>
          <w:rFonts w:hint="default" w:ascii="Times New Roman" w:hAnsi="Times New Roman" w:eastAsia="方正楷体_GBK" w:cs="Times New Roman"/>
          <w:b w:val="0"/>
          <w:bCs w:val="0"/>
          <w:kern w:val="2"/>
          <w:sz w:val="32"/>
          <w:szCs w:val="32"/>
          <w:lang w:val="en-US" w:eastAsia="zh-CN" w:bidi="ar"/>
        </w:rPr>
        <w:t>”</w:t>
      </w:r>
      <w:r>
        <w:rPr>
          <w:rFonts w:hint="eastAsia" w:ascii="方正楷体_GBK" w:hAnsi="方正楷体_GBK" w:eastAsia="方正楷体_GBK" w:cs="方正楷体_GBK"/>
          <w:b w:val="0"/>
          <w:bCs w:val="0"/>
          <w:kern w:val="2"/>
          <w:sz w:val="32"/>
          <w:szCs w:val="32"/>
          <w:lang w:val="en-US" w:eastAsia="zh-CN" w:bidi="ar"/>
        </w:rPr>
        <w:t>经费分项支出情况</w:t>
      </w:r>
      <w:bookmarkEnd w:id="21"/>
      <w:r>
        <w:rPr>
          <w:rFonts w:hint="eastAsia" w:ascii="方正楷体_GBK" w:hAnsi="方正楷体_GBK" w:eastAsia="方正楷体_GBK" w:cs="方正楷体_GBK"/>
          <w:b w:val="0"/>
          <w:bCs w:val="0"/>
          <w:kern w:val="2"/>
          <w:sz w:val="32"/>
          <w:szCs w:val="32"/>
          <w:lang w:val="en-US" w:eastAsia="zh-CN" w:bidi="ar"/>
        </w:rPr>
        <w:t>。</w:t>
      </w:r>
      <w:bookmarkEnd w:id="22"/>
    </w:p>
    <w:p w14:paraId="69E0BB9C">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年度本部门因公出国（境）费用</w:t>
      </w:r>
      <w:r>
        <w:rPr>
          <w:rFonts w:hint="default" w:ascii="Times New Roman" w:hAnsi="Times New Roman" w:eastAsia="方正仿宋_GBK" w:cs="Times New Roman"/>
          <w:kern w:val="0"/>
          <w:sz w:val="32"/>
          <w:szCs w:val="32"/>
          <w:lang w:val="en-US" w:eastAsia="zh-CN" w:bidi="ar"/>
        </w:rPr>
        <w:t>0.00</w:t>
      </w:r>
      <w:r>
        <w:rPr>
          <w:rFonts w:hint="eastAsia" w:ascii="方正仿宋_GBK" w:hAnsi="方正仿宋_GBK" w:eastAsia="方正仿宋_GBK" w:cs="方正仿宋_GBK"/>
          <w:kern w:val="0"/>
          <w:sz w:val="32"/>
          <w:szCs w:val="32"/>
          <w:lang w:val="en-US" w:eastAsia="zh-CN" w:bidi="ar"/>
        </w:rPr>
        <w:t>万元，费用支出较年初预算数保持一致。</w:t>
      </w:r>
    </w:p>
    <w:p w14:paraId="4E162176">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未发生公务车购置费，增加</w:t>
      </w:r>
      <w:r>
        <w:rPr>
          <w:rFonts w:hint="default" w:ascii="Times New Roman" w:hAnsi="Times New Roman" w:eastAsia="方正仿宋_GBK" w:cs="Times New Roman"/>
          <w:kern w:val="0"/>
          <w:sz w:val="32"/>
          <w:szCs w:val="32"/>
          <w:lang w:val="en-US" w:eastAsia="zh-CN" w:bidi="ar"/>
        </w:rPr>
        <w:t>0</w:t>
      </w:r>
      <w:r>
        <w:rPr>
          <w:rFonts w:hint="eastAsia" w:ascii="方正仿宋_GBK" w:hAnsi="方正仿宋_GBK" w:eastAsia="方正仿宋_GBK" w:cs="方正仿宋_GBK"/>
          <w:kern w:val="0"/>
          <w:sz w:val="32"/>
          <w:szCs w:val="32"/>
          <w:lang w:val="en-US" w:eastAsia="zh-CN" w:bidi="ar"/>
        </w:rPr>
        <w:t>万元，费用支出较年初预算数保持一致。</w:t>
      </w:r>
    </w:p>
    <w:p w14:paraId="1164EFA7">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公务车运行维护费</w:t>
      </w:r>
      <w:r>
        <w:rPr>
          <w:rFonts w:hint="default" w:ascii="Times New Roman" w:hAnsi="Times New Roman" w:eastAsia="方正仿宋_GBK" w:cs="Times New Roman"/>
          <w:kern w:val="0"/>
          <w:sz w:val="32"/>
          <w:szCs w:val="32"/>
          <w:lang w:val="en-US" w:eastAsia="zh-CN" w:bidi="ar"/>
        </w:rPr>
        <w:t>7.16</w:t>
      </w:r>
      <w:r>
        <w:rPr>
          <w:rFonts w:hint="eastAsia" w:ascii="方正仿宋_GBK" w:hAnsi="方正仿宋_GBK" w:eastAsia="方正仿宋_GBK" w:cs="方正仿宋_GBK"/>
          <w:kern w:val="0"/>
          <w:sz w:val="32"/>
          <w:szCs w:val="32"/>
          <w:lang w:val="en-US" w:eastAsia="zh-CN" w:bidi="ar"/>
        </w:rPr>
        <w:t>万元，主要用于公务出行、业务检查等工作所需车辆的燃料费、维修费、保险费等。费用支出较年初预算数减少</w:t>
      </w:r>
      <w:r>
        <w:rPr>
          <w:rFonts w:hint="default" w:ascii="Times New Roman" w:hAnsi="Times New Roman" w:eastAsia="方正仿宋_GBK" w:cs="Times New Roman"/>
          <w:kern w:val="0"/>
          <w:sz w:val="32"/>
          <w:szCs w:val="32"/>
          <w:lang w:val="en-US" w:eastAsia="zh-CN" w:bidi="ar"/>
        </w:rPr>
        <w:t>0.04</w:t>
      </w:r>
      <w:r>
        <w:rPr>
          <w:rFonts w:hint="eastAsia" w:ascii="方正仿宋_GBK" w:hAnsi="方正仿宋_GBK" w:eastAsia="方正仿宋_GBK" w:cs="方正仿宋_GBK"/>
          <w:kern w:val="0"/>
          <w:sz w:val="32"/>
          <w:szCs w:val="32"/>
          <w:lang w:val="en-US" w:eastAsia="zh-CN" w:bidi="ar"/>
        </w:rPr>
        <w:t>万元，下降</w:t>
      </w:r>
      <w:r>
        <w:rPr>
          <w:rFonts w:hint="default" w:ascii="Times New Roman" w:hAnsi="Times New Roman" w:eastAsia="方正仿宋_GBK" w:cs="Times New Roman"/>
          <w:kern w:val="0"/>
          <w:sz w:val="32"/>
          <w:szCs w:val="32"/>
          <w:lang w:val="en-US" w:eastAsia="zh-CN" w:bidi="ar"/>
        </w:rPr>
        <w:t>0.6%</w:t>
      </w:r>
      <w:r>
        <w:rPr>
          <w:rFonts w:hint="eastAsia" w:ascii="方正仿宋_GBK" w:hAnsi="方正仿宋_GBK" w:eastAsia="方正仿宋_GBK" w:cs="方正仿宋_GBK"/>
          <w:kern w:val="0"/>
          <w:sz w:val="32"/>
          <w:szCs w:val="32"/>
          <w:lang w:val="en-US" w:eastAsia="zh-CN" w:bidi="ar"/>
        </w:rPr>
        <w:t>，主要原因是严格落实公车使用规定，严格控制相关支出。</w:t>
      </w:r>
    </w:p>
    <w:p w14:paraId="03CF96DD">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公务接待费</w:t>
      </w:r>
      <w:r>
        <w:rPr>
          <w:rFonts w:hint="default" w:ascii="Times New Roman" w:hAnsi="Times New Roman" w:eastAsia="方正仿宋_GBK" w:cs="Times New Roman"/>
          <w:kern w:val="0"/>
          <w:sz w:val="32"/>
          <w:szCs w:val="32"/>
          <w:lang w:val="en-US" w:eastAsia="zh-CN" w:bidi="ar"/>
        </w:rPr>
        <w:t>2.02</w:t>
      </w:r>
      <w:r>
        <w:rPr>
          <w:rFonts w:hint="eastAsia" w:ascii="方正仿宋_GBK" w:hAnsi="方正仿宋_GBK" w:eastAsia="方正仿宋_GBK" w:cs="方正仿宋_GBK"/>
          <w:kern w:val="0"/>
          <w:sz w:val="32"/>
          <w:szCs w:val="32"/>
          <w:lang w:val="en-US" w:eastAsia="zh-CN" w:bidi="ar"/>
        </w:rPr>
        <w:t>万元，主要用于接待有关单位检查指导工作发生的接待支出。费用支出较年初预算数减少</w:t>
      </w:r>
      <w:r>
        <w:rPr>
          <w:rFonts w:hint="default" w:ascii="Times New Roman" w:hAnsi="Times New Roman" w:eastAsia="方正仿宋_GBK" w:cs="Times New Roman"/>
          <w:kern w:val="0"/>
          <w:sz w:val="32"/>
          <w:szCs w:val="32"/>
          <w:lang w:val="en-US" w:eastAsia="zh-CN" w:bidi="ar"/>
        </w:rPr>
        <w:t>0.11</w:t>
      </w:r>
      <w:r>
        <w:rPr>
          <w:rFonts w:hint="eastAsia" w:ascii="方正仿宋_GBK" w:hAnsi="方正仿宋_GBK" w:eastAsia="方正仿宋_GBK" w:cs="方正仿宋_GBK"/>
          <w:kern w:val="0"/>
          <w:sz w:val="32"/>
          <w:szCs w:val="32"/>
          <w:lang w:val="en-US" w:eastAsia="zh-CN" w:bidi="ar"/>
        </w:rPr>
        <w:t>万元，下降</w:t>
      </w:r>
      <w:r>
        <w:rPr>
          <w:rFonts w:hint="default" w:ascii="Times New Roman" w:hAnsi="Times New Roman" w:eastAsia="方正仿宋_GBK" w:cs="Times New Roman"/>
          <w:kern w:val="0"/>
          <w:sz w:val="32"/>
          <w:szCs w:val="32"/>
          <w:lang w:val="en-US" w:eastAsia="zh-CN" w:bidi="ar"/>
        </w:rPr>
        <w:t>5.1%</w:t>
      </w:r>
      <w:r>
        <w:rPr>
          <w:rFonts w:hint="eastAsia" w:ascii="方正仿宋_GBK" w:hAnsi="方正仿宋_GBK" w:eastAsia="方正仿宋_GBK" w:cs="方正仿宋_GBK"/>
          <w:kern w:val="0"/>
          <w:sz w:val="32"/>
          <w:szCs w:val="32"/>
          <w:lang w:val="en-US" w:eastAsia="zh-CN" w:bidi="ar"/>
        </w:rPr>
        <w:t>，主要原因是严格按照</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过紧日子</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要求，控制相关接待支出。</w:t>
      </w:r>
    </w:p>
    <w:p w14:paraId="7AF53F08">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23" w:name="_Toc18401"/>
      <w:bookmarkStart w:id="24" w:name="_Toc19721"/>
      <w:r>
        <w:rPr>
          <w:rFonts w:hint="eastAsia" w:ascii="方正楷体_GBK" w:hAnsi="方正楷体_GBK" w:eastAsia="方正楷体_GBK" w:cs="方正楷体_GBK"/>
          <w:b w:val="0"/>
          <w:bCs w:val="0"/>
          <w:kern w:val="2"/>
          <w:sz w:val="32"/>
          <w:szCs w:val="32"/>
          <w:lang w:val="en-US" w:eastAsia="zh-CN" w:bidi="ar"/>
        </w:rPr>
        <w:t>（三）</w:t>
      </w:r>
      <w:r>
        <w:rPr>
          <w:rFonts w:hint="default" w:ascii="Times New Roman" w:hAnsi="Times New Roman" w:eastAsia="方正楷体_GBK" w:cs="Times New Roman"/>
          <w:b w:val="0"/>
          <w:bCs w:val="0"/>
          <w:kern w:val="2"/>
          <w:sz w:val="32"/>
          <w:szCs w:val="32"/>
          <w:lang w:val="en-US" w:eastAsia="zh-CN" w:bidi="ar"/>
        </w:rPr>
        <w:t>“</w:t>
      </w:r>
      <w:r>
        <w:rPr>
          <w:rFonts w:hint="eastAsia" w:ascii="方正楷体_GBK" w:hAnsi="方正楷体_GBK" w:eastAsia="方正楷体_GBK" w:cs="方正楷体_GBK"/>
          <w:b w:val="0"/>
          <w:bCs w:val="0"/>
          <w:kern w:val="2"/>
          <w:sz w:val="32"/>
          <w:szCs w:val="32"/>
          <w:lang w:val="en-US" w:eastAsia="zh-CN" w:bidi="ar"/>
        </w:rPr>
        <w:t>三公</w:t>
      </w:r>
      <w:r>
        <w:rPr>
          <w:rFonts w:hint="default" w:ascii="Times New Roman" w:hAnsi="Times New Roman" w:eastAsia="方正楷体_GBK" w:cs="Times New Roman"/>
          <w:b w:val="0"/>
          <w:bCs w:val="0"/>
          <w:kern w:val="2"/>
          <w:sz w:val="32"/>
          <w:szCs w:val="32"/>
          <w:lang w:val="en-US" w:eastAsia="zh-CN" w:bidi="ar"/>
        </w:rPr>
        <w:t>”</w:t>
      </w:r>
      <w:r>
        <w:rPr>
          <w:rFonts w:hint="eastAsia" w:ascii="方正楷体_GBK" w:hAnsi="方正楷体_GBK" w:eastAsia="方正楷体_GBK" w:cs="方正楷体_GBK"/>
          <w:b w:val="0"/>
          <w:bCs w:val="0"/>
          <w:kern w:val="2"/>
          <w:sz w:val="32"/>
          <w:szCs w:val="32"/>
          <w:lang w:val="en-US" w:eastAsia="zh-CN" w:bidi="ar"/>
        </w:rPr>
        <w:t>经费实物量情况</w:t>
      </w:r>
      <w:bookmarkEnd w:id="23"/>
      <w:r>
        <w:rPr>
          <w:rFonts w:hint="eastAsia" w:ascii="方正楷体_GBK" w:hAnsi="方正楷体_GBK" w:eastAsia="方正楷体_GBK" w:cs="方正楷体_GBK"/>
          <w:b w:val="0"/>
          <w:bCs w:val="0"/>
          <w:kern w:val="2"/>
          <w:sz w:val="32"/>
          <w:szCs w:val="32"/>
          <w:lang w:val="en-US" w:eastAsia="zh-CN" w:bidi="ar"/>
        </w:rPr>
        <w:t>。</w:t>
      </w:r>
      <w:bookmarkEnd w:id="24"/>
    </w:p>
    <w:p w14:paraId="16224C67">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年度本部门因公出国（境）共计</w:t>
      </w:r>
      <w:r>
        <w:rPr>
          <w:rFonts w:hint="default" w:ascii="Times New Roman" w:hAnsi="Times New Roman" w:eastAsia="方正仿宋_GBK" w:cs="Times New Roman"/>
          <w:kern w:val="0"/>
          <w:sz w:val="32"/>
          <w:szCs w:val="32"/>
          <w:lang w:val="en-US" w:eastAsia="zh-CN" w:bidi="ar"/>
        </w:rPr>
        <w:t>0</w:t>
      </w:r>
      <w:r>
        <w:rPr>
          <w:rFonts w:hint="eastAsia" w:ascii="方正仿宋_GBK" w:hAnsi="方正仿宋_GBK" w:eastAsia="方正仿宋_GBK" w:cs="方正仿宋_GBK"/>
          <w:kern w:val="0"/>
          <w:sz w:val="32"/>
          <w:szCs w:val="32"/>
          <w:lang w:val="en-US" w:eastAsia="zh-CN" w:bidi="ar"/>
        </w:rPr>
        <w:t>个团组，</w:t>
      </w:r>
      <w:r>
        <w:rPr>
          <w:rFonts w:hint="default" w:ascii="Times New Roman" w:hAnsi="Times New Roman" w:eastAsia="方正仿宋_GBK" w:cs="Times New Roman"/>
          <w:kern w:val="0"/>
          <w:sz w:val="32"/>
          <w:szCs w:val="32"/>
          <w:lang w:val="en-US" w:eastAsia="zh-CN" w:bidi="ar"/>
        </w:rPr>
        <w:t>0</w:t>
      </w:r>
      <w:r>
        <w:rPr>
          <w:rFonts w:hint="eastAsia" w:ascii="方正仿宋_GBK" w:hAnsi="方正仿宋_GBK" w:eastAsia="方正仿宋_GBK" w:cs="方正仿宋_GBK"/>
          <w:kern w:val="0"/>
          <w:sz w:val="32"/>
          <w:szCs w:val="32"/>
          <w:lang w:val="en-US" w:eastAsia="zh-CN" w:bidi="ar"/>
        </w:rPr>
        <w:t>人；公务用车购置</w:t>
      </w:r>
      <w:r>
        <w:rPr>
          <w:rFonts w:hint="default" w:ascii="Times New Roman" w:hAnsi="Times New Roman" w:eastAsia="方正仿宋_GBK" w:cs="Times New Roman"/>
          <w:kern w:val="0"/>
          <w:sz w:val="32"/>
          <w:szCs w:val="32"/>
          <w:lang w:val="en-US" w:eastAsia="zh-CN" w:bidi="ar"/>
        </w:rPr>
        <w:t>0</w:t>
      </w:r>
      <w:r>
        <w:rPr>
          <w:rFonts w:hint="eastAsia" w:ascii="方正仿宋_GBK" w:hAnsi="方正仿宋_GBK" w:eastAsia="方正仿宋_GBK" w:cs="方正仿宋_GBK"/>
          <w:kern w:val="0"/>
          <w:sz w:val="32"/>
          <w:szCs w:val="32"/>
          <w:lang w:val="en-US" w:eastAsia="zh-CN" w:bidi="ar"/>
        </w:rPr>
        <w:t>辆，公务车保有量为</w:t>
      </w: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辆；国内公务接待</w:t>
      </w:r>
      <w:r>
        <w:rPr>
          <w:rFonts w:hint="default" w:ascii="Times New Roman" w:hAnsi="Times New Roman" w:eastAsia="方正仿宋_GBK" w:cs="Times New Roman"/>
          <w:kern w:val="0"/>
          <w:sz w:val="32"/>
          <w:szCs w:val="32"/>
          <w:lang w:val="en-US" w:eastAsia="zh-CN" w:bidi="ar"/>
        </w:rPr>
        <w:t>100</w:t>
      </w:r>
      <w:r>
        <w:rPr>
          <w:rFonts w:hint="eastAsia" w:ascii="方正仿宋_GBK" w:hAnsi="方正仿宋_GBK" w:eastAsia="方正仿宋_GBK" w:cs="方正仿宋_GBK"/>
          <w:kern w:val="0"/>
          <w:sz w:val="32"/>
          <w:szCs w:val="32"/>
          <w:lang w:val="en-US" w:eastAsia="zh-CN" w:bidi="ar"/>
        </w:rPr>
        <w:t>批次</w:t>
      </w:r>
      <w:r>
        <w:rPr>
          <w:rFonts w:hint="default" w:ascii="Times New Roman" w:hAnsi="Times New Roman" w:eastAsia="方正仿宋_GBK" w:cs="Times New Roman"/>
          <w:kern w:val="0"/>
          <w:sz w:val="32"/>
          <w:szCs w:val="32"/>
          <w:lang w:val="en-US" w:eastAsia="zh-CN" w:bidi="ar"/>
        </w:rPr>
        <w:t>600</w:t>
      </w:r>
      <w:r>
        <w:rPr>
          <w:rFonts w:hint="eastAsia" w:ascii="方正仿宋_GBK" w:hAnsi="方正仿宋_GBK" w:eastAsia="方正仿宋_GBK" w:cs="方正仿宋_GBK"/>
          <w:kern w:val="0"/>
          <w:sz w:val="32"/>
          <w:szCs w:val="32"/>
          <w:lang w:val="en-US" w:eastAsia="zh-CN" w:bidi="ar"/>
        </w:rPr>
        <w:t>人，其中：无国内外事接待，无国（境）外公务接待。</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年本部门人均接待费</w:t>
      </w:r>
      <w:r>
        <w:rPr>
          <w:rFonts w:hint="default" w:ascii="Times New Roman" w:hAnsi="Times New Roman" w:eastAsia="方正仿宋_GBK" w:cs="Times New Roman"/>
          <w:kern w:val="0"/>
          <w:sz w:val="32"/>
          <w:szCs w:val="32"/>
          <w:lang w:val="en-US" w:eastAsia="zh-CN" w:bidi="ar"/>
        </w:rPr>
        <w:t>33.66</w:t>
      </w:r>
      <w:r>
        <w:rPr>
          <w:rFonts w:hint="eastAsia" w:ascii="方正仿宋_GBK" w:hAnsi="方正仿宋_GBK" w:eastAsia="方正仿宋_GBK" w:cs="方正仿宋_GBK"/>
          <w:kern w:val="0"/>
          <w:sz w:val="32"/>
          <w:szCs w:val="32"/>
          <w:lang w:val="en-US" w:eastAsia="zh-CN" w:bidi="ar"/>
        </w:rPr>
        <w:t>元，车均购置费</w:t>
      </w:r>
      <w:r>
        <w:rPr>
          <w:rFonts w:hint="default" w:ascii="Times New Roman" w:hAnsi="Times New Roman" w:eastAsia="方正仿宋_GBK" w:cs="Times New Roman"/>
          <w:kern w:val="0"/>
          <w:sz w:val="32"/>
          <w:szCs w:val="32"/>
          <w:lang w:val="en-US" w:eastAsia="zh-CN" w:bidi="ar"/>
        </w:rPr>
        <w:t>0.00</w:t>
      </w:r>
      <w:r>
        <w:rPr>
          <w:rFonts w:hint="eastAsia" w:ascii="方正仿宋_GBK" w:hAnsi="方正仿宋_GBK" w:eastAsia="方正仿宋_GBK" w:cs="方正仿宋_GBK"/>
          <w:kern w:val="0"/>
          <w:sz w:val="32"/>
          <w:szCs w:val="32"/>
          <w:lang w:val="en-US" w:eastAsia="zh-CN" w:bidi="ar"/>
        </w:rPr>
        <w:t>万元，车均维护费</w:t>
      </w:r>
      <w:r>
        <w:rPr>
          <w:rFonts w:hint="default" w:ascii="Times New Roman" w:hAnsi="Times New Roman" w:eastAsia="方正仿宋_GBK" w:cs="Times New Roman"/>
          <w:kern w:val="0"/>
          <w:sz w:val="32"/>
          <w:szCs w:val="32"/>
          <w:lang w:val="en-US" w:eastAsia="zh-CN" w:bidi="ar"/>
        </w:rPr>
        <w:t>3.58</w:t>
      </w:r>
      <w:r>
        <w:rPr>
          <w:rFonts w:hint="eastAsia" w:ascii="方正仿宋_GBK" w:hAnsi="方正仿宋_GBK" w:eastAsia="方正仿宋_GBK" w:cs="方正仿宋_GBK"/>
          <w:kern w:val="0"/>
          <w:sz w:val="32"/>
          <w:szCs w:val="32"/>
          <w:lang w:val="en-US" w:eastAsia="zh-CN" w:bidi="ar"/>
        </w:rPr>
        <w:t>万元。</w:t>
      </w:r>
    </w:p>
    <w:p w14:paraId="222BEDC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四、其他需要说明的事项</w:t>
      </w:r>
    </w:p>
    <w:p w14:paraId="26C62EB2">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25" w:name="_Toc18928"/>
      <w:bookmarkStart w:id="26" w:name="_Toc6"/>
      <w:r>
        <w:rPr>
          <w:rFonts w:hint="eastAsia" w:ascii="方正楷体_GBK" w:hAnsi="方正楷体_GBK" w:eastAsia="方正楷体_GBK" w:cs="方正楷体_GBK"/>
          <w:b w:val="0"/>
          <w:bCs w:val="0"/>
          <w:kern w:val="2"/>
          <w:sz w:val="32"/>
          <w:szCs w:val="32"/>
          <w:lang w:val="en-US" w:eastAsia="zh-CN" w:bidi="ar"/>
        </w:rPr>
        <w:t>（一）机关运行经费支出情况说明</w:t>
      </w:r>
      <w:bookmarkEnd w:id="25"/>
      <w:r>
        <w:rPr>
          <w:rFonts w:hint="eastAsia" w:ascii="方正楷体_GBK" w:hAnsi="方正楷体_GBK" w:eastAsia="方正楷体_GBK" w:cs="方正楷体_GBK"/>
          <w:b w:val="0"/>
          <w:bCs w:val="0"/>
          <w:kern w:val="2"/>
          <w:sz w:val="32"/>
          <w:szCs w:val="32"/>
          <w:lang w:val="en-US" w:eastAsia="zh-CN" w:bidi="ar"/>
        </w:rPr>
        <w:t>。</w:t>
      </w:r>
      <w:bookmarkEnd w:id="26"/>
    </w:p>
    <w:p w14:paraId="3A616B71">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年度本部门机关运行经费支出</w:t>
      </w:r>
      <w:r>
        <w:rPr>
          <w:rFonts w:hint="default" w:ascii="Times New Roman" w:hAnsi="Times New Roman" w:eastAsia="方正仿宋_GBK" w:cs="Times New Roman"/>
          <w:kern w:val="0"/>
          <w:sz w:val="32"/>
          <w:szCs w:val="32"/>
          <w:lang w:val="en-US" w:eastAsia="zh-CN" w:bidi="ar"/>
        </w:rPr>
        <w:t>68.61</w:t>
      </w:r>
      <w:r>
        <w:rPr>
          <w:rFonts w:hint="eastAsia" w:ascii="方正仿宋_GBK" w:hAnsi="方正仿宋_GBK" w:eastAsia="方正仿宋_GBK" w:cs="方正仿宋_GBK"/>
          <w:kern w:val="0"/>
          <w:sz w:val="32"/>
          <w:szCs w:val="32"/>
          <w:lang w:val="en-US" w:eastAsia="zh-CN" w:bidi="ar"/>
        </w:rPr>
        <w:t>万元，主要用于办公费、手续费、电费、邮电费、差旅费、维修（护）费、会议费、培训费、劳务费、工会经费、公务接待费、公务用车运行等。机关运行经费较上年决算数减少</w:t>
      </w:r>
      <w:r>
        <w:rPr>
          <w:rFonts w:hint="default" w:ascii="Times New Roman" w:hAnsi="Times New Roman" w:eastAsia="方正仿宋_GBK" w:cs="Times New Roman"/>
          <w:kern w:val="0"/>
          <w:sz w:val="32"/>
          <w:szCs w:val="32"/>
          <w:lang w:val="en-US" w:eastAsia="zh-CN" w:bidi="ar"/>
        </w:rPr>
        <w:t>42.69</w:t>
      </w:r>
      <w:r>
        <w:rPr>
          <w:rFonts w:hint="eastAsia" w:ascii="方正仿宋_GBK" w:hAnsi="方正仿宋_GBK" w:eastAsia="方正仿宋_GBK" w:cs="方正仿宋_GBK"/>
          <w:kern w:val="0"/>
          <w:sz w:val="32"/>
          <w:szCs w:val="32"/>
          <w:lang w:val="en-US" w:eastAsia="zh-CN" w:bidi="ar"/>
        </w:rPr>
        <w:t>万元，减少</w:t>
      </w:r>
      <w:r>
        <w:rPr>
          <w:rFonts w:hint="default" w:ascii="Times New Roman" w:hAnsi="Times New Roman" w:eastAsia="方正仿宋_GBK" w:cs="Times New Roman"/>
          <w:kern w:val="0"/>
          <w:sz w:val="32"/>
          <w:szCs w:val="32"/>
          <w:lang w:val="en-US" w:eastAsia="zh-CN" w:bidi="ar"/>
        </w:rPr>
        <w:t>38.3%</w:t>
      </w:r>
      <w:r>
        <w:rPr>
          <w:rFonts w:hint="eastAsia" w:ascii="方正仿宋_GBK" w:hAnsi="方正仿宋_GBK" w:eastAsia="方正仿宋_GBK" w:cs="方正仿宋_GBK"/>
          <w:kern w:val="0"/>
          <w:sz w:val="32"/>
          <w:szCs w:val="32"/>
          <w:lang w:val="en-US" w:eastAsia="zh-CN" w:bidi="ar"/>
        </w:rPr>
        <w:t>，主要原因是减少了培训费、会议费、办公费等运行经费。</w:t>
      </w:r>
    </w:p>
    <w:p w14:paraId="0D327D48">
      <w:pPr>
        <w:keepNext w:val="0"/>
        <w:keepLines w:val="0"/>
        <w:pageBreakBefore w:val="0"/>
        <w:widowControl w:val="0"/>
        <w:suppressLineNumbers w:val="0"/>
        <w:kinsoku/>
        <w:wordWrap/>
        <w:topLinePunct w:val="0"/>
        <w:autoSpaceDE w:val="0"/>
        <w:autoSpaceDN/>
        <w:bidi w:val="0"/>
        <w:snapToGrid w:val="0"/>
        <w:spacing w:before="0" w:beforeAutospacing="0" w:after="0" w:afterAutospacing="0" w:line="560" w:lineRule="exact"/>
        <w:ind w:left="0" w:right="0" w:firstLine="629"/>
        <w:jc w:val="both"/>
        <w:outlineLvl w:val="0"/>
        <w:rPr>
          <w:rFonts w:hint="default" w:ascii="Times New Roman" w:hAnsi="Times New Roman" w:eastAsia="方正楷体_GBK" w:cs="Times New Roman"/>
          <w:b w:val="0"/>
          <w:bCs w:val="0"/>
          <w:kern w:val="2"/>
          <w:sz w:val="32"/>
          <w:szCs w:val="32"/>
        </w:rPr>
      </w:pPr>
      <w:bookmarkStart w:id="27" w:name="_Toc15936"/>
      <w:bookmarkStart w:id="28" w:name="_Toc853"/>
      <w:r>
        <w:rPr>
          <w:rFonts w:hint="eastAsia" w:ascii="方正楷体_GBK" w:hAnsi="方正楷体_GBK" w:eastAsia="方正楷体_GBK" w:cs="方正楷体_GBK"/>
          <w:b w:val="0"/>
          <w:bCs w:val="0"/>
          <w:kern w:val="2"/>
          <w:sz w:val="32"/>
          <w:szCs w:val="32"/>
          <w:lang w:val="en-US" w:eastAsia="zh-CN" w:bidi="ar"/>
        </w:rPr>
        <w:t>（二）国有资产占用情况说明</w:t>
      </w:r>
      <w:bookmarkEnd w:id="27"/>
      <w:r>
        <w:rPr>
          <w:rFonts w:hint="eastAsia" w:ascii="方正楷体_GBK" w:hAnsi="方正楷体_GBK" w:eastAsia="方正楷体_GBK" w:cs="方正楷体_GBK"/>
          <w:b w:val="0"/>
          <w:bCs w:val="0"/>
          <w:kern w:val="2"/>
          <w:sz w:val="32"/>
          <w:szCs w:val="32"/>
          <w:lang w:val="en-US" w:eastAsia="zh-CN" w:bidi="ar"/>
        </w:rPr>
        <w:t>。</w:t>
      </w:r>
      <w:bookmarkEnd w:id="28"/>
    </w:p>
    <w:p w14:paraId="6EF8843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截至</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w:t>
      </w:r>
      <w:r>
        <w:rPr>
          <w:rFonts w:hint="default" w:ascii="Times New Roman" w:hAnsi="Times New Roman" w:eastAsia="方正仿宋_GBK" w:cs="Times New Roman"/>
          <w:kern w:val="0"/>
          <w:sz w:val="32"/>
          <w:szCs w:val="32"/>
          <w:lang w:val="en-US" w:eastAsia="zh-CN" w:bidi="ar"/>
        </w:rPr>
        <w:t>12</w:t>
      </w:r>
      <w:r>
        <w:rPr>
          <w:rFonts w:hint="eastAsia" w:ascii="方正仿宋_GBK" w:hAnsi="方正仿宋_GBK" w:eastAsia="方正仿宋_GBK" w:cs="方正仿宋_GBK"/>
          <w:kern w:val="0"/>
          <w:sz w:val="32"/>
          <w:szCs w:val="32"/>
          <w:lang w:val="en-US" w:eastAsia="zh-CN" w:bidi="ar"/>
        </w:rPr>
        <w:t>月</w:t>
      </w:r>
      <w:r>
        <w:rPr>
          <w:rFonts w:hint="default" w:ascii="Times New Roman" w:hAnsi="Times New Roman" w:eastAsia="方正仿宋_GBK" w:cs="Times New Roman"/>
          <w:kern w:val="0"/>
          <w:sz w:val="32"/>
          <w:szCs w:val="32"/>
          <w:lang w:val="en-US" w:eastAsia="zh-CN" w:bidi="ar"/>
        </w:rPr>
        <w:t>31</w:t>
      </w:r>
      <w:r>
        <w:rPr>
          <w:rFonts w:hint="eastAsia" w:ascii="方正仿宋_GBK" w:hAnsi="方正仿宋_GBK" w:eastAsia="方正仿宋_GBK" w:cs="方正仿宋_GBK"/>
          <w:kern w:val="0"/>
          <w:sz w:val="32"/>
          <w:szCs w:val="32"/>
          <w:lang w:val="en-US" w:eastAsia="zh-CN" w:bidi="ar"/>
        </w:rPr>
        <w:t>日，本部门共有车辆</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辆，其中，应急保障用车</w:t>
      </w: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辆、无机要通信用车、执法执勤用车、特种专业技术用车、离退休干部用车、其他用车、单价</w:t>
      </w:r>
      <w:r>
        <w:rPr>
          <w:rFonts w:hint="default" w:ascii="Times New Roman" w:hAnsi="Times New Roman" w:eastAsia="方正仿宋_GBK" w:cs="Times New Roman"/>
          <w:kern w:val="0"/>
          <w:sz w:val="32"/>
          <w:szCs w:val="32"/>
          <w:lang w:val="en-US" w:eastAsia="zh-CN" w:bidi="ar"/>
        </w:rPr>
        <w:t>100</w:t>
      </w:r>
      <w:r>
        <w:rPr>
          <w:rFonts w:hint="eastAsia" w:ascii="方正仿宋_GBK" w:hAnsi="方正仿宋_GBK" w:eastAsia="方正仿宋_GBK" w:cs="方正仿宋_GBK"/>
          <w:kern w:val="0"/>
          <w:sz w:val="32"/>
          <w:szCs w:val="32"/>
          <w:lang w:val="en-US" w:eastAsia="zh-CN" w:bidi="ar"/>
        </w:rPr>
        <w:t>万元（含）以上设备（不含车辆）。</w:t>
      </w:r>
    </w:p>
    <w:p w14:paraId="502DF239">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五、预算绩效管理情况说明</w:t>
      </w:r>
    </w:p>
    <w:p w14:paraId="757FFEDB">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outlineLvl w:val="0"/>
        <w:rPr>
          <w:rFonts w:hint="default" w:ascii="Times New Roman" w:hAnsi="Times New Roman" w:eastAsia="方正仿宋_GBK" w:cs="Times New Roman"/>
          <w:kern w:val="0"/>
          <w:sz w:val="32"/>
          <w:szCs w:val="32"/>
        </w:rPr>
      </w:pPr>
      <w:bookmarkStart w:id="29" w:name="_Toc21763"/>
      <w:bookmarkStart w:id="30" w:name="_Toc10179"/>
      <w:r>
        <w:rPr>
          <w:rFonts w:hint="eastAsia" w:ascii="方正仿宋_GBK" w:hAnsi="方正仿宋_GBK" w:eastAsia="方正仿宋_GBK" w:cs="方正仿宋_GBK"/>
          <w:kern w:val="0"/>
          <w:sz w:val="32"/>
          <w:szCs w:val="32"/>
          <w:lang w:val="en-US" w:eastAsia="zh-CN" w:bidi="ar"/>
        </w:rPr>
        <w:t>（一）预算绩效管理工作开展情况</w:t>
      </w:r>
      <w:bookmarkEnd w:id="29"/>
      <w:r>
        <w:rPr>
          <w:rFonts w:hint="eastAsia" w:ascii="方正仿宋_GBK" w:hAnsi="方正仿宋_GBK" w:eastAsia="方正仿宋_GBK" w:cs="方正仿宋_GBK"/>
          <w:kern w:val="0"/>
          <w:sz w:val="32"/>
          <w:szCs w:val="32"/>
          <w:lang w:val="en-US" w:eastAsia="zh-CN" w:bidi="ar"/>
        </w:rPr>
        <w:t>。</w:t>
      </w:r>
      <w:bookmarkEnd w:id="30"/>
    </w:p>
    <w:p w14:paraId="70363CFA">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根据预算绩效管理要求，本部门对</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年整体所有项目开展了绩效自评，项目严格按照计划文件和资金文件实施，款项按行业主管部门的要求和涉农资金管理的规定支付，办理年终决算时，所有项目的支出进度均在</w:t>
      </w:r>
      <w:r>
        <w:rPr>
          <w:rFonts w:hint="default" w:ascii="Times New Roman" w:hAnsi="Times New Roman" w:eastAsia="方正仿宋_GBK" w:cs="Times New Roman"/>
          <w:kern w:val="0"/>
          <w:sz w:val="32"/>
          <w:szCs w:val="32"/>
          <w:lang w:val="en-US" w:eastAsia="zh-CN" w:bidi="ar"/>
        </w:rPr>
        <w:t>95.00%</w:t>
      </w:r>
      <w:r>
        <w:rPr>
          <w:rFonts w:hint="eastAsia" w:ascii="方正仿宋_GBK" w:hAnsi="方正仿宋_GBK" w:eastAsia="方正仿宋_GBK" w:cs="方正仿宋_GBK"/>
          <w:kern w:val="0"/>
          <w:sz w:val="32"/>
          <w:szCs w:val="32"/>
          <w:lang w:val="en-US" w:eastAsia="zh-CN" w:bidi="ar"/>
        </w:rPr>
        <w:t>以上，结转部分将在</w:t>
      </w:r>
      <w:r>
        <w:rPr>
          <w:rFonts w:hint="default" w:ascii="Times New Roman" w:hAnsi="Times New Roman" w:eastAsia="方正仿宋_GBK" w:cs="Times New Roman"/>
          <w:kern w:val="0"/>
          <w:sz w:val="32"/>
          <w:szCs w:val="32"/>
          <w:lang w:val="en-US" w:eastAsia="zh-CN" w:bidi="ar"/>
        </w:rPr>
        <w:t xml:space="preserve">2024 </w:t>
      </w:r>
      <w:r>
        <w:rPr>
          <w:rFonts w:hint="eastAsia" w:ascii="方正仿宋_GBK" w:hAnsi="方正仿宋_GBK" w:eastAsia="方正仿宋_GBK" w:cs="方正仿宋_GBK"/>
          <w:kern w:val="0"/>
          <w:sz w:val="32"/>
          <w:szCs w:val="32"/>
          <w:lang w:val="en-US" w:eastAsia="zh-CN" w:bidi="ar"/>
        </w:rPr>
        <w:t>年继续实施，项目在巩固脱贫成果，助农增收方面发挥了良好的社会。</w:t>
      </w:r>
    </w:p>
    <w:p w14:paraId="1765DC9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部门整体绩效自评与一级</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二级项目自评结果</w:t>
      </w:r>
    </w:p>
    <w:p w14:paraId="779DF309">
      <w:pPr>
        <w:pStyle w:val="5"/>
        <w:keepNext w:val="0"/>
        <w:keepLines w:val="0"/>
        <w:pageBreakBefore w:val="0"/>
        <w:widowControl/>
        <w:suppressLineNumbers w:val="0"/>
        <w:kinsoku/>
        <w:wordWrap/>
        <w:topLinePunct w:val="0"/>
        <w:bidi w:val="0"/>
        <w:snapToGrid w:val="0"/>
        <w:spacing w:line="560" w:lineRule="exact"/>
        <w:ind w:left="0" w:firstLine="0" w:firstLineChars="0"/>
        <w:jc w:val="center"/>
        <w:rPr>
          <w:rFonts w:hint="default" w:ascii="Times New Roman" w:hAnsi="Times New Roman" w:eastAsia="方正小标宋_GBK" w:cs="Times New Roman"/>
          <w:kern w:val="0"/>
          <w:sz w:val="32"/>
          <w:szCs w:val="32"/>
        </w:rPr>
      </w:pPr>
      <w:r>
        <w:rPr>
          <w:rFonts w:hint="default" w:ascii="Times New Roman" w:hAnsi="Times New Roman" w:eastAsia="方正小标宋_GBK" w:cs="Times New Roman"/>
          <w:kern w:val="0"/>
          <w:sz w:val="36"/>
          <w:szCs w:val="36"/>
        </w:rPr>
        <w:t xml:space="preserve">  </w:t>
      </w:r>
      <w:r>
        <w:rPr>
          <w:rFonts w:hint="eastAsia" w:ascii="方正小标宋_GBK" w:hAnsi="方正小标宋_GBK" w:eastAsia="方正小标宋_GBK" w:cs="方正小标宋_GBK"/>
          <w:kern w:val="0"/>
          <w:sz w:val="36"/>
          <w:szCs w:val="36"/>
        </w:rPr>
        <w:t>部门整体绩效自评表</w:t>
      </w:r>
      <w:r>
        <w:rPr>
          <w:rFonts w:hint="default" w:ascii="Times New Roman" w:hAnsi="Times New Roman" w:eastAsia="方正小标宋_GBK" w:cs="Times New Roman"/>
          <w:kern w:val="0"/>
          <w:sz w:val="36"/>
          <w:szCs w:val="36"/>
        </w:rPr>
        <w:t xml:space="preserve">  </w:t>
      </w:r>
    </w:p>
    <w:tbl>
      <w:tblPr>
        <w:tblStyle w:val="3"/>
        <w:tblW w:w="9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3"/>
        <w:gridCol w:w="777"/>
        <w:gridCol w:w="426"/>
        <w:gridCol w:w="111"/>
        <w:gridCol w:w="917"/>
        <w:gridCol w:w="955"/>
        <w:gridCol w:w="67"/>
        <w:gridCol w:w="1027"/>
        <w:gridCol w:w="600"/>
        <w:gridCol w:w="466"/>
        <w:gridCol w:w="816"/>
        <w:gridCol w:w="711"/>
        <w:gridCol w:w="225"/>
        <w:gridCol w:w="1012"/>
        <w:gridCol w:w="1100"/>
      </w:tblGrid>
      <w:tr w14:paraId="06C94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jc w:val="center"/>
        </w:trPr>
        <w:tc>
          <w:tcPr>
            <w:tcW w:w="78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68D2F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主管</w:t>
            </w:r>
          </w:p>
          <w:p w14:paraId="6581E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部门</w:t>
            </w:r>
          </w:p>
        </w:tc>
        <w:tc>
          <w:tcPr>
            <w:tcW w:w="1203" w:type="dxa"/>
            <w:gridSpan w:val="2"/>
            <w:vMerge w:val="restart"/>
            <w:tcBorders>
              <w:top w:val="single" w:color="auto" w:sz="4" w:space="0"/>
              <w:left w:val="nil"/>
              <w:bottom w:val="single" w:color="000000" w:sz="4" w:space="0"/>
              <w:right w:val="single" w:color="000000" w:sz="4" w:space="0"/>
            </w:tcBorders>
            <w:shd w:val="clear" w:color="auto" w:fill="auto"/>
            <w:vAlign w:val="center"/>
          </w:tcPr>
          <w:p w14:paraId="675F06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高观镇人民政府</w:t>
            </w:r>
          </w:p>
        </w:tc>
        <w:tc>
          <w:tcPr>
            <w:tcW w:w="1028" w:type="dxa"/>
            <w:gridSpan w:val="2"/>
            <w:vMerge w:val="restart"/>
            <w:tcBorders>
              <w:top w:val="single" w:color="auto" w:sz="4" w:space="0"/>
              <w:left w:val="nil"/>
              <w:bottom w:val="single" w:color="000000" w:sz="4" w:space="0"/>
              <w:right w:val="single" w:color="auto" w:sz="4" w:space="0"/>
            </w:tcBorders>
            <w:shd w:val="clear" w:color="auto" w:fill="auto"/>
            <w:vAlign w:val="center"/>
          </w:tcPr>
          <w:p w14:paraId="79F1F5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财政处室</w:t>
            </w:r>
          </w:p>
        </w:tc>
        <w:tc>
          <w:tcPr>
            <w:tcW w:w="1022" w:type="dxa"/>
            <w:gridSpan w:val="2"/>
            <w:vMerge w:val="restart"/>
            <w:tcBorders>
              <w:top w:val="single" w:color="auto" w:sz="4" w:space="0"/>
              <w:left w:val="nil"/>
              <w:bottom w:val="single" w:color="000000" w:sz="4" w:space="0"/>
              <w:right w:val="single" w:color="000000" w:sz="4" w:space="0"/>
            </w:tcBorders>
            <w:shd w:val="clear" w:color="auto" w:fill="auto"/>
            <w:vAlign w:val="center"/>
          </w:tcPr>
          <w:p w14:paraId="6112D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农业科、预算科</w:t>
            </w:r>
          </w:p>
        </w:tc>
        <w:tc>
          <w:tcPr>
            <w:tcW w:w="1627" w:type="dxa"/>
            <w:gridSpan w:val="2"/>
            <w:tcBorders>
              <w:top w:val="single" w:color="auto" w:sz="4" w:space="0"/>
              <w:left w:val="nil"/>
              <w:bottom w:val="single" w:color="auto" w:sz="4" w:space="0"/>
              <w:right w:val="single" w:color="auto" w:sz="4" w:space="0"/>
            </w:tcBorders>
            <w:shd w:val="clear" w:color="auto" w:fill="auto"/>
            <w:vAlign w:val="center"/>
          </w:tcPr>
          <w:p w14:paraId="054F68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自评总分（分）</w:t>
            </w:r>
          </w:p>
        </w:tc>
        <w:tc>
          <w:tcPr>
            <w:tcW w:w="4330" w:type="dxa"/>
            <w:gridSpan w:val="6"/>
            <w:tcBorders>
              <w:top w:val="single" w:color="auto" w:sz="4" w:space="0"/>
              <w:left w:val="nil"/>
              <w:bottom w:val="single" w:color="auto" w:sz="4" w:space="0"/>
              <w:right w:val="single" w:color="000000" w:sz="4" w:space="0"/>
            </w:tcBorders>
            <w:shd w:val="clear" w:color="auto" w:fill="auto"/>
            <w:vAlign w:val="center"/>
          </w:tcPr>
          <w:p w14:paraId="2F7F0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99.2</w:t>
            </w:r>
          </w:p>
        </w:tc>
      </w:tr>
      <w:tr w14:paraId="4C95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78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14:paraId="58E2C96F">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1203" w:type="dxa"/>
            <w:gridSpan w:val="2"/>
            <w:vMerge w:val="continue"/>
            <w:tcBorders>
              <w:top w:val="single" w:color="auto" w:sz="4" w:space="0"/>
              <w:left w:val="nil"/>
              <w:bottom w:val="single" w:color="000000" w:sz="4" w:space="0"/>
              <w:right w:val="single" w:color="000000" w:sz="4" w:space="0"/>
            </w:tcBorders>
            <w:shd w:val="clear" w:color="auto" w:fill="auto"/>
            <w:vAlign w:val="center"/>
          </w:tcPr>
          <w:p w14:paraId="68686CA6">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1028" w:type="dxa"/>
            <w:gridSpan w:val="2"/>
            <w:vMerge w:val="continue"/>
            <w:tcBorders>
              <w:top w:val="single" w:color="auto" w:sz="4" w:space="0"/>
              <w:left w:val="nil"/>
              <w:bottom w:val="single" w:color="000000" w:sz="4" w:space="0"/>
              <w:right w:val="single" w:color="auto" w:sz="4" w:space="0"/>
            </w:tcBorders>
            <w:shd w:val="clear" w:color="auto" w:fill="auto"/>
            <w:vAlign w:val="center"/>
          </w:tcPr>
          <w:p w14:paraId="3F7874EA">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1022" w:type="dxa"/>
            <w:gridSpan w:val="2"/>
            <w:vMerge w:val="continue"/>
            <w:tcBorders>
              <w:top w:val="single" w:color="auto" w:sz="4" w:space="0"/>
              <w:left w:val="nil"/>
              <w:bottom w:val="single" w:color="000000" w:sz="4" w:space="0"/>
              <w:right w:val="single" w:color="000000" w:sz="4" w:space="0"/>
            </w:tcBorders>
            <w:shd w:val="clear" w:color="auto" w:fill="auto"/>
            <w:vAlign w:val="center"/>
          </w:tcPr>
          <w:p w14:paraId="768490A3">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1627" w:type="dxa"/>
            <w:gridSpan w:val="2"/>
            <w:tcBorders>
              <w:top w:val="nil"/>
              <w:left w:val="nil"/>
              <w:bottom w:val="single" w:color="auto" w:sz="4" w:space="0"/>
              <w:right w:val="single" w:color="auto" w:sz="4" w:space="0"/>
            </w:tcBorders>
            <w:shd w:val="clear" w:color="auto" w:fill="auto"/>
            <w:vAlign w:val="center"/>
          </w:tcPr>
          <w:p w14:paraId="667E67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部门</w:t>
            </w:r>
          </w:p>
          <w:p w14:paraId="44A494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联系人</w:t>
            </w:r>
          </w:p>
        </w:tc>
        <w:tc>
          <w:tcPr>
            <w:tcW w:w="1282" w:type="dxa"/>
            <w:gridSpan w:val="2"/>
            <w:tcBorders>
              <w:top w:val="nil"/>
              <w:left w:val="nil"/>
              <w:bottom w:val="single" w:color="auto" w:sz="4" w:space="0"/>
              <w:right w:val="single" w:color="auto" w:sz="4" w:space="0"/>
            </w:tcBorders>
            <w:shd w:val="clear" w:color="auto" w:fill="auto"/>
            <w:vAlign w:val="center"/>
          </w:tcPr>
          <w:p w14:paraId="52735C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项目办</w:t>
            </w:r>
          </w:p>
        </w:tc>
        <w:tc>
          <w:tcPr>
            <w:tcW w:w="936" w:type="dxa"/>
            <w:gridSpan w:val="2"/>
            <w:tcBorders>
              <w:top w:val="nil"/>
              <w:left w:val="nil"/>
              <w:bottom w:val="single" w:color="auto" w:sz="4" w:space="0"/>
              <w:right w:val="single" w:color="auto" w:sz="4" w:space="0"/>
            </w:tcBorders>
            <w:shd w:val="clear" w:color="auto" w:fill="auto"/>
            <w:vAlign w:val="center"/>
          </w:tcPr>
          <w:p w14:paraId="62BCD4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联系电话</w:t>
            </w:r>
          </w:p>
        </w:tc>
        <w:tc>
          <w:tcPr>
            <w:tcW w:w="2112" w:type="dxa"/>
            <w:gridSpan w:val="2"/>
            <w:tcBorders>
              <w:top w:val="single" w:color="auto" w:sz="4" w:space="0"/>
              <w:left w:val="nil"/>
              <w:bottom w:val="single" w:color="auto" w:sz="4" w:space="0"/>
              <w:right w:val="single" w:color="000000" w:sz="4" w:space="0"/>
            </w:tcBorders>
            <w:shd w:val="clear" w:color="auto" w:fill="auto"/>
            <w:vAlign w:val="center"/>
          </w:tcPr>
          <w:p w14:paraId="5AD2D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023-59263001</w:t>
            </w:r>
          </w:p>
        </w:tc>
      </w:tr>
      <w:tr w14:paraId="3041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jc w:val="center"/>
        </w:trPr>
        <w:tc>
          <w:tcPr>
            <w:tcW w:w="783" w:type="dxa"/>
            <w:vMerge w:val="restart"/>
            <w:tcBorders>
              <w:top w:val="nil"/>
              <w:left w:val="single" w:color="auto" w:sz="4" w:space="0"/>
              <w:bottom w:val="single" w:color="auto" w:sz="4" w:space="0"/>
              <w:right w:val="single" w:color="auto" w:sz="4" w:space="0"/>
            </w:tcBorders>
            <w:shd w:val="clear" w:color="auto" w:fill="auto"/>
            <w:vAlign w:val="center"/>
          </w:tcPr>
          <w:p w14:paraId="77D85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部门预算执行情况</w:t>
            </w:r>
          </w:p>
        </w:tc>
        <w:tc>
          <w:tcPr>
            <w:tcW w:w="1203" w:type="dxa"/>
            <w:gridSpan w:val="2"/>
            <w:vMerge w:val="restart"/>
            <w:tcBorders>
              <w:top w:val="nil"/>
              <w:left w:val="nil"/>
              <w:bottom w:val="nil"/>
              <w:right w:val="nil"/>
            </w:tcBorders>
            <w:shd w:val="clear" w:color="auto" w:fill="auto"/>
            <w:vAlign w:val="center"/>
          </w:tcPr>
          <w:p w14:paraId="505D6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预算</w:t>
            </w:r>
          </w:p>
          <w:p w14:paraId="43DEA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资金</w:t>
            </w:r>
          </w:p>
          <w:p w14:paraId="202034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（万元）</w:t>
            </w:r>
          </w:p>
        </w:tc>
        <w:tc>
          <w:tcPr>
            <w:tcW w:w="10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A7309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年初</w:t>
            </w:r>
          </w:p>
          <w:p w14:paraId="190BF7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预算数</w:t>
            </w:r>
          </w:p>
        </w:tc>
        <w:tc>
          <w:tcPr>
            <w:tcW w:w="2049" w:type="dxa"/>
            <w:gridSpan w:val="3"/>
            <w:tcBorders>
              <w:top w:val="single" w:color="auto" w:sz="4" w:space="0"/>
              <w:left w:val="nil"/>
              <w:bottom w:val="single" w:color="auto" w:sz="4" w:space="0"/>
              <w:right w:val="single" w:color="auto" w:sz="4" w:space="0"/>
            </w:tcBorders>
            <w:shd w:val="clear" w:color="auto" w:fill="auto"/>
            <w:vAlign w:val="center"/>
          </w:tcPr>
          <w:p w14:paraId="0DE97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全年（调整）</w:t>
            </w:r>
          </w:p>
          <w:p w14:paraId="2F59F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预算数</w:t>
            </w:r>
          </w:p>
        </w:tc>
        <w:tc>
          <w:tcPr>
            <w:tcW w:w="1882" w:type="dxa"/>
            <w:gridSpan w:val="3"/>
            <w:tcBorders>
              <w:top w:val="single" w:color="auto" w:sz="4" w:space="0"/>
              <w:left w:val="nil"/>
              <w:bottom w:val="single" w:color="auto" w:sz="4" w:space="0"/>
              <w:right w:val="single" w:color="auto" w:sz="4" w:space="0"/>
            </w:tcBorders>
            <w:shd w:val="clear" w:color="auto" w:fill="auto"/>
            <w:vAlign w:val="center"/>
          </w:tcPr>
          <w:p w14:paraId="26FBF8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全年执行数</w:t>
            </w:r>
          </w:p>
        </w:tc>
        <w:tc>
          <w:tcPr>
            <w:tcW w:w="936" w:type="dxa"/>
            <w:gridSpan w:val="2"/>
            <w:tcBorders>
              <w:top w:val="nil"/>
              <w:left w:val="nil"/>
              <w:bottom w:val="single" w:color="auto" w:sz="4" w:space="0"/>
              <w:right w:val="single" w:color="auto" w:sz="4" w:space="0"/>
            </w:tcBorders>
            <w:shd w:val="clear" w:color="auto" w:fill="auto"/>
            <w:vAlign w:val="center"/>
          </w:tcPr>
          <w:p w14:paraId="7BA34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执行率</w:t>
            </w:r>
          </w:p>
          <w:p w14:paraId="0E2E82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r>
              <w:rPr>
                <w:rFonts w:hint="default" w:ascii="Times New Roman" w:hAnsi="Times New Roman" w:eastAsia="方正仿宋_GBK"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w:t>
            </w:r>
          </w:p>
        </w:tc>
        <w:tc>
          <w:tcPr>
            <w:tcW w:w="1012" w:type="dxa"/>
            <w:tcBorders>
              <w:top w:val="nil"/>
              <w:left w:val="nil"/>
              <w:bottom w:val="single" w:color="auto" w:sz="4" w:space="0"/>
              <w:right w:val="single" w:color="auto" w:sz="4" w:space="0"/>
            </w:tcBorders>
            <w:shd w:val="clear" w:color="auto" w:fill="auto"/>
            <w:vAlign w:val="center"/>
          </w:tcPr>
          <w:p w14:paraId="5171C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执行率</w:t>
            </w:r>
          </w:p>
          <w:p w14:paraId="5EC608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权重</w:t>
            </w:r>
          </w:p>
        </w:tc>
        <w:tc>
          <w:tcPr>
            <w:tcW w:w="1100" w:type="dxa"/>
            <w:tcBorders>
              <w:top w:val="nil"/>
              <w:left w:val="nil"/>
              <w:bottom w:val="single" w:color="auto" w:sz="4" w:space="0"/>
              <w:right w:val="single" w:color="auto" w:sz="4" w:space="0"/>
            </w:tcBorders>
            <w:shd w:val="clear" w:color="auto" w:fill="auto"/>
            <w:vAlign w:val="center"/>
          </w:tcPr>
          <w:p w14:paraId="12AE2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执行率</w:t>
            </w:r>
          </w:p>
          <w:p w14:paraId="72844B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得分</w:t>
            </w:r>
          </w:p>
          <w:p w14:paraId="19A3ED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r>
      <w:tr w14:paraId="7A57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jc w:val="center"/>
        </w:trPr>
        <w:tc>
          <w:tcPr>
            <w:tcW w:w="783" w:type="dxa"/>
            <w:vMerge w:val="continue"/>
            <w:tcBorders>
              <w:top w:val="nil"/>
              <w:left w:val="single" w:color="auto" w:sz="4" w:space="0"/>
              <w:bottom w:val="single" w:color="auto" w:sz="4" w:space="0"/>
              <w:right w:val="single" w:color="auto" w:sz="4" w:space="0"/>
            </w:tcBorders>
            <w:shd w:val="clear" w:color="auto" w:fill="auto"/>
            <w:vAlign w:val="center"/>
          </w:tcPr>
          <w:p w14:paraId="78F8134A">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1203" w:type="dxa"/>
            <w:gridSpan w:val="2"/>
            <w:vMerge w:val="continue"/>
            <w:tcBorders>
              <w:top w:val="nil"/>
              <w:left w:val="nil"/>
              <w:bottom w:val="nil"/>
              <w:right w:val="nil"/>
            </w:tcBorders>
            <w:shd w:val="clear" w:color="auto" w:fill="auto"/>
            <w:vAlign w:val="center"/>
          </w:tcPr>
          <w:p w14:paraId="2E6E48EB">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1028"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B9196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1491.9</w:t>
            </w:r>
          </w:p>
        </w:tc>
        <w:tc>
          <w:tcPr>
            <w:tcW w:w="2049" w:type="dxa"/>
            <w:gridSpan w:val="3"/>
            <w:tcBorders>
              <w:top w:val="single" w:color="auto" w:sz="4" w:space="0"/>
              <w:left w:val="nil"/>
              <w:bottom w:val="single" w:color="auto" w:sz="4" w:space="0"/>
              <w:right w:val="single" w:color="auto" w:sz="4" w:space="0"/>
            </w:tcBorders>
            <w:shd w:val="clear" w:color="auto" w:fill="auto"/>
            <w:vAlign w:val="center"/>
          </w:tcPr>
          <w:p w14:paraId="3306B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220" w:firstLineChars="100"/>
              <w:jc w:val="right"/>
              <w:textAlignment w:val="center"/>
              <w:rPr>
                <w:rFonts w:hint="default" w:ascii="Times New Roman" w:hAnsi="Times New Roman" w:eastAsia="宋体" w:cs="Times New Roman"/>
                <w:i w:val="0"/>
                <w:iCs w:val="0"/>
                <w:color w:val="000000"/>
                <w:kern w:val="0"/>
                <w:sz w:val="22"/>
                <w:szCs w:val="22"/>
              </w:rPr>
            </w:pPr>
            <w:r>
              <w:rPr>
                <w:rFonts w:hint="default" w:ascii="Times New Roman" w:hAnsi="Times New Roman" w:eastAsia="宋体" w:cs="Times New Roman"/>
                <w:i w:val="0"/>
                <w:iCs w:val="0"/>
                <w:color w:val="000000"/>
                <w:kern w:val="0"/>
                <w:sz w:val="22"/>
                <w:szCs w:val="22"/>
                <w:lang w:val="en-US" w:eastAsia="zh-CN" w:bidi="ar"/>
              </w:rPr>
              <w:t xml:space="preserve">3202.73 </w:t>
            </w:r>
          </w:p>
        </w:tc>
        <w:tc>
          <w:tcPr>
            <w:tcW w:w="1882" w:type="dxa"/>
            <w:gridSpan w:val="3"/>
            <w:tcBorders>
              <w:top w:val="single" w:color="auto" w:sz="4" w:space="0"/>
              <w:left w:val="nil"/>
              <w:bottom w:val="single" w:color="auto" w:sz="4" w:space="0"/>
              <w:right w:val="single" w:color="auto" w:sz="4" w:space="0"/>
            </w:tcBorders>
            <w:shd w:val="clear" w:color="auto" w:fill="auto"/>
            <w:vAlign w:val="center"/>
          </w:tcPr>
          <w:p w14:paraId="5B3DA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2810.39</w:t>
            </w:r>
          </w:p>
        </w:tc>
        <w:tc>
          <w:tcPr>
            <w:tcW w:w="936" w:type="dxa"/>
            <w:gridSpan w:val="2"/>
            <w:tcBorders>
              <w:top w:val="nil"/>
              <w:left w:val="nil"/>
              <w:bottom w:val="single" w:color="auto" w:sz="4" w:space="0"/>
              <w:right w:val="single" w:color="auto" w:sz="4" w:space="0"/>
            </w:tcBorders>
            <w:shd w:val="clear" w:color="auto" w:fill="auto"/>
            <w:vAlign w:val="center"/>
          </w:tcPr>
          <w:p w14:paraId="2373A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87.75</w:t>
            </w:r>
          </w:p>
        </w:tc>
        <w:tc>
          <w:tcPr>
            <w:tcW w:w="1012" w:type="dxa"/>
            <w:tcBorders>
              <w:top w:val="nil"/>
              <w:left w:val="nil"/>
              <w:bottom w:val="single" w:color="auto" w:sz="4" w:space="0"/>
              <w:right w:val="single" w:color="auto" w:sz="4" w:space="0"/>
            </w:tcBorders>
            <w:shd w:val="clear" w:color="auto" w:fill="auto"/>
            <w:vAlign w:val="center"/>
          </w:tcPr>
          <w:p w14:paraId="54172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10</w:t>
            </w:r>
          </w:p>
        </w:tc>
        <w:tc>
          <w:tcPr>
            <w:tcW w:w="1100" w:type="dxa"/>
            <w:tcBorders>
              <w:top w:val="nil"/>
              <w:left w:val="nil"/>
              <w:bottom w:val="single" w:color="auto" w:sz="4" w:space="0"/>
              <w:right w:val="single" w:color="auto" w:sz="4" w:space="0"/>
            </w:tcBorders>
            <w:shd w:val="clear" w:color="auto" w:fill="auto"/>
            <w:vAlign w:val="center"/>
          </w:tcPr>
          <w:p w14:paraId="468C7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96</w:t>
            </w:r>
          </w:p>
        </w:tc>
      </w:tr>
      <w:tr w14:paraId="0B87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83" w:type="dxa"/>
            <w:vMerge w:val="restart"/>
            <w:tcBorders>
              <w:top w:val="nil"/>
              <w:left w:val="single" w:color="auto" w:sz="4" w:space="0"/>
              <w:bottom w:val="single" w:color="auto" w:sz="4" w:space="0"/>
              <w:right w:val="single" w:color="auto" w:sz="4" w:space="0"/>
            </w:tcBorders>
            <w:shd w:val="clear" w:color="auto" w:fill="auto"/>
            <w:vAlign w:val="center"/>
          </w:tcPr>
          <w:p w14:paraId="709D7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当年绩效目标</w:t>
            </w:r>
          </w:p>
        </w:tc>
        <w:tc>
          <w:tcPr>
            <w:tcW w:w="2231" w:type="dxa"/>
            <w:gridSpan w:val="4"/>
            <w:tcBorders>
              <w:top w:val="single" w:color="auto" w:sz="4" w:space="0"/>
              <w:left w:val="nil"/>
              <w:bottom w:val="single" w:color="auto" w:sz="4" w:space="0"/>
              <w:right w:val="single" w:color="000000" w:sz="4" w:space="0"/>
            </w:tcBorders>
            <w:shd w:val="clear" w:color="auto" w:fill="auto"/>
            <w:vAlign w:val="center"/>
          </w:tcPr>
          <w:p w14:paraId="44AB41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年初绩效目标</w:t>
            </w:r>
          </w:p>
        </w:tc>
        <w:tc>
          <w:tcPr>
            <w:tcW w:w="3931" w:type="dxa"/>
            <w:gridSpan w:val="6"/>
            <w:tcBorders>
              <w:top w:val="single" w:color="auto" w:sz="4" w:space="0"/>
              <w:left w:val="nil"/>
              <w:bottom w:val="single" w:color="auto" w:sz="4" w:space="0"/>
              <w:right w:val="single" w:color="000000" w:sz="4" w:space="0"/>
            </w:tcBorders>
            <w:shd w:val="clear" w:color="auto" w:fill="auto"/>
            <w:vAlign w:val="center"/>
          </w:tcPr>
          <w:p w14:paraId="476E7E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全年（调整）绩效目标</w:t>
            </w:r>
          </w:p>
        </w:tc>
        <w:tc>
          <w:tcPr>
            <w:tcW w:w="3048" w:type="dxa"/>
            <w:gridSpan w:val="4"/>
            <w:tcBorders>
              <w:top w:val="single" w:color="auto" w:sz="4" w:space="0"/>
              <w:left w:val="nil"/>
              <w:bottom w:val="single" w:color="auto" w:sz="4" w:space="0"/>
              <w:right w:val="single" w:color="000000" w:sz="4" w:space="0"/>
            </w:tcBorders>
            <w:shd w:val="clear" w:color="auto" w:fill="auto"/>
            <w:vAlign w:val="center"/>
          </w:tcPr>
          <w:p w14:paraId="387D1E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全年目标实际完成情况</w:t>
            </w:r>
          </w:p>
        </w:tc>
      </w:tr>
      <w:tr w14:paraId="551F7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1" w:hRule="atLeast"/>
          <w:jc w:val="center"/>
        </w:trPr>
        <w:tc>
          <w:tcPr>
            <w:tcW w:w="783" w:type="dxa"/>
            <w:vMerge w:val="continue"/>
            <w:tcBorders>
              <w:top w:val="nil"/>
              <w:left w:val="single" w:color="auto" w:sz="4" w:space="0"/>
              <w:bottom w:val="single" w:color="auto" w:sz="4" w:space="0"/>
              <w:right w:val="single" w:color="auto" w:sz="4" w:space="0"/>
            </w:tcBorders>
            <w:shd w:val="clear" w:color="auto" w:fill="auto"/>
            <w:vAlign w:val="center"/>
          </w:tcPr>
          <w:p w14:paraId="32AB7FC4">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2231" w:type="dxa"/>
            <w:gridSpan w:val="4"/>
            <w:tcBorders>
              <w:top w:val="single" w:color="auto" w:sz="4" w:space="0"/>
              <w:left w:val="nil"/>
              <w:bottom w:val="single" w:color="auto" w:sz="4" w:space="0"/>
              <w:right w:val="single" w:color="000000" w:sz="4" w:space="0"/>
            </w:tcBorders>
            <w:shd w:val="clear" w:color="auto" w:fill="auto"/>
            <w:vAlign w:val="center"/>
          </w:tcPr>
          <w:p w14:paraId="02B304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w:t>
            </w:r>
            <w:r>
              <w:rPr>
                <w:rFonts w:hint="eastAsia" w:ascii="方正仿宋_GBK" w:hAnsi="方正仿宋_GBK" w:eastAsia="方正仿宋_GBK" w:cs="方正仿宋_GBK"/>
                <w:kern w:val="0"/>
                <w:sz w:val="22"/>
                <w:szCs w:val="22"/>
                <w:lang w:val="en-US" w:eastAsia="zh-CN" w:bidi="ar"/>
              </w:rPr>
              <w:t>保障机关日常运行运转，以及工作人员待遇。</w:t>
            </w:r>
          </w:p>
          <w:p w14:paraId="0D2F53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w:t>
            </w:r>
            <w:r>
              <w:rPr>
                <w:rFonts w:hint="eastAsia" w:ascii="方正仿宋_GBK" w:hAnsi="方正仿宋_GBK" w:eastAsia="方正仿宋_GBK" w:cs="方正仿宋_GBK"/>
                <w:kern w:val="0"/>
                <w:sz w:val="22"/>
                <w:szCs w:val="22"/>
                <w:lang w:val="en-US" w:eastAsia="zh-CN" w:bidi="ar"/>
              </w:rPr>
              <w:t>保障村社区日常运转，促使村社干部履职尽责。</w:t>
            </w:r>
          </w:p>
          <w:p w14:paraId="33BB4F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w:t>
            </w:r>
            <w:r>
              <w:rPr>
                <w:rFonts w:hint="eastAsia" w:ascii="方正仿宋_GBK" w:hAnsi="方正仿宋_GBK" w:eastAsia="方正仿宋_GBK" w:cs="方正仿宋_GBK"/>
                <w:kern w:val="0"/>
                <w:sz w:val="22"/>
                <w:szCs w:val="22"/>
                <w:lang w:val="en-US" w:eastAsia="zh-CN" w:bidi="ar"/>
              </w:rPr>
              <w:t>加强综合治理，维护社会稳定，妥善处理突发性、群体性事件，调节和处理好各种利益矛盾和纠纷。</w:t>
            </w:r>
          </w:p>
        </w:tc>
        <w:tc>
          <w:tcPr>
            <w:tcW w:w="3931" w:type="dxa"/>
            <w:gridSpan w:val="6"/>
            <w:tcBorders>
              <w:top w:val="single" w:color="auto" w:sz="4" w:space="0"/>
              <w:left w:val="nil"/>
              <w:bottom w:val="single" w:color="auto" w:sz="4" w:space="0"/>
              <w:right w:val="single" w:color="000000" w:sz="4" w:space="0"/>
            </w:tcBorders>
            <w:shd w:val="clear" w:color="auto" w:fill="auto"/>
            <w:vAlign w:val="center"/>
          </w:tcPr>
          <w:p w14:paraId="0020D5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w:t>
            </w:r>
            <w:r>
              <w:rPr>
                <w:rFonts w:hint="eastAsia" w:ascii="方正仿宋_GBK" w:hAnsi="方正仿宋_GBK" w:eastAsia="方正仿宋_GBK" w:cs="方正仿宋_GBK"/>
                <w:kern w:val="0"/>
                <w:sz w:val="22"/>
                <w:szCs w:val="22"/>
                <w:lang w:val="en-US" w:eastAsia="zh-CN" w:bidi="ar"/>
              </w:rPr>
              <w:t>实施基础设施建设，便于群众出行，提高群众生活质量。</w:t>
            </w:r>
            <w:r>
              <w:rPr>
                <w:rFonts w:hint="default" w:ascii="Times New Roman" w:hAnsi="Times New Roman" w:eastAsia="方正仿宋_GBK" w:cs="Times New Roman"/>
                <w:kern w:val="0"/>
                <w:sz w:val="22"/>
                <w:szCs w:val="22"/>
                <w:lang w:val="en-US" w:eastAsia="zh-CN" w:bidi="ar"/>
              </w:rPr>
              <w:t>2.</w:t>
            </w:r>
            <w:r>
              <w:rPr>
                <w:rFonts w:hint="eastAsia" w:ascii="方正仿宋_GBK" w:hAnsi="方正仿宋_GBK" w:eastAsia="方正仿宋_GBK" w:cs="方正仿宋_GBK"/>
                <w:kern w:val="0"/>
                <w:sz w:val="22"/>
                <w:szCs w:val="22"/>
                <w:lang w:val="en-US" w:eastAsia="zh-CN" w:bidi="ar"/>
              </w:rPr>
              <w:t>规范政府财政项目支出行为，健全科学的决策、建设和监督管理制度，提高政府项目运行效益。</w:t>
            </w:r>
          </w:p>
        </w:tc>
        <w:tc>
          <w:tcPr>
            <w:tcW w:w="3048" w:type="dxa"/>
            <w:gridSpan w:val="4"/>
            <w:tcBorders>
              <w:top w:val="single" w:color="auto" w:sz="4" w:space="0"/>
              <w:left w:val="nil"/>
              <w:bottom w:val="single" w:color="auto" w:sz="4" w:space="0"/>
              <w:right w:val="single" w:color="000000" w:sz="4" w:space="0"/>
            </w:tcBorders>
            <w:shd w:val="clear" w:color="auto" w:fill="auto"/>
            <w:vAlign w:val="center"/>
          </w:tcPr>
          <w:p w14:paraId="77D5AE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w:t>
            </w:r>
            <w:r>
              <w:rPr>
                <w:rFonts w:hint="eastAsia" w:ascii="方正仿宋_GBK" w:hAnsi="方正仿宋_GBK" w:eastAsia="方正仿宋_GBK" w:cs="方正仿宋_GBK"/>
                <w:kern w:val="0"/>
                <w:sz w:val="22"/>
                <w:szCs w:val="22"/>
                <w:lang w:val="en-US" w:eastAsia="zh-CN" w:bidi="ar"/>
              </w:rPr>
              <w:t>贯彻执行上级的各项方针政策，稳定和完善农村基本经营管理，加强农业基础设施建设，改善农业生产条件，确保各项工作目标任务圆满完成。</w:t>
            </w:r>
            <w:r>
              <w:rPr>
                <w:rFonts w:hint="default" w:ascii="Times New Roman" w:hAnsi="Times New Roman" w:eastAsia="方正仿宋_GBK" w:cs="Times New Roman"/>
                <w:kern w:val="0"/>
                <w:sz w:val="22"/>
                <w:szCs w:val="22"/>
                <w:lang w:val="en-US" w:eastAsia="zh-CN" w:bidi="ar"/>
              </w:rPr>
              <w:t>2.</w:t>
            </w:r>
            <w:r>
              <w:rPr>
                <w:rFonts w:hint="eastAsia" w:ascii="方正仿宋_GBK" w:hAnsi="方正仿宋_GBK" w:eastAsia="方正仿宋_GBK" w:cs="方正仿宋_GBK"/>
                <w:kern w:val="0"/>
                <w:sz w:val="22"/>
                <w:szCs w:val="22"/>
                <w:lang w:val="en-US" w:eastAsia="zh-CN" w:bidi="ar"/>
              </w:rPr>
              <w:t>精准发力，落实</w:t>
            </w:r>
            <w:r>
              <w:rPr>
                <w:rFonts w:hint="default" w:ascii="Times New Roman" w:hAnsi="Times New Roman" w:eastAsia="方正仿宋_GBK"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精准扶贫</w:t>
            </w:r>
            <w:r>
              <w:rPr>
                <w:rFonts w:hint="default" w:ascii="Times New Roman" w:hAnsi="Times New Roman" w:eastAsia="方正仿宋_GBK"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推进工作；加强项目建设，促进农业发展、加强人居环境提升、各项补贴、基础设施等项目建设。</w:t>
            </w:r>
          </w:p>
        </w:tc>
      </w:tr>
      <w:tr w14:paraId="66CF6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1" w:hRule="atLeast"/>
          <w:jc w:val="center"/>
        </w:trPr>
        <w:tc>
          <w:tcPr>
            <w:tcW w:w="783" w:type="dxa"/>
            <w:vMerge w:val="restart"/>
            <w:tcBorders>
              <w:top w:val="nil"/>
              <w:left w:val="single" w:color="auto" w:sz="4" w:space="0"/>
              <w:bottom w:val="nil"/>
              <w:right w:val="single" w:color="auto" w:sz="4" w:space="0"/>
            </w:tcBorders>
            <w:shd w:val="clear" w:color="auto" w:fill="auto"/>
            <w:vAlign w:val="center"/>
          </w:tcPr>
          <w:p w14:paraId="643AE1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绩效指标</w:t>
            </w:r>
          </w:p>
        </w:tc>
        <w:tc>
          <w:tcPr>
            <w:tcW w:w="777" w:type="dxa"/>
            <w:tcBorders>
              <w:top w:val="nil"/>
              <w:left w:val="nil"/>
              <w:bottom w:val="single" w:color="auto" w:sz="4" w:space="0"/>
              <w:right w:val="nil"/>
            </w:tcBorders>
            <w:shd w:val="clear" w:color="auto" w:fill="auto"/>
            <w:vAlign w:val="center"/>
          </w:tcPr>
          <w:p w14:paraId="50484C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6522B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名称</w:t>
            </w:r>
          </w:p>
        </w:tc>
        <w:tc>
          <w:tcPr>
            <w:tcW w:w="537" w:type="dxa"/>
            <w:gridSpan w:val="2"/>
            <w:tcBorders>
              <w:top w:val="nil"/>
              <w:left w:val="single" w:color="auto" w:sz="4" w:space="0"/>
              <w:bottom w:val="single" w:color="auto" w:sz="4" w:space="0"/>
              <w:right w:val="single" w:color="auto" w:sz="4" w:space="0"/>
            </w:tcBorders>
            <w:shd w:val="clear" w:color="auto" w:fill="auto"/>
            <w:vAlign w:val="center"/>
          </w:tcPr>
          <w:p w14:paraId="73E79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计量单位</w:t>
            </w:r>
          </w:p>
        </w:tc>
        <w:tc>
          <w:tcPr>
            <w:tcW w:w="917" w:type="dxa"/>
            <w:tcBorders>
              <w:top w:val="nil"/>
              <w:left w:val="nil"/>
              <w:bottom w:val="single" w:color="auto" w:sz="4" w:space="0"/>
              <w:right w:val="single" w:color="auto" w:sz="4" w:space="0"/>
            </w:tcBorders>
            <w:shd w:val="clear" w:color="auto" w:fill="auto"/>
            <w:vAlign w:val="center"/>
          </w:tcPr>
          <w:p w14:paraId="7DA57D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551E4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性质</w:t>
            </w:r>
          </w:p>
        </w:tc>
        <w:tc>
          <w:tcPr>
            <w:tcW w:w="955" w:type="dxa"/>
            <w:tcBorders>
              <w:top w:val="nil"/>
              <w:left w:val="nil"/>
              <w:bottom w:val="single" w:color="auto" w:sz="4" w:space="0"/>
              <w:right w:val="single" w:color="auto" w:sz="4" w:space="0"/>
            </w:tcBorders>
            <w:shd w:val="clear" w:color="auto" w:fill="auto"/>
            <w:vAlign w:val="center"/>
          </w:tcPr>
          <w:p w14:paraId="1E8FF4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年初</w:t>
            </w:r>
          </w:p>
          <w:p w14:paraId="43B6EC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5871A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值</w:t>
            </w:r>
          </w:p>
        </w:tc>
        <w:tc>
          <w:tcPr>
            <w:tcW w:w="1094" w:type="dxa"/>
            <w:gridSpan w:val="2"/>
            <w:tcBorders>
              <w:top w:val="nil"/>
              <w:left w:val="nil"/>
              <w:bottom w:val="single" w:color="auto" w:sz="4" w:space="0"/>
              <w:right w:val="single" w:color="auto" w:sz="4" w:space="0"/>
            </w:tcBorders>
            <w:shd w:val="clear" w:color="auto" w:fill="auto"/>
            <w:vAlign w:val="center"/>
          </w:tcPr>
          <w:p w14:paraId="5D48FA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调整</w:t>
            </w:r>
          </w:p>
          <w:p w14:paraId="71E5DE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07056E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值</w:t>
            </w:r>
          </w:p>
        </w:tc>
        <w:tc>
          <w:tcPr>
            <w:tcW w:w="1066" w:type="dxa"/>
            <w:gridSpan w:val="2"/>
            <w:tcBorders>
              <w:top w:val="nil"/>
              <w:left w:val="nil"/>
              <w:bottom w:val="single" w:color="auto" w:sz="4" w:space="0"/>
              <w:right w:val="single" w:color="auto" w:sz="4" w:space="0"/>
            </w:tcBorders>
            <w:shd w:val="clear" w:color="auto" w:fill="auto"/>
            <w:vAlign w:val="center"/>
          </w:tcPr>
          <w:p w14:paraId="6D937B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w:t>
            </w:r>
          </w:p>
          <w:p w14:paraId="5557F6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完成</w:t>
            </w:r>
          </w:p>
          <w:p w14:paraId="3B0890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值</w:t>
            </w:r>
          </w:p>
        </w:tc>
        <w:tc>
          <w:tcPr>
            <w:tcW w:w="816" w:type="dxa"/>
            <w:tcBorders>
              <w:top w:val="nil"/>
              <w:left w:val="nil"/>
              <w:bottom w:val="single" w:color="auto" w:sz="4" w:space="0"/>
              <w:right w:val="single" w:color="auto" w:sz="4" w:space="0"/>
            </w:tcBorders>
            <w:shd w:val="clear" w:color="auto" w:fill="auto"/>
            <w:vAlign w:val="center"/>
          </w:tcPr>
          <w:p w14:paraId="661369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得分</w:t>
            </w:r>
          </w:p>
          <w:p w14:paraId="637A7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系数</w:t>
            </w:r>
          </w:p>
          <w:p w14:paraId="46B863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r>
              <w:rPr>
                <w:rFonts w:hint="default" w:ascii="Times New Roman" w:hAnsi="Times New Roman" w:eastAsia="方正仿宋_GBK"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w:t>
            </w:r>
          </w:p>
        </w:tc>
        <w:tc>
          <w:tcPr>
            <w:tcW w:w="711" w:type="dxa"/>
            <w:tcBorders>
              <w:top w:val="nil"/>
              <w:left w:val="nil"/>
              <w:bottom w:val="single" w:color="auto" w:sz="4" w:space="0"/>
              <w:right w:val="single" w:color="auto" w:sz="4" w:space="0"/>
            </w:tcBorders>
            <w:shd w:val="clear" w:color="auto" w:fill="auto"/>
            <w:vAlign w:val="center"/>
          </w:tcPr>
          <w:p w14:paraId="5917E1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指标权重</w:t>
            </w:r>
          </w:p>
          <w:p w14:paraId="047F7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c>
          <w:tcPr>
            <w:tcW w:w="1237" w:type="dxa"/>
            <w:gridSpan w:val="2"/>
            <w:tcBorders>
              <w:top w:val="nil"/>
              <w:left w:val="nil"/>
              <w:bottom w:val="single" w:color="auto" w:sz="4" w:space="0"/>
              <w:right w:val="single" w:color="auto" w:sz="4" w:space="0"/>
            </w:tcBorders>
            <w:shd w:val="clear" w:color="auto" w:fill="auto"/>
            <w:vAlign w:val="center"/>
          </w:tcPr>
          <w:p w14:paraId="322CD1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69DB28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得分</w:t>
            </w:r>
          </w:p>
          <w:p w14:paraId="1E6065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c>
          <w:tcPr>
            <w:tcW w:w="1100" w:type="dxa"/>
            <w:tcBorders>
              <w:top w:val="nil"/>
              <w:left w:val="nil"/>
              <w:bottom w:val="single" w:color="auto" w:sz="4" w:space="0"/>
              <w:right w:val="single" w:color="auto" w:sz="4" w:space="0"/>
            </w:tcBorders>
            <w:shd w:val="clear" w:color="auto" w:fill="auto"/>
            <w:vAlign w:val="center"/>
          </w:tcPr>
          <w:p w14:paraId="213D81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是否核心</w:t>
            </w:r>
          </w:p>
          <w:p w14:paraId="17BE8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tc>
      </w:tr>
      <w:tr w14:paraId="146D3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83" w:type="dxa"/>
            <w:vMerge w:val="continue"/>
            <w:tcBorders>
              <w:top w:val="nil"/>
              <w:left w:val="single" w:color="auto" w:sz="4" w:space="0"/>
              <w:bottom w:val="nil"/>
              <w:right w:val="single" w:color="auto" w:sz="4" w:space="0"/>
            </w:tcBorders>
            <w:shd w:val="clear" w:color="auto" w:fill="auto"/>
            <w:vAlign w:val="center"/>
          </w:tcPr>
          <w:p w14:paraId="51DC2480">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777" w:type="dxa"/>
            <w:tcBorders>
              <w:top w:val="nil"/>
              <w:left w:val="nil"/>
              <w:bottom w:val="single" w:color="auto" w:sz="4" w:space="0"/>
              <w:right w:val="nil"/>
            </w:tcBorders>
            <w:shd w:val="clear" w:color="auto" w:fill="auto"/>
            <w:vAlign w:val="center"/>
          </w:tcPr>
          <w:p w14:paraId="4DD69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执行序时进度</w:t>
            </w:r>
          </w:p>
        </w:tc>
        <w:tc>
          <w:tcPr>
            <w:tcW w:w="537" w:type="dxa"/>
            <w:gridSpan w:val="2"/>
            <w:tcBorders>
              <w:top w:val="nil"/>
              <w:left w:val="single" w:color="auto" w:sz="4" w:space="0"/>
              <w:bottom w:val="single" w:color="auto" w:sz="4" w:space="0"/>
              <w:right w:val="nil"/>
            </w:tcBorders>
            <w:shd w:val="clear" w:color="auto" w:fill="auto"/>
            <w:vAlign w:val="center"/>
          </w:tcPr>
          <w:p w14:paraId="29CEF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月</w:t>
            </w:r>
          </w:p>
        </w:tc>
        <w:tc>
          <w:tcPr>
            <w:tcW w:w="917" w:type="dxa"/>
            <w:tcBorders>
              <w:top w:val="nil"/>
              <w:left w:val="single" w:color="auto" w:sz="4" w:space="0"/>
              <w:bottom w:val="single" w:color="auto" w:sz="4" w:space="0"/>
              <w:right w:val="nil"/>
            </w:tcBorders>
            <w:shd w:val="clear" w:color="auto" w:fill="auto"/>
            <w:vAlign w:val="center"/>
          </w:tcPr>
          <w:p w14:paraId="45CE40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955" w:type="dxa"/>
            <w:tcBorders>
              <w:top w:val="nil"/>
              <w:left w:val="single" w:color="auto" w:sz="4" w:space="0"/>
              <w:bottom w:val="single" w:color="auto" w:sz="4" w:space="0"/>
              <w:right w:val="nil"/>
            </w:tcBorders>
            <w:shd w:val="clear" w:color="auto" w:fill="auto"/>
            <w:vAlign w:val="center"/>
          </w:tcPr>
          <w:p w14:paraId="6054D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12</w:t>
            </w:r>
          </w:p>
        </w:tc>
        <w:tc>
          <w:tcPr>
            <w:tcW w:w="1094" w:type="dxa"/>
            <w:gridSpan w:val="2"/>
            <w:tcBorders>
              <w:top w:val="nil"/>
              <w:left w:val="single" w:color="auto" w:sz="4" w:space="0"/>
              <w:bottom w:val="single" w:color="auto" w:sz="4" w:space="0"/>
              <w:right w:val="nil"/>
            </w:tcBorders>
            <w:shd w:val="clear" w:color="auto" w:fill="auto"/>
            <w:vAlign w:val="center"/>
          </w:tcPr>
          <w:p w14:paraId="32633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w:t>
            </w:r>
          </w:p>
        </w:tc>
        <w:tc>
          <w:tcPr>
            <w:tcW w:w="1066" w:type="dxa"/>
            <w:gridSpan w:val="2"/>
            <w:tcBorders>
              <w:top w:val="nil"/>
              <w:left w:val="single" w:color="auto" w:sz="4" w:space="0"/>
              <w:bottom w:val="single" w:color="auto" w:sz="4" w:space="0"/>
              <w:right w:val="nil"/>
            </w:tcBorders>
            <w:shd w:val="clear" w:color="auto" w:fill="auto"/>
            <w:vAlign w:val="center"/>
          </w:tcPr>
          <w:p w14:paraId="2AA6B9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12</w:t>
            </w:r>
          </w:p>
        </w:tc>
        <w:tc>
          <w:tcPr>
            <w:tcW w:w="816" w:type="dxa"/>
            <w:tcBorders>
              <w:top w:val="nil"/>
              <w:left w:val="single" w:color="auto" w:sz="4" w:space="0"/>
              <w:bottom w:val="single" w:color="auto" w:sz="4" w:space="0"/>
              <w:right w:val="nil"/>
            </w:tcBorders>
            <w:shd w:val="clear" w:color="auto" w:fill="auto"/>
            <w:vAlign w:val="center"/>
          </w:tcPr>
          <w:p w14:paraId="317AC5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100</w:t>
            </w:r>
          </w:p>
        </w:tc>
        <w:tc>
          <w:tcPr>
            <w:tcW w:w="711" w:type="dxa"/>
            <w:tcBorders>
              <w:top w:val="nil"/>
              <w:left w:val="single" w:color="auto" w:sz="4" w:space="0"/>
              <w:bottom w:val="single" w:color="auto" w:sz="4" w:space="0"/>
              <w:right w:val="nil"/>
            </w:tcBorders>
            <w:shd w:val="clear" w:color="auto" w:fill="auto"/>
            <w:vAlign w:val="center"/>
          </w:tcPr>
          <w:p w14:paraId="53705E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50</w:t>
            </w:r>
          </w:p>
        </w:tc>
        <w:tc>
          <w:tcPr>
            <w:tcW w:w="1237" w:type="dxa"/>
            <w:gridSpan w:val="2"/>
            <w:tcBorders>
              <w:top w:val="nil"/>
              <w:left w:val="single" w:color="auto" w:sz="4" w:space="0"/>
              <w:bottom w:val="single" w:color="auto" w:sz="4" w:space="0"/>
              <w:right w:val="nil"/>
            </w:tcBorders>
            <w:shd w:val="clear" w:color="auto" w:fill="auto"/>
            <w:vAlign w:val="center"/>
          </w:tcPr>
          <w:p w14:paraId="761552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50</w:t>
            </w:r>
          </w:p>
        </w:tc>
        <w:tc>
          <w:tcPr>
            <w:tcW w:w="1100" w:type="dxa"/>
            <w:tcBorders>
              <w:top w:val="nil"/>
              <w:left w:val="single" w:color="auto" w:sz="4" w:space="0"/>
              <w:bottom w:val="single" w:color="auto" w:sz="4" w:space="0"/>
              <w:right w:val="single" w:color="auto" w:sz="4" w:space="0"/>
            </w:tcBorders>
            <w:shd w:val="clear" w:color="auto" w:fill="auto"/>
            <w:vAlign w:val="center"/>
          </w:tcPr>
          <w:p w14:paraId="22F5C1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w:t>
            </w:r>
          </w:p>
        </w:tc>
      </w:tr>
      <w:tr w14:paraId="583B9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783" w:type="dxa"/>
            <w:vMerge w:val="continue"/>
            <w:tcBorders>
              <w:top w:val="nil"/>
              <w:left w:val="single" w:color="auto" w:sz="4" w:space="0"/>
              <w:bottom w:val="nil"/>
              <w:right w:val="single" w:color="auto" w:sz="4" w:space="0"/>
            </w:tcBorders>
            <w:shd w:val="clear" w:color="auto" w:fill="auto"/>
            <w:vAlign w:val="center"/>
          </w:tcPr>
          <w:p w14:paraId="72993725">
            <w:pPr>
              <w:keepNext w:val="0"/>
              <w:keepLines w:val="0"/>
              <w:pageBreakBefore w:val="0"/>
              <w:kinsoku/>
              <w:wordWrap/>
              <w:overflowPunct/>
              <w:topLinePunct w:val="0"/>
              <w:autoSpaceDE/>
              <w:autoSpaceDN/>
              <w:bidi w:val="0"/>
              <w:adjustRightInd/>
              <w:snapToGrid/>
              <w:spacing w:line="360" w:lineRule="exact"/>
              <w:rPr>
                <w:rFonts w:hint="default" w:ascii="Times New Roman" w:hAnsi="Times New Roman" w:cs="Times New Roman"/>
                <w:sz w:val="20"/>
                <w:szCs w:val="20"/>
              </w:rPr>
            </w:pPr>
          </w:p>
        </w:tc>
        <w:tc>
          <w:tcPr>
            <w:tcW w:w="777" w:type="dxa"/>
            <w:tcBorders>
              <w:top w:val="nil"/>
              <w:left w:val="nil"/>
              <w:bottom w:val="single" w:color="auto" w:sz="4" w:space="0"/>
              <w:right w:val="nil"/>
            </w:tcBorders>
            <w:shd w:val="clear" w:color="auto" w:fill="auto"/>
            <w:vAlign w:val="center"/>
          </w:tcPr>
          <w:p w14:paraId="7AFFDD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产出指标</w:t>
            </w:r>
          </w:p>
        </w:tc>
        <w:tc>
          <w:tcPr>
            <w:tcW w:w="537" w:type="dxa"/>
            <w:gridSpan w:val="2"/>
            <w:tcBorders>
              <w:top w:val="nil"/>
              <w:left w:val="single" w:color="auto" w:sz="4" w:space="0"/>
              <w:bottom w:val="single" w:color="auto" w:sz="4" w:space="0"/>
              <w:right w:val="nil"/>
            </w:tcBorders>
            <w:shd w:val="clear" w:color="auto" w:fill="auto"/>
            <w:vAlign w:val="center"/>
          </w:tcPr>
          <w:p w14:paraId="3B6BE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万元</w:t>
            </w:r>
          </w:p>
        </w:tc>
        <w:tc>
          <w:tcPr>
            <w:tcW w:w="917" w:type="dxa"/>
            <w:tcBorders>
              <w:top w:val="nil"/>
              <w:left w:val="single" w:color="auto" w:sz="4" w:space="0"/>
              <w:bottom w:val="single" w:color="auto" w:sz="4" w:space="0"/>
              <w:right w:val="nil"/>
            </w:tcBorders>
            <w:shd w:val="clear" w:color="auto" w:fill="auto"/>
            <w:vAlign w:val="center"/>
          </w:tcPr>
          <w:p w14:paraId="471E99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955" w:type="dxa"/>
            <w:tcBorders>
              <w:top w:val="nil"/>
              <w:left w:val="single" w:color="auto" w:sz="4" w:space="0"/>
              <w:bottom w:val="single" w:color="auto" w:sz="4" w:space="0"/>
              <w:right w:val="nil"/>
            </w:tcBorders>
            <w:shd w:val="clear" w:color="auto" w:fill="auto"/>
            <w:vAlign w:val="center"/>
          </w:tcPr>
          <w:p w14:paraId="2D7E98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1491.9</w:t>
            </w:r>
          </w:p>
        </w:tc>
        <w:tc>
          <w:tcPr>
            <w:tcW w:w="1094" w:type="dxa"/>
            <w:gridSpan w:val="2"/>
            <w:tcBorders>
              <w:top w:val="nil"/>
              <w:left w:val="single" w:color="auto" w:sz="4" w:space="0"/>
              <w:bottom w:val="single" w:color="auto" w:sz="4" w:space="0"/>
              <w:right w:val="nil"/>
            </w:tcBorders>
            <w:shd w:val="clear" w:color="auto" w:fill="auto"/>
            <w:vAlign w:val="center"/>
          </w:tcPr>
          <w:p w14:paraId="6020B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3202.73</w:t>
            </w:r>
          </w:p>
        </w:tc>
        <w:tc>
          <w:tcPr>
            <w:tcW w:w="1066" w:type="dxa"/>
            <w:gridSpan w:val="2"/>
            <w:tcBorders>
              <w:top w:val="nil"/>
              <w:left w:val="single" w:color="auto" w:sz="4" w:space="0"/>
              <w:bottom w:val="single" w:color="auto" w:sz="4" w:space="0"/>
              <w:right w:val="nil"/>
            </w:tcBorders>
            <w:shd w:val="clear" w:color="auto" w:fill="auto"/>
            <w:vAlign w:val="center"/>
          </w:tcPr>
          <w:p w14:paraId="0A001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2810.39</w:t>
            </w:r>
          </w:p>
        </w:tc>
        <w:tc>
          <w:tcPr>
            <w:tcW w:w="816" w:type="dxa"/>
            <w:tcBorders>
              <w:top w:val="nil"/>
              <w:left w:val="single" w:color="auto" w:sz="4" w:space="0"/>
              <w:bottom w:val="single" w:color="auto" w:sz="4" w:space="0"/>
              <w:right w:val="nil"/>
            </w:tcBorders>
            <w:shd w:val="clear" w:color="auto" w:fill="auto"/>
            <w:vAlign w:val="center"/>
          </w:tcPr>
          <w:p w14:paraId="351AF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100</w:t>
            </w:r>
          </w:p>
        </w:tc>
        <w:tc>
          <w:tcPr>
            <w:tcW w:w="711" w:type="dxa"/>
            <w:tcBorders>
              <w:top w:val="nil"/>
              <w:left w:val="single" w:color="auto" w:sz="4" w:space="0"/>
              <w:bottom w:val="single" w:color="auto" w:sz="4" w:space="0"/>
              <w:right w:val="nil"/>
            </w:tcBorders>
            <w:shd w:val="clear" w:color="auto" w:fill="auto"/>
            <w:vAlign w:val="center"/>
          </w:tcPr>
          <w:p w14:paraId="427C3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50</w:t>
            </w:r>
          </w:p>
        </w:tc>
        <w:tc>
          <w:tcPr>
            <w:tcW w:w="1237" w:type="dxa"/>
            <w:gridSpan w:val="2"/>
            <w:tcBorders>
              <w:top w:val="nil"/>
              <w:left w:val="single" w:color="auto" w:sz="4" w:space="0"/>
              <w:bottom w:val="single" w:color="auto" w:sz="4" w:space="0"/>
              <w:right w:val="nil"/>
            </w:tcBorders>
            <w:shd w:val="clear" w:color="auto" w:fill="auto"/>
            <w:vAlign w:val="center"/>
          </w:tcPr>
          <w:p w14:paraId="78BAB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49</w:t>
            </w:r>
          </w:p>
        </w:tc>
        <w:tc>
          <w:tcPr>
            <w:tcW w:w="1100" w:type="dxa"/>
            <w:tcBorders>
              <w:top w:val="nil"/>
              <w:left w:val="single" w:color="auto" w:sz="4" w:space="0"/>
              <w:bottom w:val="single" w:color="auto" w:sz="4" w:space="0"/>
              <w:right w:val="single" w:color="auto" w:sz="4" w:space="0"/>
            </w:tcBorders>
            <w:shd w:val="clear" w:color="auto" w:fill="auto"/>
            <w:vAlign w:val="center"/>
          </w:tcPr>
          <w:p w14:paraId="6A5295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w:t>
            </w:r>
          </w:p>
        </w:tc>
      </w:tr>
      <w:tr w14:paraId="42F16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jc w:val="center"/>
        </w:trPr>
        <w:tc>
          <w:tcPr>
            <w:tcW w:w="783" w:type="dxa"/>
            <w:tcBorders>
              <w:top w:val="nil"/>
              <w:left w:val="single" w:color="auto" w:sz="4" w:space="0"/>
              <w:bottom w:val="single" w:color="auto" w:sz="4" w:space="0"/>
              <w:right w:val="single" w:color="auto" w:sz="4" w:space="0"/>
            </w:tcBorders>
            <w:shd w:val="clear" w:color="auto" w:fill="auto"/>
            <w:vAlign w:val="center"/>
          </w:tcPr>
          <w:p w14:paraId="40620D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说明</w:t>
            </w:r>
          </w:p>
        </w:tc>
        <w:tc>
          <w:tcPr>
            <w:tcW w:w="9210" w:type="dxa"/>
            <w:gridSpan w:val="14"/>
            <w:tcBorders>
              <w:top w:val="single" w:color="auto" w:sz="4" w:space="0"/>
              <w:left w:val="nil"/>
              <w:bottom w:val="single" w:color="auto" w:sz="4" w:space="0"/>
              <w:right w:val="single" w:color="000000" w:sz="4" w:space="0"/>
            </w:tcBorders>
            <w:shd w:val="clear" w:color="auto" w:fill="auto"/>
            <w:vAlign w:val="center"/>
          </w:tcPr>
          <w:p w14:paraId="50CB7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rPr>
                <w:rFonts w:hint="default" w:ascii="Times New Roman" w:hAnsi="Times New Roman" w:eastAsia="方正仿宋_GBK" w:cs="Times New Roman"/>
                <w:kern w:val="0"/>
                <w:sz w:val="22"/>
                <w:szCs w:val="22"/>
              </w:rPr>
            </w:pPr>
          </w:p>
        </w:tc>
      </w:tr>
    </w:tbl>
    <w:p w14:paraId="06EBEEAD">
      <w:pPr>
        <w:pStyle w:val="5"/>
        <w:keepNext w:val="0"/>
        <w:keepLines w:val="0"/>
        <w:pageBreakBefore w:val="0"/>
        <w:widowControl/>
        <w:suppressLineNumbers w:val="0"/>
        <w:kinsoku/>
        <w:wordWrap/>
        <w:topLinePunct w:val="0"/>
        <w:bidi w:val="0"/>
        <w:snapToGrid w:val="0"/>
        <w:spacing w:line="560" w:lineRule="exact"/>
        <w:ind w:left="0" w:firstLine="0" w:firstLineChars="0"/>
        <w:jc w:val="center"/>
        <w:rPr>
          <w:rFonts w:hint="default" w:ascii="Times New Roman" w:hAnsi="Times New Roman" w:eastAsia="方正小标宋_GBK" w:cs="Times New Roman"/>
          <w:kern w:val="0"/>
          <w:sz w:val="36"/>
          <w:szCs w:val="36"/>
        </w:rPr>
      </w:pPr>
      <w:r>
        <w:rPr>
          <w:rFonts w:hint="eastAsia" w:ascii="方正小标宋_GBK" w:hAnsi="方正小标宋_GBK" w:eastAsia="方正小标宋_GBK" w:cs="方正小标宋_GBK"/>
          <w:kern w:val="0"/>
          <w:sz w:val="36"/>
          <w:szCs w:val="36"/>
        </w:rPr>
        <w:t>一级／二级项目绩效自评表</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1"/>
        <w:gridCol w:w="1322"/>
        <w:gridCol w:w="377"/>
        <w:gridCol w:w="248"/>
        <w:gridCol w:w="98"/>
        <w:gridCol w:w="327"/>
        <w:gridCol w:w="134"/>
        <w:gridCol w:w="475"/>
        <w:gridCol w:w="202"/>
        <w:gridCol w:w="569"/>
        <w:gridCol w:w="1008"/>
        <w:gridCol w:w="939"/>
        <w:gridCol w:w="1267"/>
        <w:gridCol w:w="358"/>
        <w:gridCol w:w="926"/>
        <w:gridCol w:w="1310"/>
      </w:tblGrid>
      <w:tr w14:paraId="371CB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39C76F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w:t>
            </w:r>
          </w:p>
          <w:p w14:paraId="36C2B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名称</w:t>
            </w:r>
          </w:p>
        </w:tc>
        <w:tc>
          <w:tcPr>
            <w:tcW w:w="1947" w:type="dxa"/>
            <w:gridSpan w:val="3"/>
            <w:tcBorders>
              <w:top w:val="single" w:color="auto" w:sz="4" w:space="0"/>
              <w:left w:val="nil"/>
              <w:bottom w:val="single" w:color="auto" w:sz="4" w:space="0"/>
              <w:right w:val="single" w:color="000000" w:sz="4" w:space="0"/>
            </w:tcBorders>
            <w:shd w:val="clear" w:color="auto" w:fill="auto"/>
            <w:vAlign w:val="center"/>
          </w:tcPr>
          <w:p w14:paraId="29036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高观镇</w:t>
            </w:r>
            <w:r>
              <w:rPr>
                <w:rFonts w:hint="default" w:ascii="Times New Roman" w:hAnsi="Times New Roman" w:eastAsia="方正仿宋_GBK" w:cs="Times New Roman"/>
                <w:kern w:val="0"/>
                <w:sz w:val="22"/>
                <w:szCs w:val="22"/>
                <w:lang w:val="en-US" w:eastAsia="zh-CN" w:bidi="ar"/>
              </w:rPr>
              <w:t>2023</w:t>
            </w:r>
            <w:r>
              <w:rPr>
                <w:rFonts w:hint="eastAsia" w:ascii="方正仿宋_GBK" w:hAnsi="方正仿宋_GBK" w:eastAsia="方正仿宋_GBK" w:cs="方正仿宋_GBK"/>
                <w:kern w:val="0"/>
                <w:sz w:val="22"/>
                <w:szCs w:val="22"/>
                <w:lang w:val="en-US" w:eastAsia="zh-CN" w:bidi="ar"/>
              </w:rPr>
              <w:t>年易地扶贫搬迁安置点一站式综合服务平台建设项目</w:t>
            </w:r>
          </w:p>
        </w:tc>
        <w:tc>
          <w:tcPr>
            <w:tcW w:w="1034" w:type="dxa"/>
            <w:gridSpan w:val="4"/>
            <w:tcBorders>
              <w:top w:val="single" w:color="auto" w:sz="4" w:space="0"/>
              <w:left w:val="nil"/>
              <w:bottom w:val="single" w:color="auto" w:sz="4" w:space="0"/>
              <w:right w:val="single" w:color="auto" w:sz="4" w:space="0"/>
            </w:tcBorders>
            <w:shd w:val="clear" w:color="auto" w:fill="auto"/>
            <w:vAlign w:val="center"/>
          </w:tcPr>
          <w:p w14:paraId="0B849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w:t>
            </w:r>
          </w:p>
          <w:p w14:paraId="2F62AC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编码</w:t>
            </w:r>
          </w:p>
        </w:tc>
        <w:tc>
          <w:tcPr>
            <w:tcW w:w="771" w:type="dxa"/>
            <w:gridSpan w:val="2"/>
            <w:tcBorders>
              <w:top w:val="single" w:color="auto" w:sz="4" w:space="0"/>
              <w:left w:val="nil"/>
              <w:bottom w:val="single" w:color="auto" w:sz="4" w:space="0"/>
              <w:right w:val="single" w:color="000000" w:sz="4" w:space="0"/>
            </w:tcBorders>
            <w:shd w:val="clear" w:color="auto" w:fill="auto"/>
            <w:vAlign w:val="center"/>
          </w:tcPr>
          <w:p w14:paraId="3110A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p>
        </w:tc>
        <w:tc>
          <w:tcPr>
            <w:tcW w:w="1008" w:type="dxa"/>
            <w:tcBorders>
              <w:top w:val="single" w:color="auto" w:sz="4" w:space="0"/>
              <w:left w:val="nil"/>
              <w:bottom w:val="single" w:color="auto" w:sz="4" w:space="0"/>
              <w:right w:val="single" w:color="auto" w:sz="4" w:space="0"/>
            </w:tcBorders>
            <w:shd w:val="clear" w:color="auto" w:fill="auto"/>
            <w:vAlign w:val="center"/>
          </w:tcPr>
          <w:p w14:paraId="125EF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自评</w:t>
            </w:r>
          </w:p>
          <w:p w14:paraId="4A4EE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总分</w:t>
            </w:r>
          </w:p>
          <w:p w14:paraId="7277BD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c>
          <w:tcPr>
            <w:tcW w:w="4800" w:type="dxa"/>
            <w:gridSpan w:val="5"/>
            <w:tcBorders>
              <w:top w:val="single" w:color="auto" w:sz="4" w:space="0"/>
              <w:left w:val="nil"/>
              <w:bottom w:val="single" w:color="auto" w:sz="4" w:space="0"/>
              <w:right w:val="single" w:color="000000" w:sz="4" w:space="0"/>
            </w:tcBorders>
            <w:shd w:val="clear" w:color="auto" w:fill="auto"/>
            <w:vAlign w:val="center"/>
          </w:tcPr>
          <w:p w14:paraId="7E44DB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96</w:t>
            </w:r>
          </w:p>
        </w:tc>
      </w:tr>
      <w:tr w14:paraId="4546D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61" w:type="dxa"/>
            <w:tcBorders>
              <w:top w:val="nil"/>
              <w:left w:val="single" w:color="auto" w:sz="4" w:space="0"/>
              <w:bottom w:val="single" w:color="auto" w:sz="4" w:space="0"/>
              <w:right w:val="single" w:color="auto" w:sz="4" w:space="0"/>
            </w:tcBorders>
            <w:shd w:val="clear" w:color="auto" w:fill="auto"/>
            <w:vAlign w:val="center"/>
          </w:tcPr>
          <w:p w14:paraId="3A825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主管</w:t>
            </w:r>
          </w:p>
          <w:p w14:paraId="6DBA6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部门</w:t>
            </w:r>
          </w:p>
        </w:tc>
        <w:tc>
          <w:tcPr>
            <w:tcW w:w="1947" w:type="dxa"/>
            <w:gridSpan w:val="3"/>
            <w:tcBorders>
              <w:top w:val="single" w:color="auto" w:sz="4" w:space="0"/>
              <w:left w:val="nil"/>
              <w:bottom w:val="single" w:color="auto" w:sz="4" w:space="0"/>
              <w:right w:val="single" w:color="000000" w:sz="4" w:space="0"/>
            </w:tcBorders>
            <w:shd w:val="clear" w:color="auto" w:fill="auto"/>
            <w:vAlign w:val="center"/>
          </w:tcPr>
          <w:p w14:paraId="62E31A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城口县县委宣传部</w:t>
            </w:r>
          </w:p>
        </w:tc>
        <w:tc>
          <w:tcPr>
            <w:tcW w:w="1034" w:type="dxa"/>
            <w:gridSpan w:val="4"/>
            <w:tcBorders>
              <w:top w:val="nil"/>
              <w:left w:val="nil"/>
              <w:bottom w:val="single" w:color="auto" w:sz="4" w:space="0"/>
              <w:right w:val="single" w:color="auto" w:sz="4" w:space="0"/>
            </w:tcBorders>
            <w:shd w:val="clear" w:color="auto" w:fill="auto"/>
            <w:vAlign w:val="center"/>
          </w:tcPr>
          <w:p w14:paraId="040FC9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财政</w:t>
            </w:r>
          </w:p>
          <w:p w14:paraId="439F04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处室</w:t>
            </w:r>
          </w:p>
        </w:tc>
        <w:tc>
          <w:tcPr>
            <w:tcW w:w="771" w:type="dxa"/>
            <w:gridSpan w:val="2"/>
            <w:tcBorders>
              <w:top w:val="single" w:color="auto" w:sz="4" w:space="0"/>
              <w:left w:val="nil"/>
              <w:bottom w:val="single" w:color="auto" w:sz="4" w:space="0"/>
              <w:right w:val="single" w:color="000000" w:sz="4" w:space="0"/>
            </w:tcBorders>
            <w:shd w:val="clear" w:color="auto" w:fill="auto"/>
            <w:vAlign w:val="center"/>
          </w:tcPr>
          <w:p w14:paraId="58348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p>
        </w:tc>
        <w:tc>
          <w:tcPr>
            <w:tcW w:w="1008" w:type="dxa"/>
            <w:tcBorders>
              <w:top w:val="nil"/>
              <w:left w:val="nil"/>
              <w:bottom w:val="single" w:color="auto" w:sz="4" w:space="0"/>
              <w:right w:val="single" w:color="auto" w:sz="4" w:space="0"/>
            </w:tcBorders>
            <w:shd w:val="clear" w:color="auto" w:fill="auto"/>
            <w:vAlign w:val="center"/>
          </w:tcPr>
          <w:p w14:paraId="019BF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w:t>
            </w:r>
          </w:p>
          <w:p w14:paraId="1655D6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联系人</w:t>
            </w:r>
          </w:p>
        </w:tc>
        <w:tc>
          <w:tcPr>
            <w:tcW w:w="939" w:type="dxa"/>
            <w:tcBorders>
              <w:top w:val="nil"/>
              <w:left w:val="nil"/>
              <w:bottom w:val="single" w:color="auto" w:sz="4" w:space="0"/>
              <w:right w:val="single" w:color="auto" w:sz="4" w:space="0"/>
            </w:tcBorders>
            <w:shd w:val="clear" w:color="auto" w:fill="auto"/>
            <w:vAlign w:val="center"/>
          </w:tcPr>
          <w:p w14:paraId="506526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文化服务中心</w:t>
            </w:r>
          </w:p>
        </w:tc>
        <w:tc>
          <w:tcPr>
            <w:tcW w:w="1625" w:type="dxa"/>
            <w:gridSpan w:val="2"/>
            <w:tcBorders>
              <w:top w:val="nil"/>
              <w:left w:val="nil"/>
              <w:bottom w:val="single" w:color="auto" w:sz="4" w:space="0"/>
              <w:right w:val="single" w:color="auto" w:sz="4" w:space="0"/>
            </w:tcBorders>
            <w:shd w:val="clear" w:color="auto" w:fill="auto"/>
            <w:vAlign w:val="center"/>
          </w:tcPr>
          <w:p w14:paraId="420491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联系电话</w:t>
            </w:r>
          </w:p>
        </w:tc>
        <w:tc>
          <w:tcPr>
            <w:tcW w:w="2236" w:type="dxa"/>
            <w:gridSpan w:val="2"/>
            <w:tcBorders>
              <w:top w:val="single" w:color="auto" w:sz="4" w:space="0"/>
              <w:left w:val="nil"/>
              <w:bottom w:val="single" w:color="auto" w:sz="4" w:space="0"/>
              <w:right w:val="single" w:color="000000" w:sz="4" w:space="0"/>
            </w:tcBorders>
            <w:shd w:val="clear" w:color="auto" w:fill="auto"/>
            <w:vAlign w:val="center"/>
          </w:tcPr>
          <w:p w14:paraId="1D40DE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023-59263001</w:t>
            </w:r>
          </w:p>
        </w:tc>
      </w:tr>
      <w:tr w14:paraId="7673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61" w:type="dxa"/>
            <w:vMerge w:val="restart"/>
            <w:tcBorders>
              <w:top w:val="nil"/>
              <w:left w:val="single" w:color="auto" w:sz="4" w:space="0"/>
              <w:bottom w:val="single" w:color="auto" w:sz="4" w:space="0"/>
              <w:right w:val="single" w:color="auto" w:sz="4" w:space="0"/>
            </w:tcBorders>
            <w:shd w:val="clear" w:color="auto" w:fill="auto"/>
            <w:vAlign w:val="center"/>
          </w:tcPr>
          <w:p w14:paraId="0B45DB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项目资金（万元）</w:t>
            </w:r>
          </w:p>
        </w:tc>
        <w:tc>
          <w:tcPr>
            <w:tcW w:w="1699" w:type="dxa"/>
            <w:gridSpan w:val="2"/>
            <w:vMerge w:val="restart"/>
            <w:tcBorders>
              <w:top w:val="nil"/>
              <w:left w:val="nil"/>
              <w:bottom w:val="nil"/>
              <w:right w:val="nil"/>
            </w:tcBorders>
            <w:shd w:val="clear" w:color="auto" w:fill="auto"/>
            <w:vAlign w:val="center"/>
          </w:tcPr>
          <w:p w14:paraId="04D76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年度</w:t>
            </w:r>
          </w:p>
          <w:p w14:paraId="49754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总金额</w:t>
            </w:r>
          </w:p>
          <w:p w14:paraId="4A49E096">
            <w:pPr>
              <w:pStyle w:val="2"/>
              <w:keepNext w:val="0"/>
              <w:keepLines w:val="0"/>
              <w:pageBreakBefore w:val="0"/>
              <w:widowControl/>
              <w:suppressLineNumbers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kern w:val="0"/>
                <w:sz w:val="24"/>
                <w:szCs w:val="24"/>
              </w:rPr>
            </w:pPr>
            <w:r>
              <w:rPr>
                <w:rFonts w:hint="eastAsia" w:ascii="方正仿宋_GBK" w:hAnsi="方正仿宋_GBK" w:eastAsia="方正仿宋_GBK" w:cs="方正仿宋_GBK"/>
                <w:kern w:val="0"/>
                <w:sz w:val="22"/>
                <w:szCs w:val="22"/>
              </w:rPr>
              <w:t>（万元）</w:t>
            </w:r>
          </w:p>
        </w:tc>
        <w:tc>
          <w:tcPr>
            <w:tcW w:w="80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538A02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年初</w:t>
            </w:r>
          </w:p>
          <w:p w14:paraId="58B6AE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预算数</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14:paraId="4382F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w:t>
            </w:r>
          </w:p>
          <w:p w14:paraId="1C8A3F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（调整）预算数</w:t>
            </w:r>
          </w:p>
        </w:tc>
        <w:tc>
          <w:tcPr>
            <w:tcW w:w="1947" w:type="dxa"/>
            <w:gridSpan w:val="2"/>
            <w:tcBorders>
              <w:top w:val="single" w:color="auto" w:sz="4" w:space="0"/>
              <w:left w:val="nil"/>
              <w:bottom w:val="single" w:color="auto" w:sz="4" w:space="0"/>
              <w:right w:val="single" w:color="auto" w:sz="4" w:space="0"/>
            </w:tcBorders>
            <w:shd w:val="clear" w:color="auto" w:fill="auto"/>
            <w:vAlign w:val="center"/>
          </w:tcPr>
          <w:p w14:paraId="1813B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全年执行数</w:t>
            </w:r>
          </w:p>
        </w:tc>
        <w:tc>
          <w:tcPr>
            <w:tcW w:w="1625" w:type="dxa"/>
            <w:gridSpan w:val="2"/>
            <w:tcBorders>
              <w:top w:val="nil"/>
              <w:left w:val="nil"/>
              <w:bottom w:val="single" w:color="auto" w:sz="4" w:space="0"/>
              <w:right w:val="single" w:color="auto" w:sz="4" w:space="0"/>
            </w:tcBorders>
            <w:shd w:val="clear" w:color="auto" w:fill="auto"/>
            <w:vAlign w:val="center"/>
          </w:tcPr>
          <w:p w14:paraId="66EB97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执行率</w:t>
            </w:r>
          </w:p>
          <w:p w14:paraId="4763D9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r>
              <w:rPr>
                <w:rFonts w:hint="default" w:ascii="Times New Roman" w:hAnsi="Times New Roman" w:eastAsia="方正仿宋_GBK"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w:t>
            </w:r>
          </w:p>
        </w:tc>
        <w:tc>
          <w:tcPr>
            <w:tcW w:w="926" w:type="dxa"/>
            <w:tcBorders>
              <w:top w:val="nil"/>
              <w:left w:val="nil"/>
              <w:bottom w:val="single" w:color="auto" w:sz="4" w:space="0"/>
              <w:right w:val="single" w:color="auto" w:sz="4" w:space="0"/>
            </w:tcBorders>
            <w:shd w:val="clear" w:color="auto" w:fill="auto"/>
            <w:vAlign w:val="center"/>
          </w:tcPr>
          <w:p w14:paraId="03084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执行率</w:t>
            </w:r>
          </w:p>
          <w:p w14:paraId="3D79C9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权重</w:t>
            </w:r>
          </w:p>
        </w:tc>
        <w:tc>
          <w:tcPr>
            <w:tcW w:w="1310" w:type="dxa"/>
            <w:tcBorders>
              <w:top w:val="nil"/>
              <w:left w:val="nil"/>
              <w:bottom w:val="single" w:color="auto" w:sz="4" w:space="0"/>
              <w:right w:val="single" w:color="auto" w:sz="4" w:space="0"/>
            </w:tcBorders>
            <w:shd w:val="clear" w:color="auto" w:fill="auto"/>
            <w:vAlign w:val="center"/>
          </w:tcPr>
          <w:p w14:paraId="10CE98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执行率</w:t>
            </w:r>
          </w:p>
          <w:p w14:paraId="6B2423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得分</w:t>
            </w:r>
          </w:p>
          <w:p w14:paraId="20A806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r>
      <w:tr w14:paraId="04F05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661" w:type="dxa"/>
            <w:vMerge w:val="continue"/>
            <w:tcBorders>
              <w:top w:val="nil"/>
              <w:left w:val="single" w:color="auto" w:sz="4" w:space="0"/>
              <w:bottom w:val="single" w:color="auto" w:sz="4" w:space="0"/>
              <w:right w:val="single" w:color="auto" w:sz="4" w:space="0"/>
            </w:tcBorders>
            <w:shd w:val="clear" w:color="auto" w:fill="auto"/>
            <w:vAlign w:val="center"/>
          </w:tcPr>
          <w:p w14:paraId="187DC65A">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1699" w:type="dxa"/>
            <w:gridSpan w:val="2"/>
            <w:vMerge w:val="continue"/>
            <w:tcBorders>
              <w:top w:val="nil"/>
              <w:left w:val="nil"/>
              <w:bottom w:val="nil"/>
              <w:right w:val="nil"/>
            </w:tcBorders>
            <w:shd w:val="clear" w:color="auto" w:fill="auto"/>
            <w:vAlign w:val="center"/>
          </w:tcPr>
          <w:p w14:paraId="61AD7B0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80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14:paraId="2AC5C7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1246" w:type="dxa"/>
            <w:gridSpan w:val="3"/>
            <w:tcBorders>
              <w:top w:val="single" w:color="auto" w:sz="4" w:space="0"/>
              <w:left w:val="nil"/>
              <w:bottom w:val="single" w:color="auto" w:sz="4" w:space="0"/>
              <w:right w:val="single" w:color="auto" w:sz="4" w:space="0"/>
            </w:tcBorders>
            <w:shd w:val="clear" w:color="auto" w:fill="auto"/>
            <w:vAlign w:val="center"/>
          </w:tcPr>
          <w:p w14:paraId="03DA52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w:t>
            </w:r>
          </w:p>
        </w:tc>
        <w:tc>
          <w:tcPr>
            <w:tcW w:w="1947" w:type="dxa"/>
            <w:gridSpan w:val="2"/>
            <w:tcBorders>
              <w:top w:val="single" w:color="auto" w:sz="4" w:space="0"/>
              <w:left w:val="nil"/>
              <w:bottom w:val="single" w:color="auto" w:sz="4" w:space="0"/>
              <w:right w:val="single" w:color="auto" w:sz="4" w:space="0"/>
            </w:tcBorders>
            <w:shd w:val="clear" w:color="auto" w:fill="auto"/>
            <w:vAlign w:val="center"/>
          </w:tcPr>
          <w:p w14:paraId="7F2B9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1625" w:type="dxa"/>
            <w:gridSpan w:val="2"/>
            <w:tcBorders>
              <w:top w:val="nil"/>
              <w:left w:val="nil"/>
              <w:bottom w:val="single" w:color="auto" w:sz="4" w:space="0"/>
              <w:right w:val="single" w:color="auto" w:sz="4" w:space="0"/>
            </w:tcBorders>
            <w:shd w:val="clear" w:color="auto" w:fill="auto"/>
            <w:vAlign w:val="center"/>
          </w:tcPr>
          <w:p w14:paraId="22157F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100</w:t>
            </w:r>
          </w:p>
        </w:tc>
        <w:tc>
          <w:tcPr>
            <w:tcW w:w="926" w:type="dxa"/>
            <w:tcBorders>
              <w:top w:val="nil"/>
              <w:left w:val="nil"/>
              <w:bottom w:val="single" w:color="auto" w:sz="4" w:space="0"/>
              <w:right w:val="single" w:color="auto" w:sz="4" w:space="0"/>
            </w:tcBorders>
            <w:shd w:val="clear" w:color="auto" w:fill="auto"/>
            <w:vAlign w:val="center"/>
          </w:tcPr>
          <w:p w14:paraId="096EB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100</w:t>
            </w:r>
          </w:p>
        </w:tc>
        <w:tc>
          <w:tcPr>
            <w:tcW w:w="1310" w:type="dxa"/>
            <w:tcBorders>
              <w:top w:val="nil"/>
              <w:left w:val="nil"/>
              <w:bottom w:val="single" w:color="auto" w:sz="4" w:space="0"/>
              <w:right w:val="single" w:color="auto" w:sz="4" w:space="0"/>
            </w:tcBorders>
            <w:shd w:val="clear" w:color="auto" w:fill="auto"/>
            <w:vAlign w:val="center"/>
          </w:tcPr>
          <w:p w14:paraId="7209C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100</w:t>
            </w:r>
          </w:p>
        </w:tc>
      </w:tr>
      <w:tr w14:paraId="1C13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661" w:type="dxa"/>
            <w:vMerge w:val="restart"/>
            <w:tcBorders>
              <w:top w:val="nil"/>
              <w:left w:val="single" w:color="auto" w:sz="4" w:space="0"/>
              <w:bottom w:val="single" w:color="auto" w:sz="4" w:space="0"/>
              <w:right w:val="single" w:color="auto" w:sz="4" w:space="0"/>
            </w:tcBorders>
            <w:shd w:val="clear" w:color="auto" w:fill="auto"/>
            <w:vAlign w:val="center"/>
          </w:tcPr>
          <w:p w14:paraId="22F25F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当年绩效目标</w:t>
            </w:r>
          </w:p>
        </w:tc>
        <w:tc>
          <w:tcPr>
            <w:tcW w:w="2981" w:type="dxa"/>
            <w:gridSpan w:val="7"/>
            <w:tcBorders>
              <w:top w:val="single" w:color="auto" w:sz="4" w:space="0"/>
              <w:left w:val="nil"/>
              <w:bottom w:val="single" w:color="auto" w:sz="4" w:space="0"/>
              <w:right w:val="single" w:color="000000" w:sz="4" w:space="0"/>
            </w:tcBorders>
            <w:shd w:val="clear" w:color="auto" w:fill="auto"/>
            <w:vAlign w:val="center"/>
          </w:tcPr>
          <w:p w14:paraId="343686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年初绩效目标</w:t>
            </w:r>
          </w:p>
        </w:tc>
        <w:tc>
          <w:tcPr>
            <w:tcW w:w="2718" w:type="dxa"/>
            <w:gridSpan w:val="4"/>
            <w:tcBorders>
              <w:top w:val="single" w:color="auto" w:sz="4" w:space="0"/>
              <w:left w:val="nil"/>
              <w:bottom w:val="single" w:color="auto" w:sz="4" w:space="0"/>
              <w:right w:val="single" w:color="000000" w:sz="4" w:space="0"/>
            </w:tcBorders>
            <w:shd w:val="clear" w:color="auto" w:fill="auto"/>
            <w:vAlign w:val="center"/>
          </w:tcPr>
          <w:p w14:paraId="48CE2B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全年（调整）绩效目标</w:t>
            </w:r>
          </w:p>
        </w:tc>
        <w:tc>
          <w:tcPr>
            <w:tcW w:w="3861" w:type="dxa"/>
            <w:gridSpan w:val="4"/>
            <w:tcBorders>
              <w:top w:val="single" w:color="auto" w:sz="4" w:space="0"/>
              <w:left w:val="nil"/>
              <w:bottom w:val="single" w:color="auto" w:sz="4" w:space="0"/>
              <w:right w:val="single" w:color="000000" w:sz="4" w:space="0"/>
            </w:tcBorders>
            <w:shd w:val="clear" w:color="auto" w:fill="auto"/>
            <w:vAlign w:val="center"/>
          </w:tcPr>
          <w:p w14:paraId="2BED23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全年目标实际完成情况</w:t>
            </w:r>
          </w:p>
        </w:tc>
      </w:tr>
      <w:tr w14:paraId="50EC3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1" w:hRule="atLeast"/>
          <w:jc w:val="center"/>
        </w:trPr>
        <w:tc>
          <w:tcPr>
            <w:tcW w:w="661" w:type="dxa"/>
            <w:vMerge w:val="continue"/>
            <w:tcBorders>
              <w:top w:val="nil"/>
              <w:left w:val="single" w:color="auto" w:sz="4" w:space="0"/>
              <w:bottom w:val="single" w:color="auto" w:sz="4" w:space="0"/>
              <w:right w:val="single" w:color="auto" w:sz="4" w:space="0"/>
            </w:tcBorders>
            <w:shd w:val="clear" w:color="auto" w:fill="auto"/>
            <w:vAlign w:val="center"/>
          </w:tcPr>
          <w:p w14:paraId="18D96E18">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2981" w:type="dxa"/>
            <w:gridSpan w:val="7"/>
            <w:tcBorders>
              <w:top w:val="single" w:color="auto" w:sz="4" w:space="0"/>
              <w:left w:val="nil"/>
              <w:bottom w:val="single" w:color="auto" w:sz="4" w:space="0"/>
              <w:right w:val="single" w:color="000000" w:sz="4" w:space="0"/>
            </w:tcBorders>
            <w:shd w:val="clear" w:color="auto" w:fill="auto"/>
            <w:vAlign w:val="center"/>
          </w:tcPr>
          <w:p w14:paraId="22DD79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以凝聚群众、引导群众、以文化人、成风化俗为主题，开展理论宣讲、环境整治、邻里互助等服务活动，培育先进典型，筑牢思想文化阵地，不断满足人民日益增长的美好生活需要，促进安置点人民精神生活共同富裕。</w:t>
            </w:r>
          </w:p>
        </w:tc>
        <w:tc>
          <w:tcPr>
            <w:tcW w:w="2718" w:type="dxa"/>
            <w:gridSpan w:val="4"/>
            <w:tcBorders>
              <w:top w:val="single" w:color="auto" w:sz="4" w:space="0"/>
              <w:left w:val="nil"/>
              <w:bottom w:val="single" w:color="auto" w:sz="4" w:space="0"/>
              <w:right w:val="single" w:color="000000" w:sz="4" w:space="0"/>
            </w:tcBorders>
            <w:shd w:val="clear" w:color="auto" w:fill="auto"/>
            <w:vAlign w:val="center"/>
          </w:tcPr>
          <w:p w14:paraId="5D8541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无</w:t>
            </w:r>
          </w:p>
        </w:tc>
        <w:tc>
          <w:tcPr>
            <w:tcW w:w="3861" w:type="dxa"/>
            <w:gridSpan w:val="4"/>
            <w:tcBorders>
              <w:top w:val="single" w:color="auto" w:sz="4" w:space="0"/>
              <w:left w:val="nil"/>
              <w:bottom w:val="single" w:color="auto" w:sz="4" w:space="0"/>
              <w:right w:val="single" w:color="000000" w:sz="4" w:space="0"/>
            </w:tcBorders>
            <w:shd w:val="clear" w:color="auto" w:fill="auto"/>
            <w:vAlign w:val="center"/>
          </w:tcPr>
          <w:p w14:paraId="302F3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以凝聚群众、引导群众、以文化人、成风化俗为主题，开展理论宣讲、环境整治、邻里互助等服务活动，培育先进典型，筑牢思想文化阵地，不断满足人民日益增长的美好生活需要，促进安置点人民精神生活共同富裕。</w:t>
            </w:r>
          </w:p>
        </w:tc>
      </w:tr>
      <w:tr w14:paraId="703D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2" w:hRule="atLeast"/>
          <w:jc w:val="center"/>
        </w:trPr>
        <w:tc>
          <w:tcPr>
            <w:tcW w:w="661" w:type="dxa"/>
            <w:vMerge w:val="restart"/>
            <w:tcBorders>
              <w:top w:val="nil"/>
              <w:left w:val="single" w:color="auto" w:sz="4" w:space="0"/>
              <w:bottom w:val="nil"/>
              <w:right w:val="single" w:color="auto" w:sz="4" w:space="0"/>
            </w:tcBorders>
            <w:shd w:val="clear" w:color="auto" w:fill="auto"/>
            <w:vAlign w:val="center"/>
          </w:tcPr>
          <w:p w14:paraId="4EB6BC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绩效指标</w:t>
            </w:r>
          </w:p>
        </w:tc>
        <w:tc>
          <w:tcPr>
            <w:tcW w:w="1322" w:type="dxa"/>
            <w:tcBorders>
              <w:top w:val="nil"/>
              <w:left w:val="nil"/>
              <w:bottom w:val="single" w:color="auto" w:sz="4" w:space="0"/>
              <w:right w:val="nil"/>
            </w:tcBorders>
            <w:shd w:val="clear" w:color="auto" w:fill="auto"/>
            <w:vAlign w:val="center"/>
          </w:tcPr>
          <w:p w14:paraId="0808F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57BA40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名称</w:t>
            </w:r>
          </w:p>
        </w:tc>
        <w:tc>
          <w:tcPr>
            <w:tcW w:w="723" w:type="dxa"/>
            <w:gridSpan w:val="3"/>
            <w:tcBorders>
              <w:top w:val="nil"/>
              <w:left w:val="single" w:color="auto" w:sz="4" w:space="0"/>
              <w:bottom w:val="single" w:color="auto" w:sz="4" w:space="0"/>
              <w:right w:val="single" w:color="auto" w:sz="4" w:space="0"/>
            </w:tcBorders>
            <w:shd w:val="clear" w:color="auto" w:fill="auto"/>
            <w:vAlign w:val="center"/>
          </w:tcPr>
          <w:p w14:paraId="3F75EB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计量</w:t>
            </w:r>
          </w:p>
          <w:p w14:paraId="4AC01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单位</w:t>
            </w:r>
          </w:p>
        </w:tc>
        <w:tc>
          <w:tcPr>
            <w:tcW w:w="327" w:type="dxa"/>
            <w:tcBorders>
              <w:top w:val="nil"/>
              <w:left w:val="nil"/>
              <w:bottom w:val="single" w:color="auto" w:sz="4" w:space="0"/>
              <w:right w:val="single" w:color="auto" w:sz="4" w:space="0"/>
            </w:tcBorders>
            <w:shd w:val="clear" w:color="auto" w:fill="auto"/>
            <w:vAlign w:val="center"/>
          </w:tcPr>
          <w:p w14:paraId="67B42C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70376B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性质</w:t>
            </w:r>
          </w:p>
        </w:tc>
        <w:tc>
          <w:tcPr>
            <w:tcW w:w="811" w:type="dxa"/>
            <w:gridSpan w:val="3"/>
            <w:tcBorders>
              <w:top w:val="nil"/>
              <w:left w:val="nil"/>
              <w:bottom w:val="single" w:color="auto" w:sz="4" w:space="0"/>
              <w:right w:val="single" w:color="auto" w:sz="4" w:space="0"/>
            </w:tcBorders>
            <w:shd w:val="clear" w:color="auto" w:fill="auto"/>
            <w:vAlign w:val="center"/>
          </w:tcPr>
          <w:p w14:paraId="06F19B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年初</w:t>
            </w:r>
          </w:p>
          <w:p w14:paraId="6F056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55CD85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值</w:t>
            </w:r>
          </w:p>
        </w:tc>
        <w:tc>
          <w:tcPr>
            <w:tcW w:w="569" w:type="dxa"/>
            <w:tcBorders>
              <w:top w:val="nil"/>
              <w:left w:val="nil"/>
              <w:bottom w:val="single" w:color="auto" w:sz="4" w:space="0"/>
              <w:right w:val="single" w:color="auto" w:sz="4" w:space="0"/>
            </w:tcBorders>
            <w:shd w:val="clear" w:color="auto" w:fill="auto"/>
            <w:vAlign w:val="center"/>
          </w:tcPr>
          <w:p w14:paraId="5301DD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调整</w:t>
            </w:r>
          </w:p>
          <w:p w14:paraId="5042C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6EBCD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值</w:t>
            </w:r>
          </w:p>
        </w:tc>
        <w:tc>
          <w:tcPr>
            <w:tcW w:w="1008" w:type="dxa"/>
            <w:tcBorders>
              <w:top w:val="nil"/>
              <w:left w:val="nil"/>
              <w:bottom w:val="single" w:color="auto" w:sz="4" w:space="0"/>
              <w:right w:val="single" w:color="auto" w:sz="4" w:space="0"/>
            </w:tcBorders>
            <w:shd w:val="clear" w:color="auto" w:fill="auto"/>
            <w:vAlign w:val="center"/>
          </w:tcPr>
          <w:p w14:paraId="3FC8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全年</w:t>
            </w:r>
          </w:p>
          <w:p w14:paraId="436B63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完成值</w:t>
            </w:r>
          </w:p>
        </w:tc>
        <w:tc>
          <w:tcPr>
            <w:tcW w:w="939" w:type="dxa"/>
            <w:tcBorders>
              <w:top w:val="nil"/>
              <w:left w:val="nil"/>
              <w:bottom w:val="single" w:color="auto" w:sz="4" w:space="0"/>
              <w:right w:val="single" w:color="auto" w:sz="4" w:space="0"/>
            </w:tcBorders>
            <w:shd w:val="clear" w:color="auto" w:fill="auto"/>
            <w:vAlign w:val="center"/>
          </w:tcPr>
          <w:p w14:paraId="7F73C5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得分</w:t>
            </w:r>
          </w:p>
          <w:p w14:paraId="585EE0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系数</w:t>
            </w:r>
          </w:p>
          <w:p w14:paraId="0DF3E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r>
              <w:rPr>
                <w:rFonts w:hint="default" w:ascii="Times New Roman" w:hAnsi="Times New Roman" w:eastAsia="方正仿宋_GBK" w:cs="Times New Roman"/>
                <w:kern w:val="0"/>
                <w:sz w:val="22"/>
                <w:szCs w:val="22"/>
                <w:lang w:val="en-US" w:eastAsia="zh-CN" w:bidi="ar"/>
              </w:rPr>
              <w:t>%</w:t>
            </w:r>
            <w:r>
              <w:rPr>
                <w:rFonts w:hint="eastAsia" w:ascii="方正仿宋_GBK" w:hAnsi="方正仿宋_GBK" w:eastAsia="方正仿宋_GBK" w:cs="方正仿宋_GBK"/>
                <w:kern w:val="0"/>
                <w:sz w:val="22"/>
                <w:szCs w:val="22"/>
                <w:lang w:val="en-US" w:eastAsia="zh-CN" w:bidi="ar"/>
              </w:rPr>
              <w:t>）</w:t>
            </w:r>
          </w:p>
        </w:tc>
        <w:tc>
          <w:tcPr>
            <w:tcW w:w="1267" w:type="dxa"/>
            <w:tcBorders>
              <w:top w:val="nil"/>
              <w:left w:val="nil"/>
              <w:bottom w:val="single" w:color="auto" w:sz="4" w:space="0"/>
              <w:right w:val="single" w:color="auto" w:sz="4" w:space="0"/>
            </w:tcBorders>
            <w:shd w:val="clear" w:color="auto" w:fill="auto"/>
            <w:vAlign w:val="center"/>
          </w:tcPr>
          <w:p w14:paraId="0325B9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p w14:paraId="5675E4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权重</w:t>
            </w:r>
          </w:p>
          <w:p w14:paraId="027CF8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c>
          <w:tcPr>
            <w:tcW w:w="1284" w:type="dxa"/>
            <w:gridSpan w:val="2"/>
            <w:tcBorders>
              <w:top w:val="nil"/>
              <w:left w:val="nil"/>
              <w:bottom w:val="single" w:color="auto" w:sz="4" w:space="0"/>
              <w:right w:val="single" w:color="auto" w:sz="4" w:space="0"/>
            </w:tcBorders>
            <w:shd w:val="clear" w:color="auto" w:fill="auto"/>
            <w:vAlign w:val="center"/>
          </w:tcPr>
          <w:p w14:paraId="4428A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指标得分</w:t>
            </w:r>
          </w:p>
          <w:p w14:paraId="10502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（分）</w:t>
            </w:r>
          </w:p>
        </w:tc>
        <w:tc>
          <w:tcPr>
            <w:tcW w:w="1310" w:type="dxa"/>
            <w:tcBorders>
              <w:top w:val="nil"/>
              <w:left w:val="nil"/>
              <w:bottom w:val="single" w:color="auto" w:sz="4" w:space="0"/>
              <w:right w:val="single" w:color="auto" w:sz="4" w:space="0"/>
            </w:tcBorders>
            <w:shd w:val="clear" w:color="auto" w:fill="auto"/>
            <w:vAlign w:val="center"/>
          </w:tcPr>
          <w:p w14:paraId="7F42C2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是否核心</w:t>
            </w:r>
          </w:p>
          <w:p w14:paraId="438FE0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指标</w:t>
            </w:r>
          </w:p>
        </w:tc>
      </w:tr>
      <w:tr w14:paraId="697E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661" w:type="dxa"/>
            <w:vMerge w:val="continue"/>
            <w:tcBorders>
              <w:top w:val="nil"/>
              <w:left w:val="single" w:color="auto" w:sz="4" w:space="0"/>
              <w:bottom w:val="nil"/>
              <w:right w:val="single" w:color="auto" w:sz="4" w:space="0"/>
            </w:tcBorders>
            <w:shd w:val="clear" w:color="auto" w:fill="auto"/>
            <w:vAlign w:val="center"/>
          </w:tcPr>
          <w:p w14:paraId="1A2C72DC">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1322" w:type="dxa"/>
            <w:tcBorders>
              <w:top w:val="nil"/>
              <w:left w:val="nil"/>
              <w:bottom w:val="single" w:color="auto" w:sz="4" w:space="0"/>
              <w:right w:val="nil"/>
            </w:tcBorders>
            <w:shd w:val="clear" w:color="auto" w:fill="auto"/>
            <w:vAlign w:val="center"/>
          </w:tcPr>
          <w:p w14:paraId="782C06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项目完成时效</w:t>
            </w:r>
          </w:p>
        </w:tc>
        <w:tc>
          <w:tcPr>
            <w:tcW w:w="723" w:type="dxa"/>
            <w:gridSpan w:val="3"/>
            <w:tcBorders>
              <w:top w:val="nil"/>
              <w:left w:val="single" w:color="auto" w:sz="4" w:space="0"/>
              <w:bottom w:val="single" w:color="auto" w:sz="4" w:space="0"/>
              <w:right w:val="nil"/>
            </w:tcBorders>
            <w:shd w:val="clear" w:color="auto" w:fill="auto"/>
            <w:vAlign w:val="center"/>
          </w:tcPr>
          <w:p w14:paraId="46DA86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年</w:t>
            </w:r>
          </w:p>
        </w:tc>
        <w:tc>
          <w:tcPr>
            <w:tcW w:w="327" w:type="dxa"/>
            <w:tcBorders>
              <w:top w:val="nil"/>
              <w:left w:val="single" w:color="auto" w:sz="4" w:space="0"/>
              <w:bottom w:val="single" w:color="auto" w:sz="4" w:space="0"/>
              <w:right w:val="nil"/>
            </w:tcBorders>
            <w:shd w:val="clear" w:color="auto" w:fill="auto"/>
            <w:vAlign w:val="center"/>
          </w:tcPr>
          <w:p w14:paraId="70FD6B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811" w:type="dxa"/>
            <w:gridSpan w:val="3"/>
            <w:tcBorders>
              <w:top w:val="nil"/>
              <w:left w:val="single" w:color="auto" w:sz="4" w:space="0"/>
              <w:bottom w:val="single" w:color="auto" w:sz="4" w:space="0"/>
              <w:right w:val="nil"/>
            </w:tcBorders>
            <w:shd w:val="clear" w:color="auto" w:fill="auto"/>
            <w:vAlign w:val="center"/>
          </w:tcPr>
          <w:p w14:paraId="27E677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w:t>
            </w:r>
          </w:p>
        </w:tc>
        <w:tc>
          <w:tcPr>
            <w:tcW w:w="569" w:type="dxa"/>
            <w:tcBorders>
              <w:top w:val="nil"/>
              <w:left w:val="single" w:color="auto" w:sz="4" w:space="0"/>
              <w:bottom w:val="single" w:color="auto" w:sz="4" w:space="0"/>
              <w:right w:val="nil"/>
            </w:tcBorders>
            <w:shd w:val="clear" w:color="auto" w:fill="auto"/>
            <w:vAlign w:val="center"/>
          </w:tcPr>
          <w:p w14:paraId="756832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w:t>
            </w:r>
          </w:p>
        </w:tc>
        <w:tc>
          <w:tcPr>
            <w:tcW w:w="1008" w:type="dxa"/>
            <w:tcBorders>
              <w:top w:val="nil"/>
              <w:left w:val="single" w:color="auto" w:sz="4" w:space="0"/>
              <w:bottom w:val="single" w:color="auto" w:sz="4" w:space="0"/>
              <w:right w:val="nil"/>
            </w:tcBorders>
            <w:shd w:val="clear" w:color="auto" w:fill="auto"/>
            <w:vAlign w:val="center"/>
          </w:tcPr>
          <w:p w14:paraId="7CB270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1</w:t>
            </w:r>
          </w:p>
        </w:tc>
        <w:tc>
          <w:tcPr>
            <w:tcW w:w="939" w:type="dxa"/>
            <w:tcBorders>
              <w:top w:val="nil"/>
              <w:left w:val="single" w:color="auto" w:sz="4" w:space="0"/>
              <w:bottom w:val="single" w:color="auto" w:sz="4" w:space="0"/>
              <w:right w:val="nil"/>
            </w:tcBorders>
            <w:shd w:val="clear" w:color="auto" w:fill="auto"/>
            <w:vAlign w:val="center"/>
          </w:tcPr>
          <w:p w14:paraId="04D4F7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96</w:t>
            </w:r>
          </w:p>
        </w:tc>
        <w:tc>
          <w:tcPr>
            <w:tcW w:w="1267" w:type="dxa"/>
            <w:tcBorders>
              <w:top w:val="nil"/>
              <w:left w:val="single" w:color="auto" w:sz="4" w:space="0"/>
              <w:bottom w:val="single" w:color="auto" w:sz="4" w:space="0"/>
              <w:right w:val="nil"/>
            </w:tcBorders>
            <w:shd w:val="clear" w:color="auto" w:fill="auto"/>
            <w:vAlign w:val="center"/>
          </w:tcPr>
          <w:p w14:paraId="38294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1284" w:type="dxa"/>
            <w:gridSpan w:val="2"/>
            <w:tcBorders>
              <w:top w:val="nil"/>
              <w:left w:val="single" w:color="auto" w:sz="4" w:space="0"/>
              <w:bottom w:val="single" w:color="auto" w:sz="4" w:space="0"/>
              <w:right w:val="nil"/>
            </w:tcBorders>
            <w:shd w:val="clear" w:color="auto" w:fill="auto"/>
            <w:vAlign w:val="center"/>
          </w:tcPr>
          <w:p w14:paraId="37A0B9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1310" w:type="dxa"/>
            <w:tcBorders>
              <w:top w:val="nil"/>
              <w:left w:val="single" w:color="auto" w:sz="4" w:space="0"/>
              <w:bottom w:val="single" w:color="auto" w:sz="4" w:space="0"/>
              <w:right w:val="single" w:color="auto" w:sz="4" w:space="0"/>
            </w:tcBorders>
            <w:shd w:val="clear" w:color="auto" w:fill="auto"/>
            <w:vAlign w:val="center"/>
          </w:tcPr>
          <w:p w14:paraId="226C7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w:t>
            </w:r>
          </w:p>
        </w:tc>
      </w:tr>
      <w:tr w14:paraId="4386F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61" w:type="dxa"/>
            <w:vMerge w:val="continue"/>
            <w:tcBorders>
              <w:top w:val="nil"/>
              <w:left w:val="single" w:color="auto" w:sz="4" w:space="0"/>
              <w:bottom w:val="nil"/>
              <w:right w:val="single" w:color="auto" w:sz="4" w:space="0"/>
            </w:tcBorders>
            <w:shd w:val="clear" w:color="auto" w:fill="auto"/>
            <w:vAlign w:val="center"/>
          </w:tcPr>
          <w:p w14:paraId="4A187CE7">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1322" w:type="dxa"/>
            <w:tcBorders>
              <w:top w:val="nil"/>
              <w:left w:val="nil"/>
              <w:bottom w:val="single" w:color="auto" w:sz="4" w:space="0"/>
              <w:right w:val="nil"/>
            </w:tcBorders>
            <w:shd w:val="clear" w:color="auto" w:fill="auto"/>
            <w:vAlign w:val="center"/>
          </w:tcPr>
          <w:p w14:paraId="46DA8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项目投入资金（万元）</w:t>
            </w:r>
          </w:p>
        </w:tc>
        <w:tc>
          <w:tcPr>
            <w:tcW w:w="723" w:type="dxa"/>
            <w:gridSpan w:val="3"/>
            <w:tcBorders>
              <w:top w:val="nil"/>
              <w:left w:val="single" w:color="auto" w:sz="4" w:space="0"/>
              <w:bottom w:val="single" w:color="auto" w:sz="4" w:space="0"/>
              <w:right w:val="nil"/>
            </w:tcBorders>
            <w:shd w:val="clear" w:color="auto" w:fill="auto"/>
            <w:vAlign w:val="center"/>
          </w:tcPr>
          <w:p w14:paraId="257E7A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万元</w:t>
            </w:r>
          </w:p>
        </w:tc>
        <w:tc>
          <w:tcPr>
            <w:tcW w:w="327" w:type="dxa"/>
            <w:tcBorders>
              <w:top w:val="nil"/>
              <w:left w:val="single" w:color="auto" w:sz="4" w:space="0"/>
              <w:bottom w:val="single" w:color="auto" w:sz="4" w:space="0"/>
              <w:right w:val="nil"/>
            </w:tcBorders>
            <w:shd w:val="clear" w:color="auto" w:fill="auto"/>
            <w:vAlign w:val="center"/>
          </w:tcPr>
          <w:p w14:paraId="2949F6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p>
          <w:p w14:paraId="29F61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p>
          <w:p w14:paraId="1BC9E9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811" w:type="dxa"/>
            <w:gridSpan w:val="3"/>
            <w:tcBorders>
              <w:top w:val="nil"/>
              <w:left w:val="single" w:color="auto" w:sz="4" w:space="0"/>
              <w:bottom w:val="single" w:color="auto" w:sz="4" w:space="0"/>
              <w:right w:val="nil"/>
            </w:tcBorders>
            <w:shd w:val="clear" w:color="auto" w:fill="auto"/>
            <w:vAlign w:val="center"/>
          </w:tcPr>
          <w:p w14:paraId="521F0E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569" w:type="dxa"/>
            <w:tcBorders>
              <w:top w:val="nil"/>
              <w:left w:val="single" w:color="auto" w:sz="4" w:space="0"/>
              <w:bottom w:val="single" w:color="auto" w:sz="4" w:space="0"/>
              <w:right w:val="nil"/>
            </w:tcBorders>
            <w:shd w:val="clear" w:color="auto" w:fill="auto"/>
            <w:vAlign w:val="center"/>
          </w:tcPr>
          <w:p w14:paraId="2D99A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w:t>
            </w:r>
          </w:p>
        </w:tc>
        <w:tc>
          <w:tcPr>
            <w:tcW w:w="1008" w:type="dxa"/>
            <w:tcBorders>
              <w:top w:val="nil"/>
              <w:left w:val="single" w:color="auto" w:sz="4" w:space="0"/>
              <w:bottom w:val="single" w:color="auto" w:sz="4" w:space="0"/>
              <w:right w:val="nil"/>
            </w:tcBorders>
            <w:shd w:val="clear" w:color="auto" w:fill="auto"/>
            <w:vAlign w:val="center"/>
          </w:tcPr>
          <w:p w14:paraId="64312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939" w:type="dxa"/>
            <w:tcBorders>
              <w:top w:val="nil"/>
              <w:left w:val="single" w:color="auto" w:sz="4" w:space="0"/>
              <w:bottom w:val="single" w:color="auto" w:sz="4" w:space="0"/>
              <w:right w:val="nil"/>
            </w:tcBorders>
            <w:shd w:val="clear" w:color="auto" w:fill="auto"/>
            <w:vAlign w:val="center"/>
          </w:tcPr>
          <w:p w14:paraId="716452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96</w:t>
            </w:r>
          </w:p>
        </w:tc>
        <w:tc>
          <w:tcPr>
            <w:tcW w:w="1267" w:type="dxa"/>
            <w:tcBorders>
              <w:top w:val="nil"/>
              <w:left w:val="single" w:color="auto" w:sz="4" w:space="0"/>
              <w:bottom w:val="single" w:color="auto" w:sz="4" w:space="0"/>
              <w:right w:val="nil"/>
            </w:tcBorders>
            <w:shd w:val="clear" w:color="auto" w:fill="auto"/>
            <w:vAlign w:val="center"/>
          </w:tcPr>
          <w:p w14:paraId="2D3B6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20</w:t>
            </w:r>
          </w:p>
        </w:tc>
        <w:tc>
          <w:tcPr>
            <w:tcW w:w="1284" w:type="dxa"/>
            <w:gridSpan w:val="2"/>
            <w:tcBorders>
              <w:top w:val="nil"/>
              <w:left w:val="single" w:color="auto" w:sz="4" w:space="0"/>
              <w:bottom w:val="single" w:color="auto" w:sz="4" w:space="0"/>
              <w:right w:val="nil"/>
            </w:tcBorders>
            <w:shd w:val="clear" w:color="auto" w:fill="auto"/>
            <w:vAlign w:val="center"/>
          </w:tcPr>
          <w:p w14:paraId="593608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20</w:t>
            </w:r>
          </w:p>
        </w:tc>
        <w:tc>
          <w:tcPr>
            <w:tcW w:w="1310" w:type="dxa"/>
            <w:tcBorders>
              <w:top w:val="nil"/>
              <w:left w:val="single" w:color="auto" w:sz="4" w:space="0"/>
              <w:bottom w:val="single" w:color="auto" w:sz="4" w:space="0"/>
              <w:right w:val="single" w:color="auto" w:sz="4" w:space="0"/>
            </w:tcBorders>
            <w:shd w:val="clear" w:color="auto" w:fill="auto"/>
            <w:vAlign w:val="center"/>
          </w:tcPr>
          <w:p w14:paraId="49ADEC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w:t>
            </w:r>
          </w:p>
        </w:tc>
      </w:tr>
      <w:tr w14:paraId="187B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661" w:type="dxa"/>
            <w:vMerge w:val="continue"/>
            <w:tcBorders>
              <w:top w:val="nil"/>
              <w:left w:val="single" w:color="auto" w:sz="4" w:space="0"/>
              <w:bottom w:val="nil"/>
              <w:right w:val="single" w:color="auto" w:sz="4" w:space="0"/>
            </w:tcBorders>
            <w:shd w:val="clear" w:color="auto" w:fill="auto"/>
            <w:vAlign w:val="center"/>
          </w:tcPr>
          <w:p w14:paraId="4D486A09">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1322" w:type="dxa"/>
            <w:tcBorders>
              <w:top w:val="nil"/>
              <w:left w:val="nil"/>
              <w:bottom w:val="single" w:color="auto" w:sz="4" w:space="0"/>
              <w:right w:val="nil"/>
            </w:tcBorders>
            <w:shd w:val="clear" w:color="auto" w:fill="auto"/>
            <w:vAlign w:val="center"/>
          </w:tcPr>
          <w:p w14:paraId="7D61EE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服务对象满意度</w:t>
            </w:r>
          </w:p>
        </w:tc>
        <w:tc>
          <w:tcPr>
            <w:tcW w:w="723" w:type="dxa"/>
            <w:gridSpan w:val="3"/>
            <w:tcBorders>
              <w:top w:val="nil"/>
              <w:left w:val="single" w:color="auto" w:sz="4" w:space="0"/>
              <w:bottom w:val="single" w:color="auto" w:sz="4" w:space="0"/>
              <w:right w:val="nil"/>
            </w:tcBorders>
            <w:shd w:val="clear" w:color="auto" w:fill="auto"/>
            <w:vAlign w:val="center"/>
          </w:tcPr>
          <w:p w14:paraId="6BDB4E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327" w:type="dxa"/>
            <w:tcBorders>
              <w:top w:val="nil"/>
              <w:left w:val="single" w:color="auto" w:sz="4" w:space="0"/>
              <w:bottom w:val="single" w:color="auto" w:sz="4" w:space="0"/>
              <w:right w:val="nil"/>
            </w:tcBorders>
            <w:shd w:val="clear" w:color="auto" w:fill="auto"/>
            <w:vAlign w:val="center"/>
          </w:tcPr>
          <w:p w14:paraId="1B57B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p>
          <w:p w14:paraId="76D52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811" w:type="dxa"/>
            <w:gridSpan w:val="3"/>
            <w:tcBorders>
              <w:top w:val="nil"/>
              <w:left w:val="single" w:color="auto" w:sz="4" w:space="0"/>
              <w:bottom w:val="single" w:color="auto" w:sz="4" w:space="0"/>
              <w:right w:val="nil"/>
            </w:tcBorders>
            <w:shd w:val="clear" w:color="auto" w:fill="auto"/>
            <w:vAlign w:val="center"/>
          </w:tcPr>
          <w:p w14:paraId="0DBAB2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98</w:t>
            </w:r>
          </w:p>
        </w:tc>
        <w:tc>
          <w:tcPr>
            <w:tcW w:w="569" w:type="dxa"/>
            <w:tcBorders>
              <w:top w:val="nil"/>
              <w:left w:val="single" w:color="auto" w:sz="4" w:space="0"/>
              <w:bottom w:val="single" w:color="auto" w:sz="4" w:space="0"/>
              <w:right w:val="nil"/>
            </w:tcBorders>
            <w:shd w:val="clear" w:color="auto" w:fill="auto"/>
            <w:vAlign w:val="center"/>
          </w:tcPr>
          <w:p w14:paraId="3F1B2F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w:t>
            </w:r>
          </w:p>
        </w:tc>
        <w:tc>
          <w:tcPr>
            <w:tcW w:w="1008" w:type="dxa"/>
            <w:tcBorders>
              <w:top w:val="nil"/>
              <w:left w:val="single" w:color="auto" w:sz="4" w:space="0"/>
              <w:bottom w:val="single" w:color="auto" w:sz="4" w:space="0"/>
              <w:right w:val="nil"/>
            </w:tcBorders>
            <w:shd w:val="clear" w:color="auto" w:fill="auto"/>
            <w:vAlign w:val="center"/>
          </w:tcPr>
          <w:p w14:paraId="091A6A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98</w:t>
            </w:r>
          </w:p>
        </w:tc>
        <w:tc>
          <w:tcPr>
            <w:tcW w:w="939" w:type="dxa"/>
            <w:tcBorders>
              <w:top w:val="nil"/>
              <w:left w:val="single" w:color="auto" w:sz="4" w:space="0"/>
              <w:bottom w:val="single" w:color="auto" w:sz="4" w:space="0"/>
              <w:right w:val="nil"/>
            </w:tcBorders>
            <w:shd w:val="clear" w:color="auto" w:fill="auto"/>
            <w:vAlign w:val="center"/>
          </w:tcPr>
          <w:p w14:paraId="7FF97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96</w:t>
            </w:r>
          </w:p>
        </w:tc>
        <w:tc>
          <w:tcPr>
            <w:tcW w:w="1267" w:type="dxa"/>
            <w:tcBorders>
              <w:top w:val="nil"/>
              <w:left w:val="single" w:color="auto" w:sz="4" w:space="0"/>
              <w:bottom w:val="single" w:color="auto" w:sz="4" w:space="0"/>
              <w:right w:val="nil"/>
            </w:tcBorders>
            <w:shd w:val="clear" w:color="auto" w:fill="auto"/>
            <w:vAlign w:val="center"/>
          </w:tcPr>
          <w:p w14:paraId="50824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20</w:t>
            </w:r>
          </w:p>
        </w:tc>
        <w:tc>
          <w:tcPr>
            <w:tcW w:w="1284" w:type="dxa"/>
            <w:gridSpan w:val="2"/>
            <w:tcBorders>
              <w:top w:val="nil"/>
              <w:left w:val="single" w:color="auto" w:sz="4" w:space="0"/>
              <w:bottom w:val="single" w:color="auto" w:sz="4" w:space="0"/>
              <w:right w:val="nil"/>
            </w:tcBorders>
            <w:shd w:val="clear" w:color="auto" w:fill="auto"/>
            <w:vAlign w:val="center"/>
          </w:tcPr>
          <w:p w14:paraId="661CA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20</w:t>
            </w:r>
          </w:p>
        </w:tc>
        <w:tc>
          <w:tcPr>
            <w:tcW w:w="1310" w:type="dxa"/>
            <w:tcBorders>
              <w:top w:val="nil"/>
              <w:left w:val="single" w:color="auto" w:sz="4" w:space="0"/>
              <w:bottom w:val="single" w:color="auto" w:sz="4" w:space="0"/>
              <w:right w:val="single" w:color="auto" w:sz="4" w:space="0"/>
            </w:tcBorders>
            <w:shd w:val="clear" w:color="auto" w:fill="auto"/>
            <w:vAlign w:val="center"/>
          </w:tcPr>
          <w:p w14:paraId="256716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w:t>
            </w:r>
          </w:p>
        </w:tc>
      </w:tr>
      <w:tr w14:paraId="298E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61" w:type="dxa"/>
            <w:vMerge w:val="continue"/>
            <w:tcBorders>
              <w:top w:val="nil"/>
              <w:left w:val="single" w:color="auto" w:sz="4" w:space="0"/>
              <w:bottom w:val="nil"/>
              <w:right w:val="single" w:color="auto" w:sz="4" w:space="0"/>
            </w:tcBorders>
            <w:shd w:val="clear" w:color="auto" w:fill="auto"/>
            <w:vAlign w:val="center"/>
          </w:tcPr>
          <w:p w14:paraId="432CF052">
            <w:pPr>
              <w:keepNext w:val="0"/>
              <w:keepLines w:val="0"/>
              <w:pageBreakBefore w:val="0"/>
              <w:kinsoku/>
              <w:wordWrap/>
              <w:overflowPunct/>
              <w:topLinePunct w:val="0"/>
              <w:autoSpaceDE/>
              <w:autoSpaceDN/>
              <w:bidi w:val="0"/>
              <w:adjustRightInd/>
              <w:snapToGrid/>
              <w:spacing w:line="360" w:lineRule="exact"/>
              <w:textAlignment w:val="auto"/>
              <w:rPr>
                <w:rFonts w:hint="default" w:ascii="Times New Roman" w:hAnsi="Times New Roman" w:cs="Times New Roman"/>
                <w:sz w:val="20"/>
                <w:szCs w:val="20"/>
              </w:rPr>
            </w:pPr>
          </w:p>
        </w:tc>
        <w:tc>
          <w:tcPr>
            <w:tcW w:w="1322" w:type="dxa"/>
            <w:tcBorders>
              <w:top w:val="nil"/>
              <w:left w:val="nil"/>
              <w:bottom w:val="single" w:color="auto" w:sz="4" w:space="0"/>
              <w:right w:val="nil"/>
            </w:tcBorders>
            <w:shd w:val="clear" w:color="auto" w:fill="auto"/>
            <w:vAlign w:val="center"/>
          </w:tcPr>
          <w:p w14:paraId="4F632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受益人群满意度</w:t>
            </w:r>
          </w:p>
        </w:tc>
        <w:tc>
          <w:tcPr>
            <w:tcW w:w="723" w:type="dxa"/>
            <w:gridSpan w:val="3"/>
            <w:tcBorders>
              <w:top w:val="nil"/>
              <w:left w:val="single" w:color="auto" w:sz="4" w:space="0"/>
              <w:bottom w:val="single" w:color="auto" w:sz="4" w:space="0"/>
              <w:right w:val="nil"/>
            </w:tcBorders>
            <w:shd w:val="clear" w:color="auto" w:fill="auto"/>
            <w:vAlign w:val="center"/>
          </w:tcPr>
          <w:p w14:paraId="740C0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w:t>
            </w:r>
          </w:p>
        </w:tc>
        <w:tc>
          <w:tcPr>
            <w:tcW w:w="327" w:type="dxa"/>
            <w:tcBorders>
              <w:top w:val="nil"/>
              <w:left w:val="single" w:color="auto" w:sz="4" w:space="0"/>
              <w:bottom w:val="single" w:color="auto" w:sz="4" w:space="0"/>
              <w:right w:val="nil"/>
            </w:tcBorders>
            <w:shd w:val="clear" w:color="auto" w:fill="auto"/>
            <w:vAlign w:val="center"/>
          </w:tcPr>
          <w:p w14:paraId="56B56B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w:t>
            </w:r>
            <w:r>
              <w:rPr>
                <w:rFonts w:hint="default" w:ascii="Times New Roman" w:hAnsi="Times New Roman" w:eastAsia="方正仿宋_GBK" w:cs="Times New Roman"/>
                <w:kern w:val="0"/>
                <w:sz w:val="22"/>
                <w:szCs w:val="22"/>
                <w:lang w:val="en-US" w:eastAsia="zh-CN" w:bidi="ar"/>
              </w:rPr>
              <w:t>=</w:t>
            </w:r>
          </w:p>
        </w:tc>
        <w:tc>
          <w:tcPr>
            <w:tcW w:w="811" w:type="dxa"/>
            <w:gridSpan w:val="3"/>
            <w:tcBorders>
              <w:top w:val="nil"/>
              <w:left w:val="single" w:color="auto" w:sz="4" w:space="0"/>
              <w:bottom w:val="single" w:color="auto" w:sz="4" w:space="0"/>
              <w:right w:val="nil"/>
            </w:tcBorders>
            <w:shd w:val="clear" w:color="auto" w:fill="auto"/>
            <w:vAlign w:val="center"/>
          </w:tcPr>
          <w:p w14:paraId="7EE1D7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95</w:t>
            </w:r>
          </w:p>
        </w:tc>
        <w:tc>
          <w:tcPr>
            <w:tcW w:w="569" w:type="dxa"/>
            <w:tcBorders>
              <w:top w:val="nil"/>
              <w:left w:val="single" w:color="auto" w:sz="4" w:space="0"/>
              <w:bottom w:val="single" w:color="auto" w:sz="4" w:space="0"/>
              <w:right w:val="nil"/>
            </w:tcBorders>
            <w:shd w:val="clear" w:color="auto" w:fill="auto"/>
            <w:vAlign w:val="center"/>
          </w:tcPr>
          <w:p w14:paraId="4D2464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0</w:t>
            </w:r>
          </w:p>
        </w:tc>
        <w:tc>
          <w:tcPr>
            <w:tcW w:w="1008" w:type="dxa"/>
            <w:tcBorders>
              <w:top w:val="nil"/>
              <w:left w:val="single" w:color="auto" w:sz="4" w:space="0"/>
              <w:bottom w:val="single" w:color="auto" w:sz="4" w:space="0"/>
              <w:right w:val="nil"/>
            </w:tcBorders>
            <w:shd w:val="clear" w:color="auto" w:fill="auto"/>
            <w:vAlign w:val="center"/>
          </w:tcPr>
          <w:p w14:paraId="7CD6C8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95</w:t>
            </w:r>
          </w:p>
        </w:tc>
        <w:tc>
          <w:tcPr>
            <w:tcW w:w="939" w:type="dxa"/>
            <w:tcBorders>
              <w:top w:val="nil"/>
              <w:left w:val="single" w:color="auto" w:sz="4" w:space="0"/>
              <w:bottom w:val="single" w:color="auto" w:sz="4" w:space="0"/>
              <w:right w:val="nil"/>
            </w:tcBorders>
            <w:shd w:val="clear" w:color="auto" w:fill="auto"/>
            <w:vAlign w:val="center"/>
          </w:tcPr>
          <w:p w14:paraId="6B30A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96</w:t>
            </w:r>
          </w:p>
        </w:tc>
        <w:tc>
          <w:tcPr>
            <w:tcW w:w="1267" w:type="dxa"/>
            <w:tcBorders>
              <w:top w:val="nil"/>
              <w:left w:val="single" w:color="auto" w:sz="4" w:space="0"/>
              <w:bottom w:val="single" w:color="auto" w:sz="4" w:space="0"/>
              <w:right w:val="nil"/>
            </w:tcBorders>
            <w:shd w:val="clear" w:color="auto" w:fill="auto"/>
            <w:vAlign w:val="center"/>
          </w:tcPr>
          <w:p w14:paraId="156E1B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30</w:t>
            </w:r>
          </w:p>
        </w:tc>
        <w:tc>
          <w:tcPr>
            <w:tcW w:w="1284" w:type="dxa"/>
            <w:gridSpan w:val="2"/>
            <w:tcBorders>
              <w:top w:val="nil"/>
              <w:left w:val="single" w:color="auto" w:sz="4" w:space="0"/>
              <w:bottom w:val="single" w:color="auto" w:sz="4" w:space="0"/>
              <w:right w:val="nil"/>
            </w:tcBorders>
            <w:shd w:val="clear" w:color="auto" w:fill="auto"/>
            <w:vAlign w:val="center"/>
          </w:tcPr>
          <w:p w14:paraId="5D105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lang w:val="en-US" w:eastAsia="zh-CN" w:bidi="ar"/>
              </w:rPr>
              <w:t>20</w:t>
            </w:r>
          </w:p>
        </w:tc>
        <w:tc>
          <w:tcPr>
            <w:tcW w:w="1310" w:type="dxa"/>
            <w:tcBorders>
              <w:top w:val="nil"/>
              <w:left w:val="single" w:color="auto" w:sz="4" w:space="0"/>
              <w:bottom w:val="single" w:color="auto" w:sz="4" w:space="0"/>
              <w:right w:val="single" w:color="auto" w:sz="4" w:space="0"/>
            </w:tcBorders>
            <w:shd w:val="clear" w:color="auto" w:fill="auto"/>
            <w:vAlign w:val="center"/>
          </w:tcPr>
          <w:p w14:paraId="204C1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是</w:t>
            </w:r>
          </w:p>
        </w:tc>
      </w:tr>
      <w:tr w14:paraId="558A1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61" w:type="dxa"/>
            <w:tcBorders>
              <w:top w:val="nil"/>
              <w:left w:val="single" w:color="auto" w:sz="4" w:space="0"/>
              <w:bottom w:val="single" w:color="auto" w:sz="4" w:space="0"/>
              <w:right w:val="single" w:color="auto" w:sz="4" w:space="0"/>
            </w:tcBorders>
            <w:shd w:val="clear" w:color="auto" w:fill="auto"/>
            <w:vAlign w:val="center"/>
          </w:tcPr>
          <w:p w14:paraId="793D0B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r>
              <w:rPr>
                <w:rFonts w:hint="eastAsia" w:ascii="方正仿宋_GBK" w:hAnsi="方正仿宋_GBK" w:eastAsia="方正仿宋_GBK" w:cs="方正仿宋_GBK"/>
                <w:kern w:val="0"/>
                <w:sz w:val="22"/>
                <w:szCs w:val="22"/>
                <w:lang w:val="en-US" w:eastAsia="zh-CN" w:bidi="ar"/>
              </w:rPr>
              <w:t>说明</w:t>
            </w:r>
          </w:p>
        </w:tc>
        <w:tc>
          <w:tcPr>
            <w:tcW w:w="9560" w:type="dxa"/>
            <w:gridSpan w:val="15"/>
            <w:tcBorders>
              <w:top w:val="single" w:color="auto" w:sz="4" w:space="0"/>
              <w:left w:val="nil"/>
              <w:bottom w:val="single" w:color="auto" w:sz="4" w:space="0"/>
              <w:right w:val="single" w:color="auto" w:sz="4" w:space="0"/>
            </w:tcBorders>
            <w:shd w:val="clear" w:color="auto" w:fill="auto"/>
            <w:vAlign w:val="center"/>
          </w:tcPr>
          <w:p w14:paraId="64C81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Times New Roman" w:hAnsi="Times New Roman" w:eastAsia="方正仿宋_GBK" w:cs="Times New Roman"/>
                <w:kern w:val="0"/>
                <w:sz w:val="22"/>
                <w:szCs w:val="22"/>
              </w:rPr>
            </w:pPr>
          </w:p>
        </w:tc>
      </w:tr>
    </w:tbl>
    <w:p w14:paraId="78F968C4">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bidi="ar"/>
        </w:rPr>
        <w:t>2.</w:t>
      </w:r>
      <w:r>
        <w:rPr>
          <w:rFonts w:hint="eastAsia" w:ascii="方正仿宋_GBK" w:hAnsi="方正仿宋_GBK" w:eastAsia="方正仿宋_GBK" w:cs="方正仿宋_GBK"/>
          <w:kern w:val="0"/>
          <w:sz w:val="32"/>
          <w:szCs w:val="32"/>
          <w:lang w:val="en-US" w:eastAsia="zh-CN" w:bidi="ar"/>
        </w:rPr>
        <w:t>绩效自评报告或案例。</w:t>
      </w:r>
    </w:p>
    <w:p w14:paraId="40C95AE6">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本单位未委托第三方开展绩效评价，无绩效评价报告或案例。</w:t>
      </w:r>
    </w:p>
    <w:p w14:paraId="2EFF055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关于绩效自评结果的说明。</w:t>
      </w:r>
    </w:p>
    <w:p w14:paraId="4A0E5E0F">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本单位已完成</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年度绩效目标。</w:t>
      </w:r>
    </w:p>
    <w:p w14:paraId="34F17FD4">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重点绩效评价结果。</w:t>
      </w:r>
    </w:p>
    <w:p w14:paraId="7311E671">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市财政局未委托第三方对本单位</w:t>
      </w:r>
      <w:r>
        <w:rPr>
          <w:rFonts w:hint="default" w:ascii="Times New Roman" w:hAnsi="Times New Roman" w:eastAsia="方正仿宋_GBK" w:cs="Times New Roman"/>
          <w:kern w:val="0"/>
          <w:sz w:val="32"/>
          <w:szCs w:val="32"/>
          <w:lang w:val="en-US" w:eastAsia="zh-CN" w:bidi="ar"/>
        </w:rPr>
        <w:t>2023</w:t>
      </w:r>
      <w:r>
        <w:rPr>
          <w:rFonts w:hint="eastAsia" w:ascii="方正仿宋_GBK" w:hAnsi="方正仿宋_GBK" w:eastAsia="方正仿宋_GBK" w:cs="方正仿宋_GBK"/>
          <w:kern w:val="0"/>
          <w:sz w:val="32"/>
          <w:szCs w:val="32"/>
          <w:lang w:val="en-US" w:eastAsia="zh-CN" w:bidi="ar"/>
        </w:rPr>
        <w:t>年的政策或项目开展重点绩效评价。</w:t>
      </w:r>
    </w:p>
    <w:p w14:paraId="237298C0">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六、专业名词解释</w:t>
      </w:r>
    </w:p>
    <w:p w14:paraId="09853CC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（一）财政拨款收入：指本年度从本级财政部门取得的财政拨款，包括一般公共预算财政拨款和政府性基金预算财政拨款。</w:t>
      </w:r>
    </w:p>
    <w:p w14:paraId="4EE335F3">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（二）事业收入：指事业单位开展专业业务活动及其辅助活动取得的现金流入；事业单位收到的财政专户实际核拨的教育收费等资金在此反映。</w:t>
      </w:r>
    </w:p>
    <w:p w14:paraId="7889077E">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（三）经营收入：指事业单位在专业业务活动及其辅助活动之外开展非独立核算经营活动取得的现金流入。</w:t>
      </w:r>
    </w:p>
    <w:p w14:paraId="13F49402">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（四）其他收入：指单位取得的除</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财政拨款收入”“事业收入”“经营收入</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D62D8B">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（五）使用非财政拨款结余：指单位在当年的</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财政拨款收入”“事业收入”“经营收入”“其他收入</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等不足以安排当年支出的情况下，使用以前年度积累的非财政拨款结余弥补本年度收支缺口的资金。</w:t>
      </w:r>
    </w:p>
    <w:p w14:paraId="5033FF5B">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（六）年初结转和结余：指单位上年结转本年使用的基本支出结转、项目支出结转和结余、经营结余。</w:t>
      </w:r>
    </w:p>
    <w:p w14:paraId="6FA7987A">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（七）结余分配：指单位按照国家有关规定，缴纳所得税、提取专用基金、转入非财政拨款结余等当年结余的分配情况。</w:t>
      </w:r>
    </w:p>
    <w:p w14:paraId="69A39A49">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（八）年末结转和结余：指单位结转下年的基本支出结转、项目支出结转和结余、经营结余。</w:t>
      </w:r>
    </w:p>
    <w:p w14:paraId="48F3A77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（九）基本支出：指为保障机构正常运转、完成日常工作任务而发生的人员经费和公用经费。其中：人员经费指政府收支分类经济科目中的</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工资福利支出</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和</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对个人和家庭的补助</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；公用经费指政府收支分类经济科目中除</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工资福利支出</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和</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对个人和家庭的补助</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外的其他支出。</w:t>
      </w:r>
    </w:p>
    <w:p w14:paraId="70084B2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（十）项目支出：指在基本支出之外为完成特定行政任务和事业发展目标所发生的支出。</w:t>
      </w:r>
    </w:p>
    <w:p w14:paraId="6B269828">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（十一）经营支出：指事业单位在专业业务活动及其辅助活动之外开展非独立核算经营活动发生的支出。</w:t>
      </w:r>
    </w:p>
    <w:p w14:paraId="64DC39A0">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（十二）</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三公</w:t>
      </w:r>
      <w:r>
        <w:rPr>
          <w:rFonts w:hint="default" w:ascii="Times New Roman" w:hAnsi="Times New Roman" w:eastAsia="方正仿宋_GBK" w:cs="Times New Roman"/>
          <w:kern w:val="0"/>
          <w:sz w:val="32"/>
          <w:szCs w:val="32"/>
          <w:lang w:val="en-US" w:eastAsia="zh-CN" w:bidi="ar"/>
        </w:rPr>
        <w:t>”</w:t>
      </w:r>
      <w:r>
        <w:rPr>
          <w:rFonts w:hint="eastAsia" w:ascii="方正仿宋_GBK" w:hAnsi="方正仿宋_GBK" w:eastAsia="方正仿宋_GBK" w:cs="方正仿宋_GBK"/>
          <w:kern w:val="0"/>
          <w:sz w:val="32"/>
          <w:szCs w:val="32"/>
          <w:lang w:val="en-US" w:eastAsia="zh-CN" w:bidi="ar"/>
        </w:rPr>
        <w:t>经费：指使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AF318AF">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AC7E925">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（十四）工资福利支出（支出经济分类科目类级）：反映单位开支的在职职工和编制外长期聘用人员的各类劳动报酬，以及为上述人员缴纳的各项社会保险费等。</w:t>
      </w:r>
    </w:p>
    <w:p w14:paraId="2264C9CB">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（十五）商品和服务支出（支出经济分类科目类级）：反映单位购买商品和服务的支出（不包括用于购置固定资产的支出、战略性和应急储备支出）。</w:t>
      </w:r>
    </w:p>
    <w:p w14:paraId="33B0D38C">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（十六）对个人和家庭的补助（支出经济分类科目类级）：反映用于对个人和家庭的补助支出。</w:t>
      </w:r>
    </w:p>
    <w:p w14:paraId="71404539">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十七）其他资本性支出（支出经济分类科目类级）：反映非各级发展和改革部门集中安排的用于购置固定资产、战略性和应急性储备、土地和无形资产，以及构建基础设施、大型修缮和财政支持企业更新改造所发生的支出。</w:t>
      </w:r>
    </w:p>
    <w:p w14:paraId="6CC59806">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bidi="ar"/>
        </w:rPr>
        <w:t>七、决算公开联系方式</w:t>
      </w:r>
    </w:p>
    <w:p w14:paraId="175282E9">
      <w:pPr>
        <w:keepNext w:val="0"/>
        <w:keepLines w:val="0"/>
        <w:pageBreakBefore w:val="0"/>
        <w:widowControl/>
        <w:suppressLineNumbers w:val="0"/>
        <w:kinsoku/>
        <w:wordWrap/>
        <w:topLinePunct w:val="0"/>
        <w:bidi w:val="0"/>
        <w:adjustRightInd w:val="0"/>
        <w:snapToGrid w:val="0"/>
        <w:spacing w:before="0" w:beforeAutospacing="0" w:after="0" w:afterAutospacing="0" w:line="560" w:lineRule="exact"/>
        <w:ind w:left="0" w:right="0" w:firstLine="640" w:firstLineChars="200"/>
        <w:jc w:val="left"/>
        <w:rPr>
          <w:rFonts w:hint="default"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lang w:val="en-US" w:eastAsia="zh-CN" w:bidi="ar"/>
        </w:rPr>
        <w:t>本单位决算公开信息反馈和联系方式：</w:t>
      </w:r>
      <w:r>
        <w:rPr>
          <w:rFonts w:hint="default" w:ascii="Times New Roman" w:hAnsi="Times New Roman" w:eastAsia="方正仿宋_GBK" w:cs="Times New Roman"/>
          <w:kern w:val="0"/>
          <w:sz w:val="32"/>
          <w:szCs w:val="32"/>
          <w:lang w:val="en-US" w:eastAsia="zh-CN" w:bidi="ar"/>
        </w:rPr>
        <w:t>023-59263001</w:t>
      </w:r>
    </w:p>
    <w:p w14:paraId="4194BBDA">
      <w:pPr>
        <w:keepNext w:val="0"/>
        <w:keepLines w:val="0"/>
        <w:pageBreakBefore w:val="0"/>
        <w:kinsoku/>
        <w:wordWrap/>
        <w:topLinePunct w:val="0"/>
        <w:bidi w:val="0"/>
        <w:spacing w:line="560" w:lineRule="exact"/>
      </w:pPr>
    </w:p>
    <w:p w14:paraId="65036CA2">
      <w:pPr>
        <w:pStyle w:val="5"/>
        <w:keepNext w:val="0"/>
        <w:keepLines w:val="0"/>
        <w:pageBreakBefore w:val="0"/>
        <w:widowControl w:val="0"/>
        <w:suppressLineNumbers w:val="0"/>
        <w:kinsoku/>
        <w:wordWrap/>
        <w:overflowPunct/>
        <w:topLinePunct w:val="0"/>
        <w:autoSpaceDE w:val="0"/>
        <w:autoSpaceDN/>
        <w:bidi w:val="0"/>
        <w:adjustRightInd/>
        <w:snapToGrid/>
        <w:spacing w:afterAutospacing="0" w:line="560" w:lineRule="exact"/>
        <w:ind w:left="0" w:firstLine="640" w:firstLineChars="200"/>
        <w:jc w:val="both"/>
        <w:rPr>
          <w:rFonts w:hint="eastAsia" w:ascii="Times New Roman" w:hAnsi="Times New Roman" w:eastAsia="方正仿宋_GBK" w:cs="方正仿宋_GBK"/>
          <w:kern w:val="2"/>
          <w:sz w:val="32"/>
          <w:szCs w:val="32"/>
        </w:rPr>
      </w:pPr>
    </w:p>
    <w:p w14:paraId="294562C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TAyMjQwYzhlZDFhZTE1NDI0MjYwMGE0OTA3ODgifQ=="/>
  </w:docVars>
  <w:rsids>
    <w:rsidRoot w:val="0B4441AC"/>
    <w:rsid w:val="0B444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List Paragraph"/>
    <w:basedOn w:val="1"/>
    <w:qFormat/>
    <w:uiPriority w:val="99"/>
    <w:pPr>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2024-09-14T01:20:00Z</dcterms:created>
  <dc:creator>浮华若梦お</dc:creator>
  <cp:lastModifiedBy>浮华若梦お</cp:lastModifiedBy>
  <dcterms:modified xsi:type="dcterms:W3CDTF">2024-09-14T01:21:06Z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104487E2F9864FA6B6FBD2F18E196D93_11</vt:lpwstr>
  </property>
</Properties>
</file>