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城口县</w:t>
      </w:r>
      <w:r>
        <w:rPr>
          <w:rFonts w:hint="eastAsia" w:ascii="方正小标宋简体" w:hAnsi="方正小标宋简体" w:eastAsia="方正小标宋简体" w:cs="方正小标宋简体"/>
          <w:sz w:val="44"/>
          <w:szCs w:val="44"/>
          <w:lang w:val="en-US" w:eastAsia="zh-CN"/>
        </w:rPr>
        <w:t>乡镇街道</w:t>
      </w:r>
      <w:r>
        <w:rPr>
          <w:rFonts w:hint="eastAsia" w:ascii="方正小标宋简体" w:hAnsi="方正小标宋简体" w:eastAsia="方正小标宋简体" w:cs="方正小标宋简体"/>
          <w:sz w:val="44"/>
          <w:szCs w:val="44"/>
        </w:rPr>
        <w:t>救灾领域基层政务公开标准目录（202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年版）</w:t>
      </w:r>
    </w:p>
    <w:bookmarkEnd w:id="0"/>
    <w:tbl>
      <w:tblPr>
        <w:tblStyle w:val="3"/>
        <w:tblW w:w="1489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8"/>
        <w:gridCol w:w="425"/>
        <w:gridCol w:w="900"/>
        <w:gridCol w:w="2055"/>
        <w:gridCol w:w="2700"/>
        <w:gridCol w:w="1770"/>
        <w:gridCol w:w="1995"/>
        <w:gridCol w:w="3017"/>
        <w:gridCol w:w="299"/>
        <w:gridCol w:w="298"/>
        <w:gridCol w:w="289"/>
        <w:gridCol w:w="310"/>
        <w:gridCol w:w="289"/>
        <w:gridCol w:w="29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95" w:hRule="atLeast"/>
          <w:tblHeader/>
          <w:jc w:val="center"/>
        </w:trPr>
        <w:tc>
          <w:tcPr>
            <w:tcW w:w="258" w:type="dxa"/>
            <w:vMerge w:val="restart"/>
            <w:tcBorders>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wordWrap w:val="0"/>
              <w:spacing w:before="0" w:beforeAutospacing="0" w:after="0" w:afterAutospacing="0"/>
              <w:jc w:val="center"/>
              <w:textAlignment w:val="center"/>
              <w:rPr>
                <w:sz w:val="16"/>
                <w:szCs w:val="16"/>
              </w:rPr>
            </w:pPr>
            <w:r>
              <w:rPr>
                <w:rFonts w:ascii="方正黑体_GBK" w:hAnsi="方正黑体_GBK" w:eastAsia="方正黑体_GBK" w:cs="方正黑体_GBK"/>
                <w:sz w:val="16"/>
                <w:szCs w:val="16"/>
              </w:rPr>
              <w:t>序号</w:t>
            </w:r>
          </w:p>
        </w:tc>
        <w:tc>
          <w:tcPr>
            <w:tcW w:w="1325" w:type="dxa"/>
            <w:gridSpan w:val="2"/>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公开事项</w:t>
            </w:r>
          </w:p>
        </w:tc>
        <w:tc>
          <w:tcPr>
            <w:tcW w:w="2055" w:type="dxa"/>
            <w:vMerge w:val="restart"/>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公开内容</w:t>
            </w:r>
          </w:p>
        </w:tc>
        <w:tc>
          <w:tcPr>
            <w:tcW w:w="2700" w:type="dxa"/>
            <w:vMerge w:val="restart"/>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公开依据</w:t>
            </w:r>
          </w:p>
        </w:tc>
        <w:tc>
          <w:tcPr>
            <w:tcW w:w="1770" w:type="dxa"/>
            <w:vMerge w:val="restart"/>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公开时限</w:t>
            </w:r>
          </w:p>
        </w:tc>
        <w:tc>
          <w:tcPr>
            <w:tcW w:w="1995" w:type="dxa"/>
            <w:vMerge w:val="restart"/>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公开主体</w:t>
            </w:r>
          </w:p>
        </w:tc>
        <w:tc>
          <w:tcPr>
            <w:tcW w:w="3017" w:type="dxa"/>
            <w:vMerge w:val="restart"/>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公开渠道和载体</w:t>
            </w:r>
          </w:p>
        </w:tc>
        <w:tc>
          <w:tcPr>
            <w:tcW w:w="597" w:type="dxa"/>
            <w:gridSpan w:val="2"/>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公开对象</w:t>
            </w:r>
          </w:p>
        </w:tc>
        <w:tc>
          <w:tcPr>
            <w:tcW w:w="599" w:type="dxa"/>
            <w:gridSpan w:val="2"/>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公开方式</w:t>
            </w:r>
          </w:p>
        </w:tc>
        <w:tc>
          <w:tcPr>
            <w:tcW w:w="579" w:type="dxa"/>
            <w:gridSpan w:val="2"/>
            <w:tcBorders>
              <w:left w:val="single" w:color="auto" w:sz="6" w:space="0"/>
              <w:bottom w:val="single" w:color="auto" w:sz="6" w:space="0"/>
            </w:tcBorders>
            <w:shd w:val="clear" w:color="auto" w:fill="auto"/>
            <w:vAlign w:val="center"/>
          </w:tcPr>
          <w:p>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94" w:hRule="atLeast"/>
          <w:tblHeader/>
          <w:jc w:val="center"/>
        </w:trPr>
        <w:tc>
          <w:tcPr>
            <w:tcW w:w="258" w:type="dxa"/>
            <w:vMerge w:val="continue"/>
            <w:tcBorders>
              <w:bottom w:val="single" w:color="auto" w:sz="6" w:space="0"/>
              <w:right w:val="single" w:color="auto" w:sz="6" w:space="0"/>
            </w:tcBorders>
            <w:shd w:val="clear" w:color="auto" w:fill="auto"/>
            <w:tcMar>
              <w:top w:w="15" w:type="dxa"/>
              <w:left w:w="8" w:type="dxa"/>
              <w:right w:w="8" w:type="dxa"/>
            </w:tcMar>
            <w:vAlign w:val="center"/>
          </w:tcPr>
          <w:p>
            <w:pPr>
              <w:rPr>
                <w:rFonts w:hint="eastAsia" w:ascii="宋体"/>
                <w:sz w:val="24"/>
                <w:szCs w:val="24"/>
              </w:rPr>
            </w:pPr>
          </w:p>
        </w:tc>
        <w:tc>
          <w:tcPr>
            <w:tcW w:w="42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一级事项</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二级事项</w:t>
            </w:r>
          </w:p>
        </w:tc>
        <w:tc>
          <w:tcPr>
            <w:tcW w:w="2055" w:type="dxa"/>
            <w:vMerge w:val="continue"/>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rPr>
                <w:rFonts w:hint="eastAsia" w:ascii="宋体"/>
                <w:sz w:val="24"/>
                <w:szCs w:val="24"/>
              </w:rPr>
            </w:pPr>
          </w:p>
        </w:tc>
        <w:tc>
          <w:tcPr>
            <w:tcW w:w="2700" w:type="dxa"/>
            <w:vMerge w:val="continue"/>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rPr>
                <w:rFonts w:hint="eastAsia" w:ascii="宋体"/>
                <w:sz w:val="24"/>
                <w:szCs w:val="24"/>
              </w:rPr>
            </w:pPr>
          </w:p>
        </w:tc>
        <w:tc>
          <w:tcPr>
            <w:tcW w:w="1770" w:type="dxa"/>
            <w:vMerge w:val="continue"/>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rPr>
                <w:rFonts w:hint="eastAsia" w:ascii="宋体"/>
                <w:sz w:val="24"/>
                <w:szCs w:val="24"/>
              </w:rPr>
            </w:pPr>
          </w:p>
        </w:tc>
        <w:tc>
          <w:tcPr>
            <w:tcW w:w="1995" w:type="dxa"/>
            <w:vMerge w:val="continue"/>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rPr>
                <w:rFonts w:hint="eastAsia" w:ascii="宋体"/>
                <w:sz w:val="24"/>
                <w:szCs w:val="24"/>
              </w:rPr>
            </w:pPr>
          </w:p>
        </w:tc>
        <w:tc>
          <w:tcPr>
            <w:tcW w:w="3017" w:type="dxa"/>
            <w:vMerge w:val="continue"/>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rPr>
                <w:rFonts w:hint="eastAsia" w:ascii="宋体"/>
                <w:sz w:val="24"/>
                <w:szCs w:val="24"/>
              </w:rPr>
            </w:pP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line="240" w:lineRule="atLeast"/>
              <w:jc w:val="center"/>
              <w:textAlignment w:val="center"/>
            </w:pPr>
            <w:r>
              <w:rPr>
                <w:rFonts w:hint="default" w:ascii="方正黑体_GBK" w:hAnsi="方正黑体_GBK" w:eastAsia="方正黑体_GBK" w:cs="方正黑体_GBK"/>
                <w:sz w:val="16"/>
                <w:szCs w:val="16"/>
              </w:rPr>
              <w:t>全社会</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line="240" w:lineRule="atLeast"/>
              <w:jc w:val="center"/>
              <w:textAlignment w:val="center"/>
            </w:pPr>
            <w:r>
              <w:rPr>
                <w:rFonts w:hint="default" w:ascii="方正黑体_GBK" w:hAnsi="方正黑体_GBK" w:eastAsia="方正黑体_GBK" w:cs="方正黑体_GBK"/>
                <w:sz w:val="16"/>
                <w:szCs w:val="16"/>
              </w:rPr>
              <w:t>特定群体</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line="240" w:lineRule="atLeast"/>
              <w:jc w:val="center"/>
              <w:textAlignment w:val="center"/>
            </w:pPr>
            <w:r>
              <w:rPr>
                <w:rFonts w:hint="default" w:ascii="方正黑体_GBK" w:hAnsi="方正黑体_GBK" w:eastAsia="方正黑体_GBK" w:cs="方正黑体_GBK"/>
                <w:sz w:val="16"/>
                <w:szCs w:val="16"/>
              </w:rPr>
              <w:t>主动</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line="240" w:lineRule="atLeast"/>
              <w:jc w:val="center"/>
              <w:textAlignment w:val="center"/>
            </w:pPr>
            <w:r>
              <w:rPr>
                <w:rFonts w:hint="default" w:ascii="方正黑体_GBK" w:hAnsi="方正黑体_GBK" w:eastAsia="方正黑体_GBK" w:cs="方正黑体_GBK"/>
                <w:sz w:val="16"/>
                <w:szCs w:val="16"/>
              </w:rPr>
              <w:t>依申请公开</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line="240" w:lineRule="atLeast"/>
              <w:jc w:val="center"/>
              <w:textAlignment w:val="center"/>
            </w:pPr>
            <w:r>
              <w:rPr>
                <w:rFonts w:hint="default" w:ascii="方正黑体_GBK" w:hAnsi="方正黑体_GBK" w:eastAsia="方正黑体_GBK" w:cs="方正黑体_GBK"/>
                <w:sz w:val="16"/>
                <w:szCs w:val="16"/>
              </w:rPr>
              <w:t>县级</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line="240" w:lineRule="atLeast"/>
              <w:jc w:val="center"/>
              <w:textAlignment w:val="center"/>
            </w:pPr>
            <w:r>
              <w:rPr>
                <w:rFonts w:hint="default" w:ascii="方正黑体_GBK" w:hAnsi="方正黑体_GBK" w:eastAsia="方正黑体_GBK" w:cs="方正黑体_GBK"/>
                <w:sz w:val="16"/>
                <w:szCs w:val="16"/>
              </w:rPr>
              <w:t>乡级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648"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ascii="方正仿宋_GBK" w:hAnsi="方正仿宋_GBK" w:eastAsia="方正仿宋_GBK" w:cs="方正仿宋_GBK"/>
                <w:sz w:val="16"/>
                <w:szCs w:val="16"/>
              </w:rPr>
              <w:t>1</w:t>
            </w:r>
          </w:p>
        </w:tc>
        <w:tc>
          <w:tcPr>
            <w:tcW w:w="42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ascii="仿宋_GB2312" w:eastAsia="仿宋_GB2312" w:cs="仿宋_GB2312"/>
                <w:sz w:val="16"/>
                <w:szCs w:val="16"/>
              </w:rPr>
              <w:t>政策文件</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法律法规</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与救灾有关的法律、法规</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701"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2</w:t>
            </w:r>
          </w:p>
        </w:tc>
        <w:tc>
          <w:tcPr>
            <w:tcW w:w="42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rPr>
                <w:rFonts w:hint="eastAsia" w:ascii="宋体"/>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部门和地方规章</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wordWrap w:val="0"/>
              <w:spacing w:before="0" w:beforeAutospacing="0" w:after="0" w:afterAutospacing="0"/>
              <w:rPr>
                <w:sz w:val="16"/>
                <w:szCs w:val="16"/>
              </w:rPr>
            </w:pPr>
            <w:r>
              <w:rPr>
                <w:rFonts w:hint="eastAsia" w:ascii="仿宋_GB2312" w:eastAsia="仿宋_GB2312" w:cs="仿宋_GB2312"/>
                <w:sz w:val="16"/>
                <w:szCs w:val="16"/>
              </w:rPr>
              <w:t>与救灾有关的部门和地方规章、规范性文件</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942"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3</w:t>
            </w:r>
          </w:p>
        </w:tc>
        <w:tc>
          <w:tcPr>
            <w:tcW w:w="42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政策文件</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其他政策文件</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其他可以公开的与救灾有关的政策文件，包括改革方案、发展规划、专项规划、工作计划等</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653"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4</w:t>
            </w:r>
          </w:p>
        </w:tc>
        <w:tc>
          <w:tcPr>
            <w:tcW w:w="42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rPr>
                <w:rFonts w:hint="eastAsia" w:ascii="宋体"/>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标准</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救灾领域有关的国家标准、行业标准、地方标准等</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996"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5</w:t>
            </w:r>
          </w:p>
        </w:tc>
        <w:tc>
          <w:tcPr>
            <w:tcW w:w="42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rPr>
                <w:rFonts w:hint="eastAsia" w:ascii="宋体"/>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重大决策草案</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涉及管理相对人切身利益、需社会广泛知晓的重要改革方案等重大决策，决策前向社会公开决策草案、决策依据</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中央办公厅、国务院办公厅《关于全面推进政务公开工作的意见》。</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按进展情况及时公开</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988"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6</w:t>
            </w:r>
          </w:p>
        </w:tc>
        <w:tc>
          <w:tcPr>
            <w:tcW w:w="42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政策文件</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重大政策解读及回应</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 xml:space="preserve">有关重大政策的解读及回应；                      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相关热点问题的解读及回应。</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 xml:space="preserve">中央办公厅、国务院办公厅《关于全面推进政务公开工作的意见》；          </w:t>
            </w:r>
            <w:r>
              <w:rPr>
                <w:rFonts w:hint="default" w:ascii="方正仿宋_GBK" w:hAnsi="方正仿宋_GBK" w:eastAsia="方正仿宋_GBK" w:cs="方正仿宋_GBK"/>
                <w:sz w:val="16"/>
                <w:szCs w:val="16"/>
              </w:rPr>
              <w:t>3.</w:t>
            </w:r>
            <w:r>
              <w:rPr>
                <w:rFonts w:hint="eastAsia" w:ascii="仿宋_GB2312" w:eastAsia="仿宋_GB2312" w:cs="仿宋_GB2312"/>
                <w:sz w:val="16"/>
                <w:szCs w:val="16"/>
              </w:rPr>
              <w:t>《国务院办公厅关于在政务公开工作中进一步做好政务舆情回应的通知》（国办发〔</w:t>
            </w:r>
            <w:r>
              <w:rPr>
                <w:rFonts w:hint="default" w:ascii="方正仿宋_GBK" w:hAnsi="方正仿宋_GBK" w:eastAsia="方正仿宋_GBK" w:cs="方正仿宋_GBK"/>
                <w:sz w:val="16"/>
                <w:szCs w:val="16"/>
              </w:rPr>
              <w:t>2016</w:t>
            </w:r>
            <w:r>
              <w:rPr>
                <w:rFonts w:hint="eastAsia" w:ascii="仿宋_GB2312" w:eastAsia="仿宋_GB2312" w:cs="仿宋_GB2312"/>
                <w:sz w:val="16"/>
                <w:szCs w:val="16"/>
              </w:rPr>
              <w:t>〕</w:t>
            </w:r>
            <w:r>
              <w:rPr>
                <w:rFonts w:hint="default" w:ascii="方正仿宋_GBK" w:hAnsi="方正仿宋_GBK" w:eastAsia="方正仿宋_GBK" w:cs="方正仿宋_GBK"/>
                <w:sz w:val="16"/>
                <w:szCs w:val="16"/>
              </w:rPr>
              <w:t>61</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重大决策作出后及时公开</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县人应急管理局，乡镇人民政府（街道办事处）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231"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7</w:t>
            </w:r>
          </w:p>
        </w:tc>
        <w:tc>
          <w:tcPr>
            <w:tcW w:w="42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rPr>
                <w:rFonts w:hint="eastAsia" w:ascii="宋体"/>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重要会议</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以会议讨论作出重要改革方案等重大决策时，经党组研究认为有必要公开讨论决策过程的会议</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中央办公厅、国务院办公厅《关于全面推进政务公开工作的意见》。</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提前一周发通知邀请</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000"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8</w:t>
            </w:r>
          </w:p>
        </w:tc>
        <w:tc>
          <w:tcPr>
            <w:tcW w:w="42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政策文件</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征集采纳社会公众意见情况</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重大决策草案公布后征集到的社会公众意见情况、采纳与否情况及理由等</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中央办公厅、国务院办公厅《关于全面推进政务公开工作的意见》。</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征求意见时对外公布的时限内公开</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231"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9</w:t>
            </w:r>
          </w:p>
        </w:tc>
        <w:tc>
          <w:tcPr>
            <w:tcW w:w="42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备灾管理</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综合减灾示范社区</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综合减灾示范社区分布情况（其具体位置、创建时间、创建级别等）</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《社会救助暂行办法》（</w:t>
            </w:r>
            <w:r>
              <w:rPr>
                <w:rFonts w:hint="default" w:ascii="方正仿宋_GBK" w:hAnsi="方正仿宋_GBK" w:eastAsia="方正仿宋_GBK" w:cs="方正仿宋_GBK"/>
                <w:sz w:val="16"/>
                <w:szCs w:val="16"/>
              </w:rPr>
              <w:t>2014</w:t>
            </w:r>
            <w:r>
              <w:rPr>
                <w:rFonts w:hint="eastAsia" w:ascii="仿宋_GB2312" w:eastAsia="仿宋_GB2312" w:cs="仿宋_GB2312"/>
                <w:sz w:val="16"/>
                <w:szCs w:val="16"/>
              </w:rPr>
              <w:t xml:space="preserve">）；           </w:t>
            </w:r>
            <w:r>
              <w:rPr>
                <w:rFonts w:hint="default" w:ascii="方正仿宋_GBK" w:hAnsi="方正仿宋_GBK" w:eastAsia="方正仿宋_GBK" w:cs="方正仿宋_GBK"/>
                <w:sz w:val="16"/>
                <w:szCs w:val="16"/>
              </w:rPr>
              <w:t>3.</w:t>
            </w:r>
            <w:r>
              <w:rPr>
                <w:rFonts w:hint="eastAsia" w:ascii="仿宋_GB2312" w:eastAsia="仿宋_GB2312" w:cs="仿宋_GB2312"/>
                <w:sz w:val="16"/>
                <w:szCs w:val="16"/>
              </w:rPr>
              <w:t>《国家综合防灾减灾规（</w:t>
            </w:r>
            <w:r>
              <w:rPr>
                <w:rFonts w:hint="default" w:ascii="方正仿宋_GBK" w:hAnsi="方正仿宋_GBK" w:eastAsia="方正仿宋_GBK" w:cs="方正仿宋_GBK"/>
                <w:sz w:val="16"/>
                <w:szCs w:val="16"/>
              </w:rPr>
              <w:t>2016-2020</w:t>
            </w:r>
            <w:r>
              <w:rPr>
                <w:rFonts w:hint="eastAsia" w:ascii="仿宋_GB2312" w:eastAsia="仿宋_GB2312" w:cs="仿宋_GB2312"/>
                <w:sz w:val="16"/>
                <w:szCs w:val="16"/>
              </w:rPr>
              <w:t>年）》。</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 xml:space="preserve">□两微一端   </w:t>
            </w:r>
            <w:r>
              <w:rPr>
                <w:rFonts w:ascii="Wingdings 2" w:hAnsi="Wingdings 2" w:eastAsia="Wingdings 2" w:cs="Wingdings 2"/>
                <w:sz w:val="16"/>
                <w:szCs w:val="16"/>
              </w:rPr>
              <w:t></w:t>
            </w:r>
            <w:r>
              <w:rPr>
                <w:rFonts w:hint="eastAsia" w:ascii="仿宋_GB2312" w:eastAsia="仿宋_GB2312" w:cs="仿宋_GB2312"/>
                <w:sz w:val="16"/>
                <w:szCs w:val="16"/>
              </w:rPr>
              <w:t>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942"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10</w:t>
            </w:r>
          </w:p>
        </w:tc>
        <w:tc>
          <w:tcPr>
            <w:tcW w:w="42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备灾管理</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灾害信息员队伍</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县乡两级灾害信息员工作职责和办公电话</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《社会救助暂行办法》（</w:t>
            </w:r>
            <w:r>
              <w:rPr>
                <w:rFonts w:hint="default" w:ascii="方正仿宋_GBK" w:hAnsi="方正仿宋_GBK" w:eastAsia="方正仿宋_GBK" w:cs="方正仿宋_GBK"/>
                <w:sz w:val="16"/>
                <w:szCs w:val="16"/>
              </w:rPr>
              <w:t>2014</w:t>
            </w:r>
            <w:r>
              <w:rPr>
                <w:rFonts w:hint="eastAsia" w:ascii="仿宋_GB2312" w:eastAsia="仿宋_GB2312" w:cs="仿宋_GB2312"/>
                <w:sz w:val="16"/>
                <w:szCs w:val="16"/>
              </w:rPr>
              <w:t xml:space="preserve">）；           </w:t>
            </w:r>
            <w:r>
              <w:rPr>
                <w:rFonts w:hint="default" w:ascii="方正仿宋_GBK" w:hAnsi="方正仿宋_GBK" w:eastAsia="方正仿宋_GBK" w:cs="方正仿宋_GBK"/>
                <w:sz w:val="16"/>
                <w:szCs w:val="16"/>
              </w:rPr>
              <w:t>3.</w:t>
            </w:r>
            <w:r>
              <w:rPr>
                <w:rFonts w:hint="eastAsia" w:ascii="仿宋_GB2312" w:eastAsia="仿宋_GB2312" w:cs="仿宋_GB2312"/>
                <w:sz w:val="16"/>
                <w:szCs w:val="16"/>
              </w:rPr>
              <w:t>《国家综合防灾减灾规划（</w:t>
            </w:r>
            <w:r>
              <w:rPr>
                <w:rFonts w:hint="default" w:ascii="方正仿宋_GBK" w:hAnsi="方正仿宋_GBK" w:eastAsia="方正仿宋_GBK" w:cs="方正仿宋_GBK"/>
                <w:sz w:val="16"/>
                <w:szCs w:val="16"/>
              </w:rPr>
              <w:t>2016-2020</w:t>
            </w:r>
            <w:r>
              <w:rPr>
                <w:rFonts w:hint="eastAsia" w:ascii="仿宋_GB2312" w:eastAsia="仿宋_GB2312" w:cs="仿宋_GB2312"/>
                <w:sz w:val="16"/>
                <w:szCs w:val="16"/>
              </w:rPr>
              <w:t>年）》。</w:t>
            </w:r>
          </w:p>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11</w:t>
            </w:r>
          </w:p>
        </w:tc>
        <w:tc>
          <w:tcPr>
            <w:tcW w:w="42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rPr>
                <w:rFonts w:hint="eastAsia" w:ascii="宋体"/>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预警信息</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气象、地震等单位发布的预警信息</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519"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12</w:t>
            </w:r>
          </w:p>
        </w:tc>
        <w:tc>
          <w:tcPr>
            <w:tcW w:w="42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灾后救助</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灾情核定信息</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本行政区域内因自然灾害造成的损失情况（受灾时间、灾害种类、受灾范围、灾害造成的损失等）</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w:t>
            </w:r>
            <w:r>
              <w:rPr>
                <w:rFonts w:hint="eastAsia" w:ascii="仿宋_GB2312" w:eastAsia="仿宋_GB2312" w:cs="仿宋_GB2312"/>
                <w:sz w:val="16"/>
                <w:szCs w:val="16"/>
                <w:lang w:eastAsia="zh-CN"/>
              </w:rPr>
              <w:t>自然灾害救助条例</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577</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942"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13</w:t>
            </w:r>
          </w:p>
        </w:tc>
        <w:tc>
          <w:tcPr>
            <w:tcW w:w="42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rPr>
                <w:rFonts w:hint="eastAsia" w:ascii="宋体"/>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救助审定信息</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自然灾害救助（</w:t>
            </w:r>
            <w:r>
              <w:rPr>
                <w:rFonts w:hint="default" w:ascii="方正仿宋_GBK" w:hAnsi="方正仿宋_GBK" w:eastAsia="方正仿宋_GBK" w:cs="方正仿宋_GBK"/>
                <w:sz w:val="16"/>
                <w:szCs w:val="16"/>
              </w:rPr>
              <w:t>6</w:t>
            </w:r>
            <w:r>
              <w:rPr>
                <w:rFonts w:hint="eastAsia" w:ascii="仿宋_GB2312" w:eastAsia="仿宋_GB2312" w:cs="仿宋_GB2312"/>
                <w:sz w:val="16"/>
                <w:szCs w:val="16"/>
              </w:rPr>
              <w:t>类）的救助对象、申报材料、办理程序及时限等</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w:t>
            </w:r>
            <w:r>
              <w:rPr>
                <w:rFonts w:hint="eastAsia" w:ascii="仿宋_GB2312" w:eastAsia="仿宋_GB2312" w:cs="仿宋_GB2312"/>
                <w:sz w:val="16"/>
                <w:szCs w:val="16"/>
                <w:lang w:eastAsia="zh-CN"/>
              </w:rPr>
              <w:t>自然灾害救助条例</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577</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702"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14</w:t>
            </w:r>
          </w:p>
        </w:tc>
        <w:tc>
          <w:tcPr>
            <w:tcW w:w="42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灾害救助</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应急管理部门审批</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救助款物通知及划拨情况</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w:t>
            </w:r>
            <w:r>
              <w:rPr>
                <w:rFonts w:hint="eastAsia" w:ascii="仿宋_GB2312" w:eastAsia="仿宋_GB2312" w:cs="仿宋_GB2312"/>
                <w:sz w:val="16"/>
                <w:szCs w:val="16"/>
                <w:lang w:eastAsia="zh-CN"/>
              </w:rPr>
              <w:t>自然灾害救助条例</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577</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561"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15</w:t>
            </w:r>
          </w:p>
        </w:tc>
        <w:tc>
          <w:tcPr>
            <w:tcW w:w="42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rPr>
                <w:rFonts w:hint="eastAsia" w:ascii="宋体"/>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因灾过渡期生活救助</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 xml:space="preserve">因灾过渡期生活救助标准、过渡期生活救助对象评议结果公示（灾民姓名、受灾情况、拟救助金额、监督举报电话）；                                  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过渡期生活救助对象确定（灾民姓名、受灾情况、救助金额、监督举报电话</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w:t>
            </w:r>
            <w:r>
              <w:rPr>
                <w:rFonts w:hint="eastAsia" w:ascii="仿宋_GB2312" w:eastAsia="仿宋_GB2312" w:cs="仿宋_GB2312"/>
                <w:sz w:val="16"/>
                <w:szCs w:val="16"/>
                <w:lang w:eastAsia="zh-CN"/>
              </w:rPr>
              <w:t>自然灾害救助条例</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577</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519"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16</w:t>
            </w:r>
          </w:p>
        </w:tc>
        <w:tc>
          <w:tcPr>
            <w:tcW w:w="42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灾后救助</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居民住房恢复重建救助</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 xml:space="preserve">居民住房恢复重建救助标准（居民因灾倒房、损房恢复重建具体救助标准）；                           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居民住房恢复重建救助对象评议结果公示（公开灾民姓名、受灾情况、拟救助标准、监督举报电话）。</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w:t>
            </w:r>
            <w:r>
              <w:rPr>
                <w:rFonts w:hint="eastAsia" w:ascii="仿宋_GB2312" w:eastAsia="仿宋_GB2312" w:cs="仿宋_GB2312"/>
                <w:sz w:val="16"/>
                <w:szCs w:val="16"/>
                <w:lang w:eastAsia="zh-CN"/>
              </w:rPr>
              <w:t>自然灾害救助条例</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577</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县应急管理部门，乡镇人民政府（街道办事处）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653"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17</w:t>
            </w:r>
          </w:p>
        </w:tc>
        <w:tc>
          <w:tcPr>
            <w:tcW w:w="42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款物管理</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捐赠款物信息</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年度捐赠款物信息以及款物使用情况</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《中华人民共和国政府信息公开条例》（国务院令第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按进展情况及时公开</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707"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18</w:t>
            </w:r>
          </w:p>
        </w:tc>
        <w:tc>
          <w:tcPr>
            <w:tcW w:w="42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款物管理</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年度款物使用情况</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年度救灾资金和救灾物资等使用情况</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《中华人民共和国政府信息公开条例》（国务院令第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按进展情况及时公开</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653" w:hRule="atLeast"/>
          <w:jc w:val="center"/>
        </w:trPr>
        <w:tc>
          <w:tcPr>
            <w:tcW w:w="258" w:type="dxa"/>
            <w:tcBorders>
              <w:top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19</w:t>
            </w:r>
          </w:p>
        </w:tc>
        <w:tc>
          <w:tcPr>
            <w:tcW w:w="425"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工作动态</w:t>
            </w:r>
          </w:p>
        </w:tc>
        <w:tc>
          <w:tcPr>
            <w:tcW w:w="900"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工作信息</w:t>
            </w:r>
          </w:p>
        </w:tc>
        <w:tc>
          <w:tcPr>
            <w:tcW w:w="2055"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防灾减灾救灾其他相关动态信息</w:t>
            </w:r>
          </w:p>
        </w:tc>
        <w:tc>
          <w:tcPr>
            <w:tcW w:w="2700"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《中华人民共和国政府信息公开条例》（国务院令第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tc>
        <w:tc>
          <w:tcPr>
            <w:tcW w:w="1770"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按进展情况及时公开</w:t>
            </w:r>
          </w:p>
        </w:tc>
        <w:tc>
          <w:tcPr>
            <w:tcW w:w="1995"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仿宋_GBK" w:hAnsi="方正仿宋_GBK" w:eastAsia="方正仿宋_GBK" w:cs="方正仿宋_GBK"/>
                <w:sz w:val="16"/>
                <w:szCs w:val="16"/>
              </w:rPr>
              <w:t>√</w:t>
            </w:r>
          </w:p>
        </w:tc>
        <w:tc>
          <w:tcPr>
            <w:tcW w:w="298"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仿宋_GBK" w:hAnsi="方正仿宋_GBK" w:eastAsia="方正仿宋_GBK" w:cs="方正仿宋_GBK"/>
                <w:sz w:val="16"/>
                <w:szCs w:val="16"/>
              </w:rPr>
              <w:t>√</w:t>
            </w:r>
          </w:p>
        </w:tc>
        <w:tc>
          <w:tcPr>
            <w:tcW w:w="310"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仿宋_GBK" w:hAnsi="方正仿宋_GBK" w:eastAsia="方正仿宋_GBK" w:cs="方正仿宋_GBK"/>
                <w:sz w:val="16"/>
                <w:szCs w:val="16"/>
              </w:rPr>
              <w:t>√</w:t>
            </w:r>
          </w:p>
        </w:tc>
        <w:tc>
          <w:tcPr>
            <w:tcW w:w="290" w:type="dxa"/>
            <w:tcBorders>
              <w:top w:val="single" w:color="auto" w:sz="6" w:space="0"/>
              <w:left w:val="single" w:color="auto" w:sz="6" w:space="0"/>
            </w:tcBorders>
            <w:shd w:val="clear" w:color="auto" w:fill="auto"/>
            <w:tcMar>
              <w:top w:w="15" w:type="dxa"/>
              <w:left w:w="8" w:type="dxa"/>
              <w:right w:w="8" w:type="dxa"/>
            </w:tcMar>
            <w:vAlign w:val="center"/>
          </w:tcPr>
          <w:p>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仿宋_GBK" w:hAnsi="方正仿宋_GBK" w:eastAsia="方正仿宋_GBK" w:cs="方正仿宋_GBK"/>
                <w:sz w:val="16"/>
                <w:szCs w:val="16"/>
              </w:rPr>
              <w:t>√</w:t>
            </w:r>
          </w:p>
        </w:tc>
      </w:tr>
    </w:tbl>
    <w:p>
      <w:pPr>
        <w:pStyle w:val="2"/>
        <w:keepNext w:val="0"/>
        <w:keepLines w:val="0"/>
        <w:widowControl/>
        <w:suppressLineNumbers w:val="0"/>
        <w:spacing w:before="0" w:beforeAutospacing="0" w:after="0" w:afterAutospacing="0"/>
        <w:jc w:val="left"/>
        <w:rPr>
          <w:sz w:val="24"/>
          <w:szCs w:val="24"/>
        </w:rPr>
      </w:pPr>
      <w:r>
        <w:rPr>
          <w:rFonts w:hint="eastAsia" w:ascii="仿宋_GB2312" w:eastAsia="仿宋_GB2312" w:cs="仿宋_GB2312"/>
          <w:sz w:val="24"/>
          <w:szCs w:val="24"/>
        </w:rPr>
        <w:t> </w:t>
      </w:r>
    </w:p>
    <w:p>
      <w:pPr>
        <w:pStyle w:val="2"/>
        <w:keepNext w:val="0"/>
        <w:keepLines w:val="0"/>
        <w:widowControl/>
        <w:suppressLineNumbers w:val="0"/>
        <w:spacing w:before="0" w:beforeAutospacing="0" w:after="0" w:afterAutospacing="0"/>
        <w:jc w:val="left"/>
        <w:rPr>
          <w:sz w:val="18"/>
          <w:szCs w:val="18"/>
        </w:rPr>
      </w:pPr>
      <w:r>
        <w:rPr>
          <w:sz w:val="18"/>
          <w:szCs w:val="18"/>
        </w:rPr>
        <w:t> </w:t>
      </w:r>
    </w:p>
    <w:p>
      <w:pPr>
        <w:pStyle w:val="2"/>
        <w:keepNext w:val="0"/>
        <w:keepLines w:val="0"/>
        <w:widowControl/>
        <w:suppressLineNumbers w:val="0"/>
        <w:spacing w:before="0" w:beforeAutospacing="1" w:after="0" w:afterAutospacing="0"/>
        <w:ind w:left="0" w:right="0"/>
        <w:jc w:val="both"/>
        <w:rPr>
          <w:sz w:val="19"/>
          <w:szCs w:val="19"/>
        </w:rPr>
      </w:pPr>
    </w:p>
    <w:p>
      <w:pPr>
        <w:pStyle w:val="2"/>
        <w:keepNext w:val="0"/>
        <w:keepLines w:val="0"/>
        <w:widowControl/>
        <w:suppressLineNumbers w:val="0"/>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YWJkNTFlN2ZhMzIwMzk5Zjc5YmRkMDRhMDUyNDYifQ=="/>
  </w:docVars>
  <w:rsids>
    <w:rsidRoot w:val="00000000"/>
    <w:rsid w:val="089A11AF"/>
    <w:rsid w:val="10133BE7"/>
    <w:rsid w:val="3A645C02"/>
    <w:rsid w:val="603F448E"/>
    <w:rsid w:val="7CBA4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2024-02-27T03:40:06Z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7BCC72FEF32C47F9B72570AC21FE875E_12</vt:lpwstr>
  </property>
</Properties>
</file>