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黑体_GBK" w:eastAsia="方正黑体_GBK"/>
          <w:sz w:val="24"/>
          <w:szCs w:val="21"/>
        </w:rPr>
      </w:pPr>
      <w:r>
        <w:rPr>
          <w:rFonts w:hint="eastAsia" w:ascii="方正黑体_GBK" w:eastAsia="方正黑体_GBK"/>
          <w:sz w:val="24"/>
          <w:szCs w:val="21"/>
        </w:rPr>
        <w:t>巴山镇第十八届人民代表大会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eastAsia="方正黑体_GBK"/>
          <w:sz w:val="24"/>
          <w:szCs w:val="21"/>
          <w:lang w:eastAsia="zh-CN"/>
        </w:rPr>
      </w:pPr>
      <w:r>
        <w:rPr>
          <w:rFonts w:hint="eastAsia" w:ascii="方正黑体_GBK" w:eastAsia="方正黑体_GBK"/>
          <w:sz w:val="24"/>
          <w:szCs w:val="21"/>
        </w:rPr>
        <w:t>第十一次会议        材料</w:t>
      </w:r>
      <w:r>
        <w:rPr>
          <w:rFonts w:hint="eastAsia" w:ascii="方正黑体_GBK" w:eastAsia="方正黑体_GBK"/>
          <w:sz w:val="24"/>
          <w:szCs w:val="21"/>
          <w:lang w:val="en-US" w:eastAsia="zh-CN"/>
        </w:rPr>
        <w:t>十</w:t>
      </w:r>
    </w:p>
    <w:p>
      <w:pPr>
        <w:spacing w:line="579" w:lineRule="exact"/>
        <w:jc w:val="left"/>
        <w:rPr>
          <w:rFonts w:ascii="方正黑体_GBK" w:eastAsia="方正黑体_GBK"/>
          <w:sz w:val="24"/>
          <w:szCs w:val="21"/>
        </w:rPr>
      </w:pPr>
    </w:p>
    <w:p>
      <w:pPr>
        <w:widowControl/>
        <w:spacing w:line="579" w:lineRule="exact"/>
        <w:jc w:val="center"/>
        <w:rPr>
          <w:rFonts w:eastAsia="方正小标宋简体"/>
          <w:color w:val="000000"/>
          <w:kern w:val="0"/>
          <w:sz w:val="44"/>
          <w:szCs w:val="44"/>
        </w:rPr>
      </w:pPr>
      <w:r>
        <w:rPr>
          <w:rFonts w:eastAsia="方正小标宋_GBK"/>
          <w:color w:val="000000"/>
          <w:kern w:val="0"/>
          <w:sz w:val="44"/>
          <w:szCs w:val="44"/>
        </w:rPr>
        <w:t>巴山镇20</w:t>
      </w:r>
      <w:r>
        <w:rPr>
          <w:rFonts w:hint="eastAsia" w:eastAsia="方正小标宋_GBK"/>
          <w:color w:val="000000"/>
          <w:kern w:val="0"/>
          <w:sz w:val="44"/>
          <w:szCs w:val="44"/>
        </w:rPr>
        <w:t>20</w:t>
      </w:r>
      <w:r>
        <w:rPr>
          <w:rFonts w:eastAsia="方正小标宋_GBK"/>
          <w:color w:val="000000"/>
          <w:kern w:val="0"/>
          <w:sz w:val="44"/>
          <w:szCs w:val="44"/>
        </w:rPr>
        <w:t>年财政预算执行情况及202</w:t>
      </w:r>
      <w:r>
        <w:rPr>
          <w:rFonts w:hint="eastAsia" w:eastAsia="方正小标宋_GBK"/>
          <w:color w:val="000000"/>
          <w:kern w:val="0"/>
          <w:sz w:val="44"/>
          <w:szCs w:val="44"/>
        </w:rPr>
        <w:t>1</w:t>
      </w:r>
      <w:r>
        <w:rPr>
          <w:rFonts w:eastAsia="方正小标宋_GBK"/>
          <w:color w:val="000000"/>
          <w:kern w:val="0"/>
          <w:sz w:val="44"/>
          <w:szCs w:val="44"/>
        </w:rPr>
        <w:t>年财政预算草案的报告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eastAsia="方正楷体_GBK"/>
          <w:sz w:val="28"/>
        </w:rPr>
      </w:pPr>
      <w:r>
        <w:rPr>
          <w:rFonts w:hint="eastAsia" w:ascii="方正楷体_GBK" w:eastAsia="方正楷体_GBK"/>
          <w:sz w:val="28"/>
        </w:rPr>
        <w:t>——2021年3月1</w:t>
      </w:r>
      <w:r>
        <w:rPr>
          <w:rFonts w:hint="eastAsia" w:ascii="方正楷体_GBK" w:eastAsia="方正楷体_GBK"/>
          <w:sz w:val="28"/>
          <w:lang w:val="en-US" w:eastAsia="zh-CN"/>
        </w:rPr>
        <w:t>0</w:t>
      </w:r>
      <w:r>
        <w:rPr>
          <w:rFonts w:hint="eastAsia" w:ascii="方正楷体_GBK" w:eastAsia="方正楷体_GBK"/>
          <w:sz w:val="28"/>
        </w:rPr>
        <w:t>日在巴山镇第十八届人民代表大会第十一次会议上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eastAsia="方正楷体_GBK"/>
          <w:sz w:val="28"/>
        </w:rPr>
      </w:pPr>
      <w:r>
        <w:rPr>
          <w:rFonts w:hint="eastAsia" w:ascii="方正楷体_GBK" w:eastAsia="方正楷体_GBK"/>
          <w:sz w:val="28"/>
        </w:rPr>
        <w:t>巴山镇</w:t>
      </w:r>
      <w:r>
        <w:rPr>
          <w:rFonts w:hint="eastAsia" w:ascii="方正楷体_GBK" w:eastAsia="方正楷体_GBK"/>
          <w:sz w:val="28"/>
          <w:lang w:val="en-US" w:eastAsia="zh-CN"/>
        </w:rPr>
        <w:t>人民政府</w:t>
      </w:r>
      <w:r>
        <w:rPr>
          <w:rFonts w:hint="eastAsia" w:ascii="方正楷体_GBK" w:eastAsia="方正楷体_GBK"/>
          <w:sz w:val="28"/>
        </w:rPr>
        <w:t>副镇长  王海燕</w:t>
      </w:r>
    </w:p>
    <w:p>
      <w:pPr>
        <w:spacing w:line="579" w:lineRule="exact"/>
      </w:pPr>
    </w:p>
    <w:p>
      <w:pPr>
        <w:spacing w:line="579" w:lineRule="exact"/>
      </w:pPr>
      <w:r>
        <w:t>各位代表：</w:t>
      </w:r>
    </w:p>
    <w:p>
      <w:pPr>
        <w:spacing w:line="579" w:lineRule="exact"/>
        <w:ind w:firstLine="640" w:firstLineChars="200"/>
      </w:pPr>
      <w:r>
        <w:t>我受</w:t>
      </w:r>
      <w:r>
        <w:rPr>
          <w:rFonts w:hint="eastAsia"/>
        </w:rPr>
        <w:t>巴山镇</w:t>
      </w:r>
      <w:r>
        <w:t>人民政府委托，现向大会作《20</w:t>
      </w:r>
      <w:r>
        <w:rPr>
          <w:rFonts w:hint="eastAsia"/>
        </w:rPr>
        <w:t>20</w:t>
      </w:r>
      <w:r>
        <w:t>年财政预算执行情况和202</w:t>
      </w:r>
      <w:r>
        <w:rPr>
          <w:rFonts w:hint="eastAsia"/>
        </w:rPr>
        <w:t>1</w:t>
      </w:r>
      <w:r>
        <w:t>年财政预算的报告（草案）》，请予审议，</w:t>
      </w:r>
      <w:r>
        <w:rPr>
          <w:color w:val="333333"/>
        </w:rPr>
        <w:t>并请各位代表及列席人员提出意见或建议</w:t>
      </w:r>
      <w:r>
        <w:t>。</w:t>
      </w:r>
    </w:p>
    <w:p>
      <w:pPr>
        <w:spacing w:line="579" w:lineRule="exact"/>
        <w:ind w:firstLine="640" w:firstLineChars="200"/>
        <w:rPr>
          <w:rFonts w:eastAsia="方正黑体_GBK"/>
        </w:rPr>
      </w:pPr>
      <w:r>
        <w:rPr>
          <w:rFonts w:eastAsia="方正黑体_GBK"/>
        </w:rPr>
        <w:t>一、20</w:t>
      </w:r>
      <w:r>
        <w:rPr>
          <w:rFonts w:hint="eastAsia" w:eastAsia="方正黑体_GBK"/>
        </w:rPr>
        <w:t>20</w:t>
      </w:r>
      <w:r>
        <w:rPr>
          <w:rFonts w:eastAsia="方正黑体_GBK"/>
        </w:rPr>
        <w:t>年财政预算执行情况</w:t>
      </w:r>
    </w:p>
    <w:p>
      <w:pPr>
        <w:spacing w:line="579" w:lineRule="exact"/>
        <w:ind w:firstLine="640" w:firstLineChars="200"/>
      </w:pPr>
      <w:r>
        <w:t>20</w:t>
      </w:r>
      <w:r>
        <w:rPr>
          <w:rFonts w:hint="eastAsia"/>
        </w:rPr>
        <w:t>20</w:t>
      </w:r>
      <w:r>
        <w:t>年，</w:t>
      </w:r>
      <w:r>
        <w:rPr>
          <w:rFonts w:hint="eastAsia"/>
          <w:lang w:val="en-US" w:eastAsia="zh-CN"/>
        </w:rPr>
        <w:t>坚持</w:t>
      </w:r>
      <w:r>
        <w:t>以习近平新时代中国特色社会主义思想为指导，</w:t>
      </w:r>
      <w:r>
        <w:rPr>
          <w:rFonts w:hint="eastAsia"/>
        </w:rPr>
        <w:t>全面</w:t>
      </w:r>
      <w:r>
        <w:t>贯彻</w:t>
      </w:r>
      <w:r>
        <w:rPr>
          <w:rFonts w:hint="eastAsia"/>
        </w:rPr>
        <w:t>落实</w:t>
      </w:r>
      <w:r>
        <w:t>党的十九大和十九届二中、三中</w:t>
      </w:r>
      <w:r>
        <w:rPr>
          <w:rFonts w:hint="eastAsia"/>
        </w:rPr>
        <w:t>、四中、五中</w:t>
      </w:r>
      <w:r>
        <w:t>全会精神</w:t>
      </w:r>
      <w:r>
        <w:rPr>
          <w:rFonts w:hint="eastAsia"/>
        </w:rPr>
        <w:t>，始终坚持稳中求进的工作总基调，落实“五大”发展理念，深入推进财税管理改革，实施更加积极有力的财政政策，着力做好“六稳”“六保”工作，全面完成了县十七届人大四次会议、县十七届人大常委会第二十七次会议批准的预算及调整预算。</w:t>
      </w:r>
      <w:r>
        <w:t>按照依法理财聚财，优化支出结构，注重经济效益的原则，财政在确保职工待遇、机关运转、重点支出、危旧房改造、易地扶贫搬迁、精准脱贫产业发展，惠农补贴、社会保障及各项事业发展等方面发挥了积极的作用。较好地完成了全年预算和</w:t>
      </w:r>
      <w:r>
        <w:rPr>
          <w:rFonts w:hint="eastAsia"/>
        </w:rPr>
        <w:t>各项财政工作有力有序推进。</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（一）2020年财政收入情况</w:t>
      </w:r>
    </w:p>
    <w:p>
      <w:pPr>
        <w:spacing w:line="579" w:lineRule="exact"/>
        <w:ind w:firstLine="640" w:firstLineChars="200"/>
      </w:pPr>
      <w:r>
        <w:t>20</w:t>
      </w:r>
      <w:r>
        <w:rPr>
          <w:rFonts w:hint="eastAsia"/>
        </w:rPr>
        <w:t>20</w:t>
      </w:r>
      <w:r>
        <w:t>年县</w:t>
      </w:r>
      <w:r>
        <w:rPr>
          <w:rFonts w:hint="eastAsia"/>
        </w:rPr>
        <w:t>上</w:t>
      </w:r>
      <w:r>
        <w:t>下达我镇税收任务</w:t>
      </w:r>
      <w:r>
        <w:rPr>
          <w:rFonts w:hint="eastAsia"/>
        </w:rPr>
        <w:t>153</w:t>
      </w:r>
      <w:r>
        <w:t>万元</w:t>
      </w:r>
      <w:r>
        <w:rPr>
          <w:rFonts w:hint="eastAsia"/>
        </w:rPr>
        <w:t>，</w:t>
      </w:r>
      <w:r>
        <w:t>实际完成税收</w:t>
      </w:r>
      <w:r>
        <w:rPr>
          <w:rFonts w:hint="eastAsia"/>
        </w:rPr>
        <w:t>153</w:t>
      </w:r>
      <w:r>
        <w:t>万元。非税收入任务</w:t>
      </w:r>
      <w:r>
        <w:rPr>
          <w:rFonts w:hint="eastAsia"/>
        </w:rPr>
        <w:t>24.8</w:t>
      </w:r>
      <w:r>
        <w:t>万元</w:t>
      </w:r>
      <w:r>
        <w:rPr>
          <w:rFonts w:hint="eastAsia"/>
        </w:rPr>
        <w:t>（</w:t>
      </w:r>
      <w:r>
        <w:t>其中城市建设配套费</w:t>
      </w:r>
      <w:r>
        <w:rPr>
          <w:rFonts w:hint="eastAsia"/>
        </w:rPr>
        <w:t>12</w:t>
      </w:r>
      <w:r>
        <w:t>万元，垃圾处置费12</w:t>
      </w:r>
      <w:r>
        <w:rPr>
          <w:rFonts w:hint="eastAsia"/>
        </w:rPr>
        <w:t>.8</w:t>
      </w:r>
      <w:r>
        <w:t>万</w:t>
      </w:r>
      <w:r>
        <w:rPr>
          <w:rFonts w:hint="eastAsia"/>
        </w:rPr>
        <w:t>元）</w:t>
      </w:r>
      <w:r>
        <w:t>，实际完成2</w:t>
      </w:r>
      <w:r>
        <w:rPr>
          <w:rFonts w:hint="eastAsia"/>
        </w:rPr>
        <w:t>4.8</w:t>
      </w:r>
      <w:r>
        <w:t>万元。完成年初预算金额的100%。</w:t>
      </w:r>
    </w:p>
    <w:p>
      <w:pPr>
        <w:spacing w:line="579" w:lineRule="exact"/>
        <w:ind w:firstLine="640" w:firstLineChars="200"/>
      </w:pPr>
      <w:r>
        <w:t>20</w:t>
      </w:r>
      <w:r>
        <w:rPr>
          <w:rFonts w:hint="eastAsia"/>
        </w:rPr>
        <w:t>20</w:t>
      </w:r>
      <w:r>
        <w:t>年本级财政可支配财力</w:t>
      </w:r>
      <w:r>
        <w:rPr>
          <w:rFonts w:hint="eastAsia"/>
        </w:rPr>
        <w:t>2553.58</w:t>
      </w:r>
      <w:r>
        <w:t>万元，其中体制补助收入</w:t>
      </w:r>
      <w:r>
        <w:rPr>
          <w:rFonts w:hint="eastAsia"/>
        </w:rPr>
        <w:t>829.69</w:t>
      </w:r>
      <w:r>
        <w:t>万元，调整及专项追加</w:t>
      </w:r>
      <w:r>
        <w:rPr>
          <w:rFonts w:hint="eastAsia"/>
        </w:rPr>
        <w:t>1723.89</w:t>
      </w:r>
      <w:r>
        <w:t>万元。</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（二）2020年财政支出情况</w:t>
      </w:r>
    </w:p>
    <w:p>
      <w:pPr>
        <w:spacing w:line="579" w:lineRule="exact"/>
        <w:ind w:firstLine="640" w:firstLineChars="200"/>
      </w:pPr>
      <w:r>
        <w:t>20</w:t>
      </w:r>
      <w:r>
        <w:rPr>
          <w:rFonts w:hint="eastAsia"/>
        </w:rPr>
        <w:t>20</w:t>
      </w:r>
      <w:r>
        <w:t>年本级财政可支配财力</w:t>
      </w:r>
      <w:r>
        <w:rPr>
          <w:rFonts w:hint="eastAsia"/>
        </w:rPr>
        <w:t>2553.58</w:t>
      </w:r>
      <w:r>
        <w:t>万元，比年初预算</w:t>
      </w:r>
      <w:r>
        <w:rPr>
          <w:rFonts w:hint="eastAsia"/>
        </w:rPr>
        <w:t>829.69</w:t>
      </w:r>
      <w:r>
        <w:t>万元增加</w:t>
      </w:r>
      <w:r>
        <w:rPr>
          <w:rFonts w:hint="eastAsia"/>
        </w:rPr>
        <w:t>1723.89</w:t>
      </w:r>
      <w:r>
        <w:t>万元，</w:t>
      </w:r>
      <w:r>
        <w:rPr>
          <w:rFonts w:hint="eastAsia"/>
        </w:rPr>
        <w:t>截至目前</w:t>
      </w:r>
      <w:r>
        <w:t>实际支出</w:t>
      </w:r>
      <w:r>
        <w:rPr>
          <w:rFonts w:hint="eastAsia"/>
        </w:rPr>
        <w:t>2553.58</w:t>
      </w:r>
      <w:r>
        <w:t>万元。</w:t>
      </w:r>
    </w:p>
    <w:p>
      <w:pPr>
        <w:spacing w:line="579" w:lineRule="exact"/>
        <w:ind w:firstLine="640" w:firstLineChars="200"/>
      </w:pPr>
      <w:r>
        <w:t>具体支出分类如下：</w:t>
      </w:r>
    </w:p>
    <w:p>
      <w:pPr>
        <w:spacing w:line="579" w:lineRule="exact"/>
        <w:ind w:firstLine="642" w:firstLineChars="200"/>
        <w:rPr>
          <w:b/>
          <w:bCs/>
        </w:rPr>
      </w:pPr>
      <w:r>
        <w:rPr>
          <w:b/>
          <w:bCs/>
        </w:rPr>
        <w:t>1. 基本支出899.</w:t>
      </w:r>
      <w:r>
        <w:rPr>
          <w:rFonts w:hint="eastAsia"/>
          <w:b/>
          <w:bCs/>
        </w:rPr>
        <w:t>55</w:t>
      </w:r>
      <w:r>
        <w:rPr>
          <w:b/>
          <w:bCs/>
        </w:rPr>
        <w:t>万元</w:t>
      </w:r>
    </w:p>
    <w:p>
      <w:pPr>
        <w:spacing w:line="579" w:lineRule="exact"/>
        <w:ind w:firstLine="642" w:firstLineChars="200"/>
      </w:pPr>
      <w:r>
        <w:rPr>
          <w:b/>
          <w:bCs/>
        </w:rPr>
        <w:t>一是</w:t>
      </w:r>
      <w:r>
        <w:rPr>
          <w:rFonts w:hint="eastAsia"/>
        </w:rPr>
        <w:t>一般公共服务支出420.02</w:t>
      </w:r>
      <w:r>
        <w:t>万元，其中含人大事务</w:t>
      </w:r>
      <w:r>
        <w:rPr>
          <w:rFonts w:hint="eastAsia"/>
        </w:rPr>
        <w:t>21.35</w:t>
      </w:r>
      <w:r>
        <w:t>万元、党委事务</w:t>
      </w:r>
      <w:r>
        <w:rPr>
          <w:rFonts w:hint="eastAsia"/>
        </w:rPr>
        <w:t>85.95</w:t>
      </w:r>
      <w:r>
        <w:t>万元、政府事务</w:t>
      </w:r>
      <w:r>
        <w:rPr>
          <w:rFonts w:hint="eastAsia"/>
        </w:rPr>
        <w:t>296.15</w:t>
      </w:r>
      <w:r>
        <w:t>万元、财政事务</w:t>
      </w:r>
      <w:r>
        <w:rPr>
          <w:rFonts w:hint="eastAsia"/>
        </w:rPr>
        <w:t>16.57</w:t>
      </w:r>
      <w:r>
        <w:t>万元；</w:t>
      </w:r>
      <w:r>
        <w:rPr>
          <w:b/>
          <w:bCs/>
        </w:rPr>
        <w:t>二是</w:t>
      </w:r>
      <w:r>
        <w:t>农林水事业运行</w:t>
      </w:r>
      <w:r>
        <w:rPr>
          <w:rFonts w:hint="eastAsia"/>
        </w:rPr>
        <w:t>207.93</w:t>
      </w:r>
      <w:r>
        <w:t>万元；</w:t>
      </w:r>
      <w:r>
        <w:rPr>
          <w:b/>
          <w:bCs/>
        </w:rPr>
        <w:t>三是</w:t>
      </w:r>
      <w:r>
        <w:t>群众文化</w:t>
      </w:r>
      <w:r>
        <w:rPr>
          <w:rFonts w:hint="eastAsia"/>
        </w:rPr>
        <w:t>9.84</w:t>
      </w:r>
      <w:r>
        <w:t>万元；</w:t>
      </w:r>
      <w:r>
        <w:rPr>
          <w:b/>
          <w:bCs/>
        </w:rPr>
        <w:t>四是</w:t>
      </w:r>
      <w:r>
        <w:t>社会保障和就业</w:t>
      </w:r>
      <w:r>
        <w:rPr>
          <w:rFonts w:hint="eastAsia"/>
        </w:rPr>
        <w:t>191.92</w:t>
      </w:r>
      <w:r>
        <w:t>万元；</w:t>
      </w:r>
      <w:r>
        <w:rPr>
          <w:b/>
          <w:bCs/>
        </w:rPr>
        <w:t>五是</w:t>
      </w:r>
      <w:r>
        <w:t>卫生健康</w:t>
      </w:r>
      <w:r>
        <w:rPr>
          <w:rFonts w:hint="eastAsia"/>
        </w:rPr>
        <w:t>34.17</w:t>
      </w:r>
      <w:r>
        <w:t>万元；</w:t>
      </w:r>
      <w:r>
        <w:rPr>
          <w:b/>
          <w:bCs/>
        </w:rPr>
        <w:t>六是</w:t>
      </w:r>
      <w:r>
        <w:t>住房保障</w:t>
      </w:r>
      <w:r>
        <w:rPr>
          <w:rFonts w:hint="eastAsia"/>
        </w:rPr>
        <w:t>35.67</w:t>
      </w:r>
      <w:r>
        <w:t>万元。</w:t>
      </w:r>
    </w:p>
    <w:p>
      <w:pPr>
        <w:spacing w:line="579" w:lineRule="exact"/>
        <w:rPr>
          <w:b/>
          <w:bCs/>
        </w:rPr>
      </w:pPr>
      <w:r>
        <w:rPr>
          <w:b/>
          <w:bCs/>
        </w:rPr>
        <w:t xml:space="preserve">    2. 项目支出</w:t>
      </w:r>
      <w:r>
        <w:rPr>
          <w:rFonts w:hint="eastAsia"/>
          <w:b/>
          <w:bCs/>
        </w:rPr>
        <w:t>1654.03</w:t>
      </w:r>
      <w:r>
        <w:rPr>
          <w:b/>
          <w:bCs/>
        </w:rPr>
        <w:t>万元</w:t>
      </w:r>
    </w:p>
    <w:p>
      <w:pPr>
        <w:spacing w:line="579" w:lineRule="exact"/>
        <w:ind w:firstLine="642" w:firstLineChars="200"/>
      </w:pPr>
      <w:r>
        <w:rPr>
          <w:b/>
          <w:bCs/>
        </w:rPr>
        <w:t>一是</w:t>
      </w:r>
      <w:r>
        <w:rPr>
          <w:rFonts w:hint="eastAsia"/>
        </w:rPr>
        <w:t>安排其他共产党事务支出5.38万元。主要用于</w:t>
      </w:r>
      <w:r>
        <w:t>40年农村老党员生活补助</w:t>
      </w:r>
      <w:r>
        <w:rPr>
          <w:rFonts w:hint="eastAsia"/>
        </w:rPr>
        <w:t>5.38</w:t>
      </w:r>
      <w:r>
        <w:t>万元</w:t>
      </w:r>
      <w:r>
        <w:rPr>
          <w:rFonts w:hint="eastAsia"/>
        </w:rPr>
        <w:t>；</w:t>
      </w:r>
      <w:r>
        <w:rPr>
          <w:rFonts w:hint="eastAsia"/>
          <w:b/>
          <w:bCs/>
        </w:rPr>
        <w:t>二是</w:t>
      </w:r>
      <w:r>
        <w:rPr>
          <w:rFonts w:hint="eastAsia"/>
        </w:rPr>
        <w:t>安排社会保障和就业支出67.49万元。主要用于</w:t>
      </w:r>
      <w:r>
        <w:t>保障全乡基层政权和社区建设相关的及用于社区干部及本土人才的待遇、组织运转经费以及服务群众专项经费等支出</w:t>
      </w:r>
      <w:r>
        <w:rPr>
          <w:rFonts w:hint="eastAsia"/>
        </w:rPr>
        <w:t>67.49</w:t>
      </w:r>
      <w:r>
        <w:t>万元。</w:t>
      </w:r>
      <w:r>
        <w:rPr>
          <w:rFonts w:hint="eastAsia"/>
          <w:b/>
          <w:bCs/>
        </w:rPr>
        <w:t>三是</w:t>
      </w:r>
      <w:r>
        <w:rPr>
          <w:rFonts w:hint="eastAsia"/>
        </w:rPr>
        <w:t>安排卫生健康支出6.5万元。主要用于新冠肺炎疫情工作经费以及计划生育工作经费支出6.5万元。</w:t>
      </w:r>
      <w:r>
        <w:rPr>
          <w:rFonts w:hint="eastAsia"/>
          <w:b/>
          <w:bCs/>
        </w:rPr>
        <w:t>四是</w:t>
      </w:r>
      <w:r>
        <w:rPr>
          <w:rFonts w:hint="eastAsia"/>
        </w:rPr>
        <w:t>安排农林水支出1463.89万元。主要用于</w:t>
      </w:r>
      <w:r>
        <w:t>用于保障村党支部和村民委员会相关的及用于村干部及本土人才的待遇、办公运转资金</w:t>
      </w:r>
      <w:r>
        <w:rPr>
          <w:rFonts w:hint="eastAsia"/>
        </w:rPr>
        <w:t>209.23</w:t>
      </w:r>
      <w:r>
        <w:t>万元;用于其他扶贫项目支出</w:t>
      </w:r>
      <w:r>
        <w:rPr>
          <w:rFonts w:hint="eastAsia"/>
        </w:rPr>
        <w:t>1254.66</w:t>
      </w:r>
      <w:r>
        <w:t>万元；</w:t>
      </w:r>
      <w:r>
        <w:rPr>
          <w:rFonts w:hint="eastAsia"/>
          <w:b/>
          <w:bCs/>
        </w:rPr>
        <w:t>五是</w:t>
      </w:r>
      <w:r>
        <w:rPr>
          <w:rFonts w:hint="eastAsia"/>
        </w:rPr>
        <w:t>安排灾害防治及应急管理支出23.74万元。主要用于自然灾害救灾方面的支出23.74万元。</w:t>
      </w:r>
      <w:r>
        <w:rPr>
          <w:rFonts w:hint="eastAsia"/>
          <w:b/>
          <w:bCs/>
        </w:rPr>
        <w:t>六是</w:t>
      </w:r>
      <w:r>
        <w:rPr>
          <w:rFonts w:hint="eastAsia"/>
        </w:rPr>
        <w:t>安排城乡社区支出40万元。主要用于</w:t>
      </w:r>
      <w:r>
        <w:t>城乡社区道路清扫、垃圾清运与处理以及场镇路灯维护、园林绿化等方面的支出。</w:t>
      </w:r>
      <w:r>
        <w:rPr>
          <w:rFonts w:hint="eastAsia"/>
          <w:b/>
          <w:bCs/>
        </w:rPr>
        <w:t>七是</w:t>
      </w:r>
      <w:r>
        <w:rPr>
          <w:rFonts w:hint="eastAsia"/>
        </w:rPr>
        <w:t>安排其他支出47.03万元。主要用于水上交通安全工作方面的支出及其他支出等。</w:t>
      </w:r>
    </w:p>
    <w:p>
      <w:pPr>
        <w:keepNext w:val="0"/>
        <w:keepLines w:val="0"/>
        <w:pageBreakBefore w:val="0"/>
        <w:widowControl w:val="0"/>
        <w:kinsoku/>
        <w:wordWrap/>
        <w:overflowPunct/>
        <w:topLinePunct w:val="0"/>
        <w:autoSpaceDE/>
        <w:autoSpaceDN/>
        <w:bidi w:val="0"/>
        <w:adjustRightInd/>
        <w:snapToGrid/>
        <w:spacing w:before="219" w:beforeLines="50" w:line="579" w:lineRule="exact"/>
        <w:jc w:val="center"/>
        <w:textAlignment w:val="auto"/>
        <w:rPr>
          <w:rFonts w:eastAsia="黑体"/>
          <w:bCs/>
          <w:color w:val="000000"/>
        </w:rPr>
      </w:pPr>
      <w:r>
        <w:rPr>
          <w:rFonts w:eastAsia="黑体"/>
          <w:bCs/>
          <w:color w:val="000000"/>
        </w:rPr>
        <w:t>巴山镇20</w:t>
      </w:r>
      <w:r>
        <w:rPr>
          <w:rFonts w:hint="eastAsia" w:eastAsia="黑体"/>
          <w:bCs/>
          <w:color w:val="000000"/>
        </w:rPr>
        <w:t>20</w:t>
      </w:r>
      <w:r>
        <w:rPr>
          <w:rFonts w:eastAsia="黑体"/>
          <w:bCs/>
          <w:color w:val="000000"/>
        </w:rPr>
        <w:t>年预算收支平衡表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sz w:val="24"/>
          <w:szCs w:val="24"/>
        </w:rPr>
      </w:pPr>
      <w:r>
        <w:rPr>
          <w:sz w:val="24"/>
          <w:szCs w:val="24"/>
        </w:rPr>
        <w:t>单位：万元</w:t>
      </w:r>
    </w:p>
    <w:tbl>
      <w:tblPr>
        <w:tblStyle w:val="4"/>
        <w:tblW w:w="4997" w:type="pct"/>
        <w:tblInd w:w="0" w:type="dxa"/>
        <w:tblLayout w:type="autofit"/>
        <w:tblCellMar>
          <w:top w:w="15" w:type="dxa"/>
          <w:left w:w="15" w:type="dxa"/>
          <w:bottom w:w="15" w:type="dxa"/>
          <w:right w:w="15" w:type="dxa"/>
        </w:tblCellMar>
      </w:tblPr>
      <w:tblGrid>
        <w:gridCol w:w="2466"/>
        <w:gridCol w:w="1601"/>
        <w:gridCol w:w="3086"/>
        <w:gridCol w:w="1716"/>
      </w:tblGrid>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收    入</w:t>
            </w:r>
          </w:p>
        </w:tc>
        <w:tc>
          <w:tcPr>
            <w:tcW w:w="902"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执行数</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支    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执行数</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bCs/>
                <w:color w:val="000000"/>
                <w:sz w:val="24"/>
                <w:szCs w:val="24"/>
              </w:rPr>
            </w:pPr>
            <w:r>
              <w:rPr>
                <w:rFonts w:eastAsia="黑体"/>
                <w:bCs/>
                <w:color w:val="000000"/>
                <w:sz w:val="24"/>
                <w:szCs w:val="24"/>
              </w:rPr>
              <w:t>总  计</w:t>
            </w:r>
          </w:p>
        </w:tc>
        <w:tc>
          <w:tcPr>
            <w:tcW w:w="902" w:type="pct"/>
            <w:vAlign w:val="center"/>
          </w:tcPr>
          <w:p>
            <w:pPr>
              <w:widowControl/>
              <w:spacing w:line="320" w:lineRule="exact"/>
              <w:jc w:val="center"/>
              <w:textAlignment w:val="center"/>
              <w:rPr>
                <w:rFonts w:eastAsia="黑体"/>
                <w:bCs/>
                <w:color w:val="000000"/>
                <w:sz w:val="24"/>
                <w:szCs w:val="24"/>
              </w:rPr>
            </w:pPr>
            <w:r>
              <w:rPr>
                <w:rFonts w:hint="eastAsia" w:eastAsia="黑体"/>
                <w:bCs/>
                <w:color w:val="000000"/>
                <w:sz w:val="24"/>
                <w:szCs w:val="24"/>
              </w:rPr>
              <w:t>2553.58</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bCs/>
                <w:color w:val="000000"/>
                <w:sz w:val="24"/>
                <w:szCs w:val="24"/>
              </w:rPr>
            </w:pPr>
            <w:r>
              <w:rPr>
                <w:rFonts w:eastAsia="黑体"/>
                <w:bCs/>
                <w:color w:val="000000"/>
                <w:sz w:val="24"/>
                <w:szCs w:val="24"/>
              </w:rPr>
              <w:t>总  计</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bCs/>
                <w:color w:val="000000"/>
                <w:sz w:val="24"/>
                <w:szCs w:val="24"/>
              </w:rPr>
            </w:pPr>
            <w:r>
              <w:rPr>
                <w:rFonts w:hint="eastAsia" w:eastAsia="黑体"/>
                <w:bCs/>
                <w:color w:val="000000"/>
                <w:sz w:val="24"/>
                <w:szCs w:val="24"/>
              </w:rPr>
              <w:t>2553.58</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宋体"/>
                <w:color w:val="000000"/>
                <w:sz w:val="22"/>
                <w:szCs w:val="22"/>
              </w:rPr>
            </w:pPr>
            <w:r>
              <w:rPr>
                <w:rFonts w:eastAsia="黑体"/>
                <w:color w:val="000000"/>
                <w:kern w:val="0"/>
                <w:sz w:val="24"/>
                <w:szCs w:val="24"/>
                <w:lang w:bidi="ar"/>
              </w:rPr>
              <w:t>一、上级转移支付收入</w:t>
            </w:r>
          </w:p>
        </w:tc>
        <w:tc>
          <w:tcPr>
            <w:tcW w:w="902"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sz w:val="22"/>
                <w:szCs w:val="22"/>
              </w:rPr>
              <w:t>2553.58</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宋体"/>
                <w:color w:val="000000"/>
                <w:sz w:val="22"/>
                <w:szCs w:val="22"/>
              </w:rPr>
            </w:pPr>
            <w:r>
              <w:rPr>
                <w:rFonts w:eastAsia="黑体"/>
                <w:color w:val="000000"/>
                <w:kern w:val="0"/>
                <w:sz w:val="24"/>
                <w:szCs w:val="24"/>
                <w:lang w:bidi="ar"/>
              </w:rPr>
              <w:t>一、预算支出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黑体"/>
                <w:color w:val="000000"/>
                <w:kern w:val="0"/>
                <w:sz w:val="24"/>
                <w:szCs w:val="24"/>
                <w:lang w:bidi="ar"/>
              </w:rPr>
              <w:t>2553.58</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一般性转移支付收入</w:t>
            </w: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r>
              <w:rPr>
                <w:rFonts w:hint="eastAsia" w:eastAsia="宋体"/>
                <w:color w:val="000000"/>
                <w:sz w:val="22"/>
                <w:szCs w:val="22"/>
              </w:rPr>
              <w:t>899.55</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一般公共服务支出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425.4</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专项转移支付收入</w:t>
            </w: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r>
              <w:rPr>
                <w:rFonts w:hint="eastAsia" w:eastAsia="宋体"/>
                <w:color w:val="000000"/>
                <w:sz w:val="22"/>
                <w:szCs w:val="22"/>
              </w:rPr>
              <w:t>1654.03</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文化体育与传媒支出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sz w:val="22"/>
                <w:szCs w:val="22"/>
              </w:rPr>
              <w:t>9.84</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r>
              <w:rPr>
                <w:rFonts w:eastAsia="黑体"/>
                <w:color w:val="000000"/>
                <w:kern w:val="0"/>
                <w:sz w:val="24"/>
                <w:szCs w:val="24"/>
                <w:lang w:bidi="ar"/>
              </w:rPr>
              <w:t>二、上年结转收入</w:t>
            </w: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社会保障和就业支出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259.41</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ind w:firstLine="660" w:firstLineChars="300"/>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医疗卫生与计划生育支出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40.67</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ind w:firstLine="660" w:firstLineChars="300"/>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城乡社区支出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40</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农林水支出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sz w:val="22"/>
                <w:szCs w:val="22"/>
              </w:rPr>
              <w:t>1671.82</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rFonts w:hint="eastAsia"/>
                <w:color w:val="000000"/>
                <w:kern w:val="0"/>
                <w:sz w:val="20"/>
                <w:szCs w:val="20"/>
                <w:lang w:bidi="ar"/>
              </w:rPr>
              <w:t>灾害防治及应急管理支出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23.74</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住房保障支出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kern w:val="0"/>
                <w:sz w:val="22"/>
                <w:szCs w:val="22"/>
                <w:lang w:bidi="ar"/>
              </w:rPr>
            </w:pPr>
            <w:r>
              <w:rPr>
                <w:rFonts w:hint="eastAsia" w:eastAsia="宋体"/>
                <w:color w:val="000000"/>
                <w:kern w:val="0"/>
                <w:sz w:val="22"/>
                <w:szCs w:val="22"/>
                <w:lang w:bidi="ar"/>
              </w:rPr>
              <w:t>35.67</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rFonts w:eastAsia="宋体"/>
                <w:color w:val="000000"/>
                <w:kern w:val="0"/>
                <w:sz w:val="22"/>
                <w:szCs w:val="22"/>
                <w:lang w:bidi="ar"/>
              </w:rPr>
            </w:pPr>
            <w:r>
              <w:rPr>
                <w:rFonts w:hint="eastAsia"/>
                <w:color w:val="000000"/>
                <w:kern w:val="0"/>
                <w:sz w:val="20"/>
                <w:szCs w:val="20"/>
                <w:lang w:bidi="ar"/>
              </w:rPr>
              <w:t>其他支出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kern w:val="0"/>
                <w:sz w:val="22"/>
                <w:szCs w:val="22"/>
                <w:lang w:bidi="ar"/>
              </w:rPr>
            </w:pPr>
            <w:r>
              <w:rPr>
                <w:rFonts w:hint="eastAsia" w:eastAsia="宋体"/>
                <w:color w:val="000000"/>
                <w:kern w:val="0"/>
                <w:sz w:val="22"/>
                <w:szCs w:val="22"/>
                <w:lang w:bidi="ar"/>
              </w:rPr>
              <w:t>47.03</w:t>
            </w:r>
          </w:p>
        </w:tc>
      </w:tr>
      <w:tr>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宋体"/>
                <w:color w:val="000000"/>
                <w:kern w:val="0"/>
                <w:sz w:val="22"/>
                <w:szCs w:val="22"/>
                <w:lang w:bidi="ar"/>
              </w:rPr>
            </w:pPr>
            <w:r>
              <w:rPr>
                <w:rFonts w:eastAsia="宋体"/>
                <w:color w:val="000000"/>
                <w:kern w:val="0"/>
                <w:sz w:val="22"/>
                <w:szCs w:val="22"/>
                <w:lang w:bidi="ar"/>
              </w:rPr>
              <w:t>二、</w:t>
            </w:r>
            <w:r>
              <w:rPr>
                <w:rFonts w:eastAsia="黑体"/>
                <w:bCs/>
                <w:color w:val="000000"/>
                <w:sz w:val="24"/>
                <w:szCs w:val="24"/>
              </w:rPr>
              <w:t>结转下年支出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kern w:val="0"/>
                <w:sz w:val="22"/>
                <w:szCs w:val="22"/>
                <w:lang w:bidi="ar"/>
              </w:rPr>
            </w:pPr>
          </w:p>
        </w:tc>
      </w:tr>
    </w:tbl>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（三）2020年财政预算开展情况</w:t>
      </w:r>
    </w:p>
    <w:p>
      <w:pPr>
        <w:spacing w:line="579" w:lineRule="exact"/>
        <w:ind w:firstLine="640" w:firstLineChars="200"/>
        <w:rPr>
          <w:highlight w:val="yellow"/>
        </w:rPr>
      </w:pPr>
      <w:r>
        <w:rPr>
          <w:rFonts w:hint="eastAsia"/>
          <w:lang w:val="en-US" w:eastAsia="zh-CN"/>
        </w:rPr>
        <w:t>2020年</w:t>
      </w:r>
      <w:r>
        <w:t>，按照</w:t>
      </w:r>
      <w:r>
        <w:rPr>
          <w:rFonts w:hint="eastAsia"/>
        </w:rPr>
        <w:t>“</w:t>
      </w:r>
      <w:r>
        <w:t>量入为出，量力而行</w:t>
      </w:r>
      <w:r>
        <w:rPr>
          <w:rFonts w:hint="eastAsia"/>
        </w:rPr>
        <w:t>”</w:t>
      </w:r>
      <w:r>
        <w:t>的</w:t>
      </w:r>
      <w:r>
        <w:rPr>
          <w:rFonts w:hint="eastAsia"/>
        </w:rPr>
        <w:t>原则</w:t>
      </w:r>
      <w:r>
        <w:t>，坚持民生优先理念，切实保障和改善民生。加快推进住房保障体系建设，切实改善人民群众居住条件。加大农田水利基础设施建设力度，夯实农业增收基础等工作，有力地保障了</w:t>
      </w:r>
      <w:r>
        <w:rPr>
          <w:color w:val="000000"/>
          <w:kern w:val="0"/>
        </w:rPr>
        <w:t>全镇经济</w:t>
      </w:r>
      <w:r>
        <w:rPr>
          <w:rFonts w:hint="eastAsia"/>
          <w:color w:val="000000"/>
          <w:kern w:val="0"/>
        </w:rPr>
        <w:t>和</w:t>
      </w:r>
      <w:r>
        <w:rPr>
          <w:color w:val="000000"/>
          <w:kern w:val="0"/>
        </w:rPr>
        <w:t>社会事业的健康快速发展</w:t>
      </w:r>
      <w:r>
        <w:t>。</w:t>
      </w:r>
    </w:p>
    <w:p>
      <w:pPr>
        <w:spacing w:line="579" w:lineRule="exact"/>
        <w:ind w:firstLine="640" w:firstLineChars="200"/>
        <w:jc w:val="left"/>
        <w:rPr>
          <w:rFonts w:eastAsia="方正黑体_GBK"/>
        </w:rPr>
      </w:pPr>
      <w:r>
        <w:rPr>
          <w:rFonts w:eastAsia="方正黑体_GBK"/>
        </w:rPr>
        <w:t>二、20</w:t>
      </w:r>
      <w:r>
        <w:rPr>
          <w:rFonts w:hint="eastAsia" w:eastAsia="方正黑体_GBK"/>
        </w:rPr>
        <w:t>21</w:t>
      </w:r>
      <w:r>
        <w:rPr>
          <w:rFonts w:eastAsia="方正黑体_GBK"/>
        </w:rPr>
        <w:t>年</w:t>
      </w:r>
      <w:r>
        <w:rPr>
          <w:rFonts w:hint="eastAsia" w:eastAsia="方正黑体_GBK"/>
        </w:rPr>
        <w:t>预算（草案）</w:t>
      </w:r>
    </w:p>
    <w:p>
      <w:pPr>
        <w:spacing w:line="579" w:lineRule="exact"/>
        <w:ind w:firstLine="640" w:firstLineChars="200"/>
      </w:pPr>
      <w:r>
        <w:t>根据202</w:t>
      </w:r>
      <w:r>
        <w:rPr>
          <w:rFonts w:hint="eastAsia"/>
        </w:rPr>
        <w:t>1</w:t>
      </w:r>
      <w:r>
        <w:t>年的经济形势分析，按照市县财政预算编制的相关</w:t>
      </w:r>
      <w:r>
        <w:rPr>
          <w:rFonts w:hint="eastAsia"/>
          <w:lang w:val="en-US" w:eastAsia="zh-CN"/>
        </w:rPr>
        <w:t>要求</w:t>
      </w:r>
      <w:r>
        <w:t>，</w:t>
      </w:r>
      <w:r>
        <w:rPr>
          <w:rFonts w:hint="eastAsia"/>
          <w:lang w:val="en-US" w:eastAsia="zh-CN"/>
        </w:rPr>
        <w:t>坚持</w:t>
      </w:r>
      <w:r>
        <w:t>以习近平新时代中国特色社会主义思想为指导，</w:t>
      </w:r>
      <w:r>
        <w:rPr>
          <w:rFonts w:hint="eastAsia"/>
        </w:rPr>
        <w:t>全面贯彻落实党</w:t>
      </w:r>
      <w:r>
        <w:t>的十九大</w:t>
      </w:r>
      <w:r>
        <w:rPr>
          <w:rFonts w:hint="eastAsia"/>
        </w:rPr>
        <w:t>、</w:t>
      </w:r>
      <w:r>
        <w:t>十九届二中、三中</w:t>
      </w:r>
      <w:r>
        <w:rPr>
          <w:rFonts w:hint="eastAsia"/>
        </w:rPr>
        <w:t>、四中、五中</w:t>
      </w:r>
      <w:r>
        <w:t>全会精神</w:t>
      </w:r>
      <w:r>
        <w:rPr>
          <w:rFonts w:hint="eastAsia"/>
        </w:rPr>
        <w:t>及中央经济工作会、全国财政工作会精神，坚持稳中求进工作总基调，全面落实好更加积极有为的财政政策，坚持深化财政预算管理改革，坚持推进“规范透明、标准科学、约束有力、讲求绩效”的现代财政预算管理制度建立，坚持落实好政府过“紧日子”系列要求，坚持重点突出、增收节支、精打细算、有保有压，落实“六稳”“六保”工作任务，全力服务好镇域经济社会发展大局，确保2021年财政经济平稳运行。同时加强巩固</w:t>
      </w:r>
      <w:r>
        <w:t>脱贫攻坚</w:t>
      </w:r>
      <w:r>
        <w:rPr>
          <w:rFonts w:hint="eastAsia"/>
        </w:rPr>
        <w:t>成果</w:t>
      </w:r>
      <w:r>
        <w:t>，</w:t>
      </w:r>
      <w:r>
        <w:rPr>
          <w:rFonts w:hint="eastAsia"/>
        </w:rPr>
        <w:t>有效衔接乡村振兴</w:t>
      </w:r>
      <w:r>
        <w:t>，全力保障和改善民生，推进财政管理科学化、精细化，不断提高财政资金运行的质量和效益，促进</w:t>
      </w:r>
      <w:r>
        <w:rPr>
          <w:rFonts w:hint="eastAsia"/>
        </w:rPr>
        <w:t>镇</w:t>
      </w:r>
      <w:r>
        <w:t>域经济和社会事业全面协调可持续发展，重点围绕“保运转、保民生、促发展、防风险”的财政工作重点，扎实做好年度预算编制、执行和监督工作，确保全面完成各项财政工作任务。</w:t>
      </w:r>
    </w:p>
    <w:p>
      <w:pPr>
        <w:spacing w:line="579" w:lineRule="exact"/>
        <w:ind w:firstLine="640" w:firstLineChars="200"/>
      </w:pPr>
      <w:r>
        <w:t>根据上述原则和202</w:t>
      </w:r>
      <w:r>
        <w:rPr>
          <w:rFonts w:hint="eastAsia"/>
        </w:rPr>
        <w:t>1</w:t>
      </w:r>
      <w:r>
        <w:t>年经济社会发展目标，综合考虑我</w:t>
      </w:r>
      <w:r>
        <w:rPr>
          <w:rFonts w:hint="eastAsia"/>
        </w:rPr>
        <w:t>镇</w:t>
      </w:r>
      <w:r>
        <w:t>的实际情况，经测算，编制了202</w:t>
      </w:r>
      <w:r>
        <w:rPr>
          <w:rFonts w:hint="eastAsia"/>
        </w:rPr>
        <w:t>1</w:t>
      </w:r>
      <w:r>
        <w:t>年财政预算草案，具体安排如下：</w:t>
      </w:r>
    </w:p>
    <w:p>
      <w:pPr>
        <w:keepNext w:val="0"/>
        <w:keepLines w:val="0"/>
        <w:pageBreakBefore w:val="0"/>
        <w:widowControl w:val="0"/>
        <w:kinsoku/>
        <w:wordWrap/>
        <w:overflowPunct/>
        <w:topLinePunct w:val="0"/>
        <w:autoSpaceDE/>
        <w:autoSpaceDN/>
        <w:bidi w:val="0"/>
        <w:adjustRightInd/>
        <w:snapToGrid/>
        <w:spacing w:before="219" w:beforeLines="50" w:line="579" w:lineRule="exact"/>
        <w:jc w:val="center"/>
        <w:textAlignment w:val="auto"/>
        <w:rPr>
          <w:rFonts w:eastAsia="黑体"/>
          <w:bCs/>
          <w:color w:val="000000"/>
        </w:rPr>
      </w:pPr>
      <w:r>
        <w:rPr>
          <w:rFonts w:eastAsia="黑体"/>
          <w:bCs/>
          <w:color w:val="000000"/>
        </w:rPr>
        <w:t>巴山镇20</w:t>
      </w:r>
      <w:r>
        <w:rPr>
          <w:rFonts w:hint="eastAsia" w:eastAsia="黑体"/>
          <w:bCs/>
          <w:color w:val="000000"/>
        </w:rPr>
        <w:t>21</w:t>
      </w:r>
      <w:r>
        <w:rPr>
          <w:rFonts w:eastAsia="黑体"/>
          <w:bCs/>
          <w:color w:val="000000"/>
        </w:rPr>
        <w:t>年预算收支平衡表</w:t>
      </w:r>
    </w:p>
    <w:p>
      <w:pPr>
        <w:spacing w:line="579" w:lineRule="exact"/>
        <w:jc w:val="right"/>
        <w:rPr>
          <w:color w:val="000000"/>
          <w:sz w:val="24"/>
          <w:szCs w:val="24"/>
        </w:rPr>
      </w:pPr>
      <w:r>
        <w:rPr>
          <w:color w:val="000000"/>
          <w:sz w:val="24"/>
          <w:szCs w:val="24"/>
        </w:rPr>
        <w:t>单位：万元</w:t>
      </w:r>
    </w:p>
    <w:tbl>
      <w:tblPr>
        <w:tblStyle w:val="4"/>
        <w:tblW w:w="4999" w:type="pct"/>
        <w:tblInd w:w="0" w:type="dxa"/>
        <w:tblLayout w:type="autofit"/>
        <w:tblCellMar>
          <w:top w:w="15" w:type="dxa"/>
          <w:left w:w="15" w:type="dxa"/>
          <w:bottom w:w="15" w:type="dxa"/>
          <w:right w:w="15" w:type="dxa"/>
        </w:tblCellMar>
      </w:tblPr>
      <w:tblGrid>
        <w:gridCol w:w="1935"/>
        <w:gridCol w:w="1517"/>
        <w:gridCol w:w="2536"/>
        <w:gridCol w:w="1367"/>
        <w:gridCol w:w="1517"/>
      </w:tblGrid>
      <w:tr>
        <w:trPr>
          <w:trHeight w:val="493" w:hRule="atLeast"/>
        </w:trPr>
        <w:tc>
          <w:tcPr>
            <w:tcW w:w="1945" w:type="pct"/>
            <w:gridSpan w:val="2"/>
            <w:tcBorders>
              <w:top w:val="single" w:color="000000" w:sz="12"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收       入</w:t>
            </w:r>
          </w:p>
        </w:tc>
        <w:tc>
          <w:tcPr>
            <w:tcW w:w="3054" w:type="pct"/>
            <w:gridSpan w:val="3"/>
            <w:tcBorders>
              <w:top w:val="single" w:color="000000" w:sz="12"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支       出</w:t>
            </w:r>
          </w:p>
        </w:tc>
      </w:tr>
      <w:tr>
        <w:trPr>
          <w:trHeight w:val="493" w:hRule="atLeast"/>
        </w:trPr>
        <w:tc>
          <w:tcPr>
            <w:tcW w:w="1090" w:type="pct"/>
            <w:vMerge w:val="restar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项    目</w:t>
            </w:r>
          </w:p>
        </w:tc>
        <w:tc>
          <w:tcPr>
            <w:tcW w:w="85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20</w:t>
            </w:r>
            <w:r>
              <w:rPr>
                <w:rFonts w:hint="eastAsia" w:eastAsia="黑体"/>
                <w:bCs/>
                <w:color w:val="000000"/>
                <w:sz w:val="24"/>
                <w:szCs w:val="24"/>
              </w:rPr>
              <w:t>21</w:t>
            </w:r>
            <w:r>
              <w:rPr>
                <w:rFonts w:eastAsia="黑体"/>
                <w:bCs/>
                <w:color w:val="000000"/>
                <w:sz w:val="24"/>
                <w:szCs w:val="24"/>
              </w:rPr>
              <w:t>年预算数</w:t>
            </w:r>
          </w:p>
        </w:tc>
        <w:tc>
          <w:tcPr>
            <w:tcW w:w="142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项目（按功能分类）</w:t>
            </w:r>
          </w:p>
        </w:tc>
        <w:tc>
          <w:tcPr>
            <w:tcW w:w="1625" w:type="pct"/>
            <w:gridSpan w:val="2"/>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20</w:t>
            </w:r>
            <w:r>
              <w:rPr>
                <w:rFonts w:hint="eastAsia" w:eastAsia="黑体"/>
                <w:bCs/>
                <w:color w:val="000000"/>
                <w:sz w:val="24"/>
                <w:szCs w:val="24"/>
              </w:rPr>
              <w:t>21</w:t>
            </w:r>
            <w:r>
              <w:rPr>
                <w:rFonts w:eastAsia="黑体"/>
                <w:bCs/>
                <w:color w:val="000000"/>
                <w:sz w:val="24"/>
                <w:szCs w:val="24"/>
              </w:rPr>
              <w:t>年预算数</w:t>
            </w:r>
          </w:p>
        </w:tc>
      </w:tr>
      <w:tr>
        <w:trPr>
          <w:trHeight w:val="493" w:hRule="atLeast"/>
        </w:trPr>
        <w:tc>
          <w:tcPr>
            <w:tcW w:w="1090" w:type="pct"/>
            <w:vMerge w:val="continue"/>
            <w:tcBorders>
              <w:top w:val="single" w:color="000000" w:sz="4" w:space="0"/>
              <w:left w:val="single" w:color="000000" w:sz="12" w:space="0"/>
              <w:bottom w:val="single" w:color="000000" w:sz="4" w:space="0"/>
              <w:right w:val="single" w:color="000000" w:sz="4" w:space="0"/>
            </w:tcBorders>
            <w:vAlign w:val="center"/>
          </w:tcPr>
          <w:p>
            <w:pPr>
              <w:spacing w:line="320" w:lineRule="exact"/>
              <w:jc w:val="center"/>
              <w:rPr>
                <w:rFonts w:eastAsia="宋体"/>
                <w:b/>
                <w:color w:val="000000"/>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b/>
                <w:color w:val="000000"/>
                <w:sz w:val="20"/>
                <w:szCs w:val="20"/>
              </w:rPr>
            </w:pPr>
          </w:p>
        </w:tc>
        <w:tc>
          <w:tcPr>
            <w:tcW w:w="1429" w:type="pct"/>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b/>
                <w:color w:val="000000"/>
                <w:sz w:val="20"/>
                <w:szCs w:val="20"/>
              </w:rPr>
            </w:pPr>
          </w:p>
        </w:tc>
        <w:tc>
          <w:tcPr>
            <w:tcW w:w="77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宋体"/>
                <w:b/>
                <w:color w:val="000000"/>
                <w:kern w:val="0"/>
                <w:sz w:val="20"/>
                <w:szCs w:val="20"/>
                <w:lang w:bidi="ar"/>
              </w:rPr>
              <w:t>小</w:t>
            </w:r>
            <w:r>
              <w:rPr>
                <w:rFonts w:eastAsia="黑体"/>
                <w:bCs/>
                <w:color w:val="000000"/>
                <w:sz w:val="24"/>
                <w:szCs w:val="24"/>
              </w:rPr>
              <w:t>计</w:t>
            </w:r>
          </w:p>
        </w:tc>
        <w:tc>
          <w:tcPr>
            <w:tcW w:w="855" w:type="pct"/>
            <w:tcBorders>
              <w:top w:val="single" w:color="000000" w:sz="4" w:space="0"/>
              <w:left w:val="single" w:color="000000" w:sz="4" w:space="0"/>
              <w:bottom w:val="single" w:color="000000" w:sz="4" w:space="0"/>
              <w:right w:val="single" w:color="000000" w:sz="12" w:space="0"/>
            </w:tcBorders>
            <w:vAlign w:val="center"/>
          </w:tcPr>
          <w:p>
            <w:pPr>
              <w:widowControl/>
              <w:spacing w:line="320" w:lineRule="exact"/>
              <w:textAlignment w:val="center"/>
              <w:rPr>
                <w:rFonts w:eastAsia="宋体"/>
                <w:b/>
                <w:color w:val="000000"/>
                <w:sz w:val="20"/>
                <w:szCs w:val="20"/>
              </w:rPr>
            </w:pPr>
            <w:r>
              <w:rPr>
                <w:rFonts w:eastAsia="黑体"/>
                <w:bCs/>
                <w:color w:val="000000"/>
                <w:sz w:val="24"/>
                <w:szCs w:val="24"/>
              </w:rPr>
              <w:t>一般公共预算财政拨款</w:t>
            </w:r>
          </w:p>
        </w:tc>
      </w:tr>
      <w:tr>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szCs w:val="24"/>
              </w:rPr>
            </w:pPr>
            <w:r>
              <w:rPr>
                <w:rFonts w:eastAsia="黑体"/>
                <w:bCs/>
                <w:color w:val="000000"/>
                <w:sz w:val="24"/>
                <w:szCs w:val="24"/>
              </w:rPr>
              <w:t>总  计</w:t>
            </w:r>
          </w:p>
        </w:tc>
        <w:tc>
          <w:tcPr>
            <w:tcW w:w="854"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r>
              <w:rPr>
                <w:rFonts w:hint="eastAsia" w:eastAsia="黑体"/>
                <w:bCs/>
                <w:color w:val="000000"/>
                <w:sz w:val="24"/>
                <w:szCs w:val="24"/>
              </w:rPr>
              <w:t>839.53</w:t>
            </w: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szCs w:val="24"/>
              </w:rPr>
            </w:pPr>
            <w:r>
              <w:rPr>
                <w:rFonts w:eastAsia="黑体"/>
                <w:bCs/>
                <w:color w:val="000000"/>
                <w:sz w:val="24"/>
                <w:szCs w:val="24"/>
              </w:rPr>
              <w:t xml:space="preserve">总   计 </w:t>
            </w:r>
          </w:p>
        </w:tc>
        <w:tc>
          <w:tcPr>
            <w:tcW w:w="77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r>
              <w:rPr>
                <w:rFonts w:hint="eastAsia" w:eastAsia="黑体"/>
                <w:bCs/>
                <w:color w:val="000000"/>
                <w:sz w:val="24"/>
                <w:szCs w:val="24"/>
              </w:rPr>
              <w:t>839.53</w:t>
            </w:r>
          </w:p>
        </w:tc>
        <w:tc>
          <w:tcPr>
            <w:tcW w:w="855" w:type="pct"/>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eastAsia="宋体"/>
                <w:color w:val="000000"/>
                <w:sz w:val="20"/>
                <w:szCs w:val="20"/>
              </w:rPr>
            </w:pPr>
            <w:r>
              <w:rPr>
                <w:rFonts w:hint="eastAsia" w:eastAsia="黑体"/>
                <w:bCs/>
                <w:color w:val="000000"/>
                <w:sz w:val="24"/>
                <w:szCs w:val="24"/>
              </w:rPr>
              <w:t>839.53</w:t>
            </w:r>
          </w:p>
        </w:tc>
      </w:tr>
      <w:tr>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eastAsia="宋体"/>
                <w:color w:val="000000"/>
                <w:kern w:val="0"/>
                <w:sz w:val="20"/>
                <w:szCs w:val="20"/>
                <w:lang w:bidi="ar"/>
              </w:rPr>
            </w:pPr>
            <w:r>
              <w:rPr>
                <w:rFonts w:eastAsia="黑体"/>
                <w:color w:val="000000"/>
                <w:sz w:val="24"/>
                <w:szCs w:val="24"/>
              </w:rPr>
              <w:t>一、公共财政预算拨款收入</w:t>
            </w:r>
          </w:p>
        </w:tc>
        <w:tc>
          <w:tcPr>
            <w:tcW w:w="854" w:type="pct"/>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eastAsia="宋体"/>
                <w:color w:val="000000"/>
                <w:sz w:val="20"/>
                <w:szCs w:val="20"/>
              </w:rPr>
            </w:pPr>
            <w:r>
              <w:rPr>
                <w:rFonts w:hint="eastAsia" w:eastAsia="黑体"/>
                <w:bCs/>
                <w:color w:val="000000"/>
                <w:sz w:val="24"/>
                <w:szCs w:val="24"/>
              </w:rPr>
              <w:t>839.53</w:t>
            </w: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一、一般公共服务支出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258.23</w:t>
            </w:r>
          </w:p>
        </w:tc>
      </w:tr>
      <w:tr>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二、政府性基金收入</w:t>
            </w:r>
          </w:p>
        </w:tc>
        <w:tc>
          <w:tcPr>
            <w:tcW w:w="854" w:type="pct"/>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eastAsia="黑体"/>
                <w:color w:val="000000"/>
                <w:sz w:val="24"/>
                <w:szCs w:val="24"/>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二、文化旅游体育与传媒支出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7.19</w:t>
            </w:r>
          </w:p>
        </w:tc>
      </w:tr>
      <w:tr>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color w:val="000000"/>
                <w:kern w:val="0"/>
                <w:sz w:val="20"/>
                <w:szCs w:val="20"/>
                <w:lang w:bidi="ar"/>
              </w:rPr>
            </w:pPr>
            <w:r>
              <w:rPr>
                <w:rFonts w:eastAsia="黑体"/>
                <w:color w:val="000000"/>
                <w:sz w:val="24"/>
                <w:szCs w:val="24"/>
              </w:rPr>
              <w:t>二、上年财政拨款结转收入</w:t>
            </w:r>
          </w:p>
        </w:tc>
        <w:tc>
          <w:tcPr>
            <w:tcW w:w="854"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三、社会保障和就业支出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85.9</w:t>
            </w:r>
          </w:p>
        </w:tc>
      </w:tr>
      <w:tr>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color w:val="000000"/>
                <w:kern w:val="0"/>
                <w:sz w:val="20"/>
                <w:szCs w:val="20"/>
                <w:lang w:bidi="ar"/>
              </w:rPr>
            </w:pPr>
          </w:p>
        </w:tc>
        <w:tc>
          <w:tcPr>
            <w:tcW w:w="854"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四、医疗卫生与计划生育支出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31.55</w:t>
            </w:r>
          </w:p>
        </w:tc>
      </w:tr>
      <w:tr>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eastAsia="宋体"/>
                <w:color w:val="000000"/>
                <w:sz w:val="20"/>
                <w:szCs w:val="20"/>
              </w:rPr>
            </w:pPr>
          </w:p>
        </w:tc>
        <w:tc>
          <w:tcPr>
            <w:tcW w:w="854"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五、城乡社区支出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40</w:t>
            </w:r>
          </w:p>
        </w:tc>
      </w:tr>
      <w:tr>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eastAsia="宋体"/>
                <w:color w:val="000000"/>
                <w:sz w:val="20"/>
                <w:szCs w:val="20"/>
              </w:rPr>
            </w:pPr>
          </w:p>
        </w:tc>
        <w:tc>
          <w:tcPr>
            <w:tcW w:w="854"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六、农林水支出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0"/>
                <w:szCs w:val="20"/>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384.61</w:t>
            </w:r>
          </w:p>
        </w:tc>
      </w:tr>
      <w:tr>
        <w:trPr>
          <w:trHeight w:val="493" w:hRule="atLeast"/>
        </w:trPr>
        <w:tc>
          <w:tcPr>
            <w:tcW w:w="1090" w:type="pct"/>
            <w:tcBorders>
              <w:top w:val="single" w:color="000000" w:sz="4" w:space="0"/>
              <w:left w:val="single" w:color="000000" w:sz="12" w:space="0"/>
              <w:bottom w:val="single" w:color="000000" w:sz="12" w:space="0"/>
              <w:right w:val="single" w:color="000000" w:sz="4" w:space="0"/>
            </w:tcBorders>
            <w:vAlign w:val="center"/>
          </w:tcPr>
          <w:p>
            <w:pPr>
              <w:widowControl/>
              <w:spacing w:line="320" w:lineRule="exact"/>
              <w:jc w:val="center"/>
              <w:textAlignment w:val="center"/>
              <w:rPr>
                <w:rFonts w:eastAsia="宋体"/>
                <w:b/>
                <w:color w:val="000000"/>
                <w:kern w:val="0"/>
                <w:sz w:val="20"/>
                <w:szCs w:val="20"/>
                <w:lang w:bidi="ar"/>
              </w:rPr>
            </w:pPr>
          </w:p>
        </w:tc>
        <w:tc>
          <w:tcPr>
            <w:tcW w:w="854" w:type="pct"/>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center"/>
              <w:textAlignment w:val="center"/>
              <w:rPr>
                <w:rFonts w:eastAsia="宋体"/>
                <w:color w:val="000000"/>
                <w:kern w:val="0"/>
                <w:sz w:val="20"/>
                <w:szCs w:val="20"/>
                <w:lang w:bidi="ar"/>
              </w:rPr>
            </w:pPr>
          </w:p>
        </w:tc>
        <w:tc>
          <w:tcPr>
            <w:tcW w:w="1429" w:type="pct"/>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七、住房保障支出</w:t>
            </w:r>
          </w:p>
        </w:tc>
        <w:tc>
          <w:tcPr>
            <w:tcW w:w="770" w:type="pct"/>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center"/>
              <w:textAlignment w:val="center"/>
              <w:rPr>
                <w:rFonts w:eastAsia="宋体"/>
                <w:color w:val="000000"/>
                <w:sz w:val="20"/>
                <w:szCs w:val="20"/>
              </w:rPr>
            </w:pPr>
          </w:p>
        </w:tc>
        <w:tc>
          <w:tcPr>
            <w:tcW w:w="855" w:type="pct"/>
            <w:tcBorders>
              <w:top w:val="single" w:color="000000" w:sz="4" w:space="0"/>
              <w:left w:val="single" w:color="000000" w:sz="4" w:space="0"/>
              <w:bottom w:val="single" w:color="000000" w:sz="12" w:space="0"/>
              <w:right w:val="single" w:color="000000" w:sz="12" w:space="0"/>
            </w:tcBorders>
            <w:vAlign w:val="center"/>
          </w:tcPr>
          <w:p>
            <w:pPr>
              <w:widowControl/>
              <w:spacing w:line="320" w:lineRule="exact"/>
              <w:jc w:val="center"/>
              <w:textAlignment w:val="center"/>
              <w:rPr>
                <w:rFonts w:eastAsia="宋体"/>
                <w:color w:val="000000"/>
                <w:sz w:val="20"/>
                <w:szCs w:val="20"/>
              </w:rPr>
            </w:pPr>
            <w:r>
              <w:rPr>
                <w:rFonts w:hint="eastAsia" w:eastAsia="宋体"/>
                <w:color w:val="000000"/>
                <w:sz w:val="20"/>
                <w:szCs w:val="20"/>
              </w:rPr>
              <w:t>32.05</w:t>
            </w:r>
          </w:p>
        </w:tc>
      </w:tr>
    </w:tbl>
    <w:p>
      <w:pPr>
        <w:spacing w:line="579" w:lineRule="exact"/>
        <w:ind w:firstLine="640" w:firstLineChars="200"/>
        <w:rPr>
          <w:rFonts w:hint="eastAsia" w:ascii="方正楷体_GBK" w:hAnsi="方正楷体_GBK" w:eastAsia="方正楷体_GBK" w:cs="方正楷体_GBK"/>
          <w:b w:val="0"/>
          <w:bCs/>
        </w:rPr>
      </w:pP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（一）2021年一般公共预算收入草案</w:t>
      </w:r>
    </w:p>
    <w:p>
      <w:pPr>
        <w:spacing w:line="579" w:lineRule="exact"/>
        <w:ind w:firstLine="640" w:firstLineChars="200"/>
      </w:pPr>
      <w:r>
        <w:t>我</w:t>
      </w:r>
      <w:r>
        <w:rPr>
          <w:rFonts w:hint="eastAsia"/>
        </w:rPr>
        <w:t>镇</w:t>
      </w:r>
      <w:r>
        <w:t>20</w:t>
      </w:r>
      <w:r>
        <w:rPr>
          <w:rFonts w:hint="eastAsia"/>
        </w:rPr>
        <w:t>21</w:t>
      </w:r>
      <w:r>
        <w:t>年一般预算收入及项目预算收入共计</w:t>
      </w:r>
      <w:r>
        <w:rPr>
          <w:rFonts w:hint="eastAsia"/>
        </w:rPr>
        <w:t>839.53</w:t>
      </w:r>
      <w:r>
        <w:t>万元。（因税收及非税收入未下达任务数，不在本预算之内）</w:t>
      </w:r>
    </w:p>
    <w:p>
      <w:pPr>
        <w:spacing w:line="579" w:lineRule="exact"/>
      </w:pPr>
      <w:r>
        <w:t>根据今年</w:t>
      </w:r>
      <w:r>
        <w:rPr>
          <w:rFonts w:hint="eastAsia"/>
        </w:rPr>
        <w:t>镇</w:t>
      </w:r>
      <w:r>
        <w:t>经济与社会发展目标，预算安排202</w:t>
      </w:r>
      <w:r>
        <w:rPr>
          <w:rFonts w:hint="eastAsia"/>
        </w:rPr>
        <w:t>1</w:t>
      </w:r>
      <w:r>
        <w:t>年财政一般公共预算收入预计</w:t>
      </w:r>
      <w:r>
        <w:rPr>
          <w:rFonts w:hint="eastAsia"/>
        </w:rPr>
        <w:t>839.53</w:t>
      </w:r>
      <w:r>
        <w:t>万元，比上年增加</w:t>
      </w:r>
      <w:r>
        <w:rPr>
          <w:rFonts w:hint="eastAsia"/>
        </w:rPr>
        <w:t>1.19</w:t>
      </w:r>
      <w:r>
        <w:t>%（因20</w:t>
      </w:r>
      <w:r>
        <w:rPr>
          <w:rFonts w:hint="eastAsia"/>
        </w:rPr>
        <w:t>20</w:t>
      </w:r>
      <w:r>
        <w:t>年年初预算时人员的增加，经费的增加）。</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（二）2021年一般公共预算支出草案</w:t>
      </w:r>
    </w:p>
    <w:p>
      <w:pPr>
        <w:spacing w:line="579" w:lineRule="exact"/>
        <w:ind w:firstLine="640" w:firstLineChars="200"/>
      </w:pPr>
      <w:r>
        <w:t>一般公共预算安排情况。现对已下达年初预算</w:t>
      </w:r>
      <w:r>
        <w:rPr>
          <w:rFonts w:hint="eastAsia"/>
        </w:rPr>
        <w:t>839.53</w:t>
      </w:r>
      <w:r>
        <w:t>万元，</w:t>
      </w:r>
      <w:r>
        <w:rPr>
          <w:rFonts w:hint="eastAsia"/>
        </w:rPr>
        <w:t>共</w:t>
      </w:r>
      <w:r>
        <w:t>计安排支出</w:t>
      </w:r>
      <w:r>
        <w:rPr>
          <w:rFonts w:hint="eastAsia"/>
        </w:rPr>
        <w:t>839.53</w:t>
      </w:r>
      <w:r>
        <w:t>万元。</w:t>
      </w:r>
    </w:p>
    <w:p>
      <w:pPr>
        <w:spacing w:line="579" w:lineRule="exact"/>
        <w:ind w:firstLine="640" w:firstLineChars="200"/>
      </w:pPr>
      <w:r>
        <w:t>分支出功能科目安排如下：</w:t>
      </w:r>
    </w:p>
    <w:p>
      <w:pPr>
        <w:spacing w:line="579" w:lineRule="exact"/>
        <w:ind w:firstLine="640" w:firstLineChars="200"/>
      </w:pPr>
      <w:r>
        <w:t>——一般公共服务支出</w:t>
      </w:r>
      <w:r>
        <w:rPr>
          <w:rFonts w:hint="eastAsia"/>
        </w:rPr>
        <w:t>258.23</w:t>
      </w:r>
      <w:r>
        <w:t>万元；</w:t>
      </w:r>
    </w:p>
    <w:p>
      <w:pPr>
        <w:spacing w:line="579" w:lineRule="exact"/>
        <w:ind w:firstLine="640" w:firstLineChars="200"/>
      </w:pPr>
      <w:r>
        <w:t>——文化旅游体育与传媒支出</w:t>
      </w:r>
      <w:r>
        <w:rPr>
          <w:rFonts w:hint="eastAsia"/>
        </w:rPr>
        <w:t>7.19</w:t>
      </w:r>
      <w:r>
        <w:t>万元；</w:t>
      </w:r>
    </w:p>
    <w:p>
      <w:pPr>
        <w:spacing w:line="579" w:lineRule="exact"/>
        <w:ind w:firstLine="640" w:firstLineChars="200"/>
      </w:pPr>
      <w:r>
        <w:t>——社会保障和就业支出</w:t>
      </w:r>
      <w:r>
        <w:rPr>
          <w:rFonts w:hint="eastAsia"/>
        </w:rPr>
        <w:t>85.9</w:t>
      </w:r>
      <w:r>
        <w:t>万元；</w:t>
      </w:r>
    </w:p>
    <w:p>
      <w:pPr>
        <w:spacing w:line="579" w:lineRule="exact"/>
        <w:ind w:firstLine="640" w:firstLineChars="200"/>
      </w:pPr>
      <w:r>
        <w:t>——医疗卫生和计划生育支出</w:t>
      </w:r>
      <w:r>
        <w:rPr>
          <w:rFonts w:hint="eastAsia"/>
        </w:rPr>
        <w:t>31.55</w:t>
      </w:r>
      <w:r>
        <w:t>万元；</w:t>
      </w:r>
    </w:p>
    <w:p>
      <w:pPr>
        <w:spacing w:line="579" w:lineRule="exact"/>
        <w:ind w:firstLine="640" w:firstLineChars="200"/>
      </w:pPr>
      <w:r>
        <w:t>——</w:t>
      </w:r>
      <w:r>
        <w:rPr>
          <w:rFonts w:hint="eastAsia"/>
        </w:rPr>
        <w:t>城乡社区支出40万元</w:t>
      </w:r>
    </w:p>
    <w:p>
      <w:pPr>
        <w:spacing w:line="579" w:lineRule="exact"/>
        <w:ind w:firstLine="640" w:firstLineChars="200"/>
      </w:pPr>
      <w:r>
        <w:t>——农林水事务支出</w:t>
      </w:r>
      <w:r>
        <w:rPr>
          <w:rFonts w:hint="eastAsia"/>
        </w:rPr>
        <w:t>384.61</w:t>
      </w:r>
      <w:r>
        <w:t>万元；</w:t>
      </w:r>
    </w:p>
    <w:p>
      <w:pPr>
        <w:spacing w:line="579" w:lineRule="exact"/>
        <w:ind w:firstLine="640" w:firstLineChars="200"/>
      </w:pPr>
      <w:r>
        <w:t>——住房保障支出</w:t>
      </w:r>
      <w:r>
        <w:rPr>
          <w:rFonts w:hint="eastAsia"/>
        </w:rPr>
        <w:t>32.05</w:t>
      </w:r>
      <w:r>
        <w:t>万元；</w:t>
      </w:r>
    </w:p>
    <w:p>
      <w:pPr>
        <w:spacing w:line="579" w:lineRule="exact"/>
        <w:ind w:firstLine="640" w:firstLineChars="200"/>
        <w:jc w:val="left"/>
        <w:rPr>
          <w:rFonts w:eastAsia="方正黑体_GBK"/>
        </w:rPr>
      </w:pPr>
      <w:r>
        <w:rPr>
          <w:rFonts w:eastAsia="方正黑体_GBK"/>
        </w:rPr>
        <w:t>三、20</w:t>
      </w:r>
      <w:r>
        <w:rPr>
          <w:rFonts w:hint="eastAsia" w:eastAsia="方正黑体_GBK"/>
        </w:rPr>
        <w:t>21</w:t>
      </w:r>
      <w:r>
        <w:rPr>
          <w:rFonts w:eastAsia="方正黑体_GBK"/>
        </w:rPr>
        <w:t>年财政主要工作</w:t>
      </w:r>
    </w:p>
    <w:p>
      <w:pPr>
        <w:spacing w:line="579" w:lineRule="exact"/>
        <w:ind w:firstLine="640" w:firstLineChars="200"/>
      </w:pPr>
      <w:r>
        <w:t>202</w:t>
      </w:r>
      <w:r>
        <w:rPr>
          <w:rFonts w:hint="eastAsia"/>
        </w:rPr>
        <w:t>1</w:t>
      </w:r>
      <w:r>
        <w:t>年</w:t>
      </w:r>
      <w:r>
        <w:rPr>
          <w:rFonts w:hint="eastAsia"/>
        </w:rPr>
        <w:t>镇</w:t>
      </w:r>
      <w:r>
        <w:t>财政预算是根据现行财政体制，按照“量入为出，收支平衡”的预算原则和上级有关政策要求安排的。各位代表，做好今年的财政工作，对促进我</w:t>
      </w:r>
      <w:r>
        <w:rPr>
          <w:rFonts w:hint="eastAsia"/>
        </w:rPr>
        <w:t>镇</w:t>
      </w:r>
      <w:r>
        <w:t>经济持续稳定健康发展，开创我</w:t>
      </w:r>
      <w:r>
        <w:rPr>
          <w:rFonts w:hint="eastAsia"/>
        </w:rPr>
        <w:t>镇</w:t>
      </w:r>
      <w:r>
        <w:t>新局面具有重要意义，为此我们将努力做好以下工作：</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lang w:val="en-US" w:eastAsia="zh-CN"/>
        </w:rPr>
        <w:t>一</w:t>
      </w: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rPr>
        <w:t>加强自身建设，提高财政干部综合素质</w:t>
      </w:r>
    </w:p>
    <w:p>
      <w:pPr>
        <w:spacing w:line="579" w:lineRule="exact"/>
        <w:ind w:firstLine="640" w:firstLineChars="200"/>
      </w:pPr>
      <w:r>
        <w:t>进一步加强</w:t>
      </w:r>
      <w:r>
        <w:rPr>
          <w:rFonts w:hint="eastAsia"/>
        </w:rPr>
        <w:t>镇</w:t>
      </w:r>
      <w:r>
        <w:t>村两级干部队伍建设。创新培训指导机制，推进分层分类培训，实行培训内容清单管理，积极开展</w:t>
      </w:r>
      <w:r>
        <w:rPr>
          <w:rFonts w:hint="eastAsia"/>
        </w:rPr>
        <w:t>镇</w:t>
      </w:r>
      <w:r>
        <w:t>财政干部、村级财会人员两级培训，进一步加强干部能力建设。完善监督机制，定期对村级财务进行检查和指导，加强村级账户的监督，对收支具体业务进行指导。加强村级财务制度建设，村级财务实行公开，村级项目定期进行公示。同时，强化</w:t>
      </w:r>
      <w:r>
        <w:rPr>
          <w:rFonts w:hint="eastAsia"/>
        </w:rPr>
        <w:t>镇</w:t>
      </w:r>
      <w:r>
        <w:t>村两级财务考核目标，进一步提高财政工作的质量与水平。</w:t>
      </w:r>
    </w:p>
    <w:p>
      <w:pPr>
        <w:spacing w:line="579" w:lineRule="exact"/>
        <w:ind w:firstLine="640" w:firstLineChars="200"/>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lang w:eastAsia="zh-CN"/>
        </w:rPr>
        <w:t>（</w:t>
      </w:r>
      <w:r>
        <w:rPr>
          <w:rFonts w:hint="eastAsia" w:ascii="方正楷体_GBK" w:hAnsi="方正楷体_GBK" w:eastAsia="方正楷体_GBK" w:cs="方正楷体_GBK"/>
          <w:b w:val="0"/>
          <w:bCs w:val="0"/>
          <w:lang w:val="en-US" w:eastAsia="zh-CN"/>
        </w:rPr>
        <w:t>二</w:t>
      </w:r>
      <w:r>
        <w:rPr>
          <w:rFonts w:hint="eastAsia" w:ascii="方正楷体_GBK" w:hAnsi="方正楷体_GBK" w:eastAsia="方正楷体_GBK" w:cs="方正楷体_GBK"/>
          <w:b w:val="0"/>
          <w:bCs w:val="0"/>
          <w:lang w:eastAsia="zh-CN"/>
        </w:rPr>
        <w:t>）</w:t>
      </w:r>
      <w:r>
        <w:rPr>
          <w:rFonts w:hint="eastAsia" w:ascii="方正楷体_GBK" w:hAnsi="方正楷体_GBK" w:eastAsia="方正楷体_GBK" w:cs="方正楷体_GBK"/>
          <w:b w:val="0"/>
          <w:bCs w:val="0"/>
        </w:rPr>
        <w:t>加强财政管理，提高资金使用效益</w:t>
      </w:r>
    </w:p>
    <w:p>
      <w:pPr>
        <w:spacing w:line="579" w:lineRule="exact"/>
        <w:ind w:firstLine="640" w:firstLineChars="200"/>
      </w:pPr>
      <w:r>
        <w:t>一是逐步规范</w:t>
      </w:r>
      <w:r>
        <w:rPr>
          <w:rFonts w:hint="eastAsia"/>
        </w:rPr>
        <w:t>镇</w:t>
      </w:r>
      <w:r>
        <w:t>村两级财政管理工作，建立健全财务管理制度，加强村级基础设施建设，建立健全一事一议项目管理制度。二是建立健全财务各项管理制度，有效推进内部控制体系建设，完善内部监督机制，主动接受人大和纪委监督，加强资金使用的审批和监督。三是加强对项目预算、结算的审核，严格组织项目验收工作，避免项目超标超预算，减轻财政负担。对重点建设民生民计保障资金进行专项检查，提高财政资金使用的规范性、安全性和有效性。四是加大农林水项目资金投入，助推乡村</w:t>
      </w:r>
      <w:r>
        <w:rPr>
          <w:rFonts w:hint="eastAsia"/>
        </w:rPr>
        <w:t>各项</w:t>
      </w:r>
      <w:r>
        <w:t>产业发展</w:t>
      </w:r>
      <w:r>
        <w:rPr>
          <w:rFonts w:hint="eastAsia"/>
        </w:rPr>
        <w:t>。</w:t>
      </w:r>
    </w:p>
    <w:p>
      <w:pPr>
        <w:spacing w:line="579" w:lineRule="exact"/>
        <w:ind w:firstLine="640" w:firstLineChars="200"/>
        <w:rPr>
          <w:rFonts w:hint="eastAsia" w:ascii="方正楷体_GBK" w:hAnsi="方正楷体_GBK" w:eastAsia="方正楷体_GBK" w:cs="方正楷体_GBK"/>
          <w:b w:val="0"/>
          <w:bCs w:val="0"/>
          <w:lang w:eastAsia="zh-CN"/>
        </w:rPr>
      </w:pPr>
      <w:r>
        <w:rPr>
          <w:rFonts w:hint="eastAsia" w:ascii="方正楷体_GBK" w:hAnsi="方正楷体_GBK" w:eastAsia="方正楷体_GBK" w:cs="方正楷体_GBK"/>
          <w:b w:val="0"/>
          <w:bCs w:val="0"/>
          <w:lang w:eastAsia="zh-CN"/>
        </w:rPr>
        <w:t xml:space="preserve">（三）强化扶贫项目资金监管，切实保障和改善民生。  </w:t>
      </w:r>
    </w:p>
    <w:p>
      <w:pPr>
        <w:spacing w:line="579" w:lineRule="exact"/>
        <w:ind w:left="627" w:leftChars="196"/>
      </w:pPr>
      <w:r>
        <w:rPr>
          <w:rFonts w:hint="eastAsia"/>
        </w:rPr>
        <w:t>按照县政府《关于进一步加强乡镇（街道）财政财务管</w:t>
      </w:r>
    </w:p>
    <w:p>
      <w:pPr>
        <w:spacing w:line="579" w:lineRule="exact"/>
      </w:pPr>
      <w:r>
        <w:rPr>
          <w:rFonts w:hint="eastAsia"/>
        </w:rPr>
        <w:t>理的通知）》</w:t>
      </w:r>
      <w:r>
        <w:rPr>
          <w:rFonts w:hint="eastAsia"/>
          <w:bCs/>
          <w:kern w:val="0"/>
        </w:rPr>
        <w:t>（城府办法〔2020〕35号）以及《关于进一步强化县级部门(单位）财务监管的通知》（城府办法〔2020〕228号）要求，撤销了我镇实有资金账户、全面取消主管部门（单位）二次分配、全面取消部门间横向拨款、国库集中支付扩展到财政专户代管资金以及深化公务卡管理改革等系列举措，严格实行有预算有支出，无预算不支出。同时</w:t>
      </w:r>
      <w:r>
        <w:t>严格按照</w:t>
      </w:r>
      <w:r>
        <w:rPr>
          <w:rFonts w:hint="eastAsia"/>
          <w:lang w:eastAsia="zh-CN"/>
        </w:rPr>
        <w:t>中央八项规定精神</w:t>
      </w:r>
      <w:r>
        <w:t>要求，按照财政部关于压减一般性支出规模的要求，合理缩减</w:t>
      </w:r>
      <w:r>
        <w:rPr>
          <w:rFonts w:hint="eastAsia"/>
          <w:lang w:eastAsia="zh-CN"/>
        </w:rPr>
        <w:t>“三公”经费</w:t>
      </w:r>
      <w:bookmarkStart w:id="0" w:name="_GoBack"/>
      <w:bookmarkEnd w:id="0"/>
      <w:r>
        <w:t>开支。确保不挤占挪用扶贫专项资金，将扶贫专项资金切实用在保障和改善民生的基础设施建设以及产业发展等专项领域，促进本</w:t>
      </w:r>
      <w:r>
        <w:rPr>
          <w:rFonts w:hint="eastAsia"/>
        </w:rPr>
        <w:t>镇</w:t>
      </w:r>
      <w:r>
        <w:t>经济社会持续健康发展。</w:t>
      </w:r>
    </w:p>
    <w:p>
      <w:pPr>
        <w:spacing w:line="579" w:lineRule="exact"/>
        <w:ind w:firstLine="640" w:firstLineChars="200"/>
        <w:rPr>
          <w:rFonts w:hint="eastAsia" w:ascii="方正楷体_GBK" w:hAnsi="方正楷体_GBK" w:eastAsia="方正楷体_GBK" w:cs="方正楷体_GBK"/>
          <w:b w:val="0"/>
          <w:bCs w:val="0"/>
          <w:lang w:eastAsia="zh-CN"/>
        </w:rPr>
      </w:pPr>
      <w:r>
        <w:rPr>
          <w:rFonts w:hint="eastAsia" w:ascii="方正楷体_GBK" w:hAnsi="方正楷体_GBK" w:eastAsia="方正楷体_GBK" w:cs="方正楷体_GBK"/>
          <w:b w:val="0"/>
          <w:bCs w:val="0"/>
          <w:lang w:eastAsia="zh-CN"/>
        </w:rPr>
        <w:t>（四）进一步加强对村级财务工作指导和监管。</w:t>
      </w:r>
    </w:p>
    <w:p>
      <w:pPr>
        <w:spacing w:line="579" w:lineRule="exact"/>
        <w:ind w:left="627" w:leftChars="196"/>
        <w:rPr>
          <w:bCs/>
          <w:kern w:val="0"/>
        </w:rPr>
      </w:pPr>
      <w:r>
        <w:rPr>
          <w:rFonts w:hint="eastAsia"/>
          <w:bCs/>
          <w:kern w:val="0"/>
        </w:rPr>
        <w:t>按照《城口县财政局关于转发《重庆市财政局关于印发</w:t>
      </w:r>
    </w:p>
    <w:p>
      <w:pPr>
        <w:spacing w:line="579" w:lineRule="exact"/>
        <w:rPr>
          <w:bCs/>
          <w:kern w:val="0"/>
        </w:rPr>
      </w:pPr>
      <w:r>
        <w:rPr>
          <w:rFonts w:hint="eastAsia"/>
          <w:bCs/>
          <w:kern w:val="0"/>
        </w:rPr>
        <w:t>&lt;重庆市全面推行村财委托乡代理的实施意见（试行）&gt;的通知》的通知》（城财发〔2019〕390号）要求，严格实行“村财乡代管”、“代理记账、统一开户、分村设账”进行管理，严格村工作经费审批制度和支出范围。严格落实村财务公开制度，每月详实公开经费使用情况，接受群众监督。严禁各村实施无计划、无资金来源的建设项目，严防各村产生债务。</w:t>
      </w:r>
    </w:p>
    <w:p>
      <w:pPr>
        <w:spacing w:line="579" w:lineRule="exact"/>
        <w:ind w:firstLine="640" w:firstLineChars="200"/>
      </w:pPr>
      <w:r>
        <w:t>各位代表：202</w:t>
      </w:r>
      <w:r>
        <w:rPr>
          <w:rFonts w:hint="eastAsia"/>
        </w:rPr>
        <w:t>1</w:t>
      </w:r>
      <w:r>
        <w:t>年财政工作任务仍然艰巨，使命光荣。我们将在</w:t>
      </w:r>
      <w:r>
        <w:rPr>
          <w:rFonts w:hint="eastAsia"/>
        </w:rPr>
        <w:t>镇</w:t>
      </w:r>
      <w:r>
        <w:t>党委的领导下，在人大的监督帮助下，在社会各界的鼎力支持下，进一步解放思想，转变理财观念，立足现实，着眼长远，求真务实，开拓创新，力争圆满完成全年的各项目标任务，开创财政事业新局面，为加快建设</w:t>
      </w:r>
      <w:r>
        <w:rPr>
          <w:rFonts w:hint="eastAsia"/>
          <w:lang w:val="en-US" w:eastAsia="zh-CN"/>
        </w:rPr>
        <w:t>大美</w:t>
      </w:r>
      <w:r>
        <w:t>巴山作出更大的贡献！</w:t>
      </w:r>
    </w:p>
    <w:sectPr>
      <w:pgSz w:w="11906" w:h="16838"/>
      <w:pgMar w:top="2098" w:right="1474" w:bottom="1984"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036A69FF"/>
    <w:rsid w:val="00111051"/>
    <w:rsid w:val="004A4927"/>
    <w:rsid w:val="005C651C"/>
    <w:rsid w:val="00740B64"/>
    <w:rsid w:val="00994809"/>
    <w:rsid w:val="009C6F5F"/>
    <w:rsid w:val="00CA04B8"/>
    <w:rsid w:val="00D70074"/>
    <w:rsid w:val="036A69FF"/>
    <w:rsid w:val="0AF629C3"/>
    <w:rsid w:val="0C307C54"/>
    <w:rsid w:val="0FBB0832"/>
    <w:rsid w:val="22F468B4"/>
    <w:rsid w:val="287C6729"/>
    <w:rsid w:val="2A2C420B"/>
    <w:rsid w:val="2B5F7AA0"/>
    <w:rsid w:val="2D0359F1"/>
    <w:rsid w:val="306F6260"/>
    <w:rsid w:val="3177781A"/>
    <w:rsid w:val="38C26921"/>
    <w:rsid w:val="42AF5B8C"/>
    <w:rsid w:val="47745FA9"/>
    <w:rsid w:val="48FA3E87"/>
    <w:rsid w:val="48FE4EC1"/>
    <w:rsid w:val="51012D08"/>
    <w:rsid w:val="56571B47"/>
    <w:rsid w:val="565C1B6C"/>
    <w:rsid w:val="5929377D"/>
    <w:rsid w:val="68BB5954"/>
    <w:rsid w:val="6FBA39E6"/>
    <w:rsid w:val="703B17DD"/>
    <w:rsid w:val="733739C0"/>
    <w:rsid w:val="7487619F"/>
    <w:rsid w:val="75971104"/>
    <w:rsid w:val="7E8522CC"/>
    <w:rsid w:val="7FDC50C1"/>
    <w:rsid w:val="F4F98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3565</Words>
  <Characters>4006</Characters>
  <Lines>31</Lines>
  <Paragraphs>8</Paragraphs>
  <TotalTime>14</TotalTime>
  <ScaleCrop>false</ScaleCrop>
  <LinksUpToDate>false</LinksUpToDate>
  <CharactersWithSpaces>4060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2021-02-19T09:41:00Z</dcterms:created>
  <dc:creator>不是每个人都会1421565226</dc:creator>
  <cp:lastModifiedBy>ckuos</cp:lastModifiedBy>
  <cp:lastPrinted>2021-03-02T09:56:00Z</cp:lastPrinted>
  <dcterms:modified xsi:type="dcterms:W3CDTF">2025-01-17T09:47:12Z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2C846CB16EBF4D5682A875259D6D247B</vt:lpwstr>
  </property>
</Properties>
</file>