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城口县应急管理局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安全生产监督检查情况</w:t>
      </w:r>
    </w:p>
    <w:tbl>
      <w:tblPr>
        <w:tblStyle w:val="3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63"/>
        <w:gridCol w:w="3191"/>
        <w:gridCol w:w="669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科室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检查单位</w:t>
            </w:r>
          </w:p>
        </w:tc>
        <w:tc>
          <w:tcPr>
            <w:tcW w:w="6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检查情况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2022.8.18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中国石化销售股份有限公司重庆三峡石油分公司和平加油加气站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1.从业人员安全生产教育培训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2.在有较大危险因素的场所和有关设施、设备上设置安全警示标志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3.如实记录事故隐患排查治理情况并向从业人员通报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4.安全设备维护、保养、检测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任公示牌行政区负责人未及时更换。</w:t>
            </w: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2022.9.06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重庆市龙河烟花爆竹有限公司</w:t>
            </w: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批发企业人员、车辆出入库管理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批发企业设备设施检维修管理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从业人员安全生产教育培训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4.批发企业产品存放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5.批发企业运输车辆、工具管理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6.库房外警戒线不清晰；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7.灭火箱锈蚀未及时更换。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DZmZTBmOWEzYTQ5MTE4M2RhZDg1M2NmYjE5ZjMifQ=="/>
  </w:docVars>
  <w:rsids>
    <w:rsidRoot w:val="4EE15FAB"/>
    <w:rsid w:val="09CD45A7"/>
    <w:rsid w:val="335B4B80"/>
    <w:rsid w:val="4EE1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318</Characters>
  <Lines>0</Lines>
  <Paragraphs>0</Paragraphs>
  <TotalTime>8</TotalTime>
  <ScaleCrop>false</ScaleCrop>
  <LinksUpToDate>false</LinksUpToDate>
  <CharactersWithSpaces>318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2022-10-11T01:36:00Z</dcterms:created>
  <dc:creator>浅笑心柔</dc:creator>
  <cp:lastModifiedBy>Arbitrary *</cp:lastModifiedBy>
  <dcterms:modified xsi:type="dcterms:W3CDTF">2022-10-11T01:51:08Z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28F53CC979314F478DEE7A81CE6EC79C</vt:lpwstr>
  </property>
</Properties>
</file>