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重庆市城口县司法局（本级）</w:t>
      </w:r>
    </w:p>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2023年度决算公开说明</w:t>
      </w:r>
    </w:p>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小标宋_GBK"/>
          <w:sz w:val="44"/>
          <w:szCs w:val="44"/>
        </w:rPr>
      </w:pP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一、单位基本情况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（一）职能职责</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城口县司法局为城口县政府工作部门，内设11个职能科室，主要职能：1.承担全面依法治县重大问题的政策研究，协调有关方面提出全面依法治县中长期规划建议，负责有关重大决策部署督察工作。2.负责县政府以及乡镇人民政府（街道办事处）和县政府部门规范性文件的备案审查工作。组织开展规范性文件清理工作。3.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裁决案件。负责城口县司法局管辖的国家赔偿、行政应诉、司法救助工作。指导、监督全县行政复议、国家赔偿、行政应诉和行政裁决工作。负责全县政府法律顾问的指导和协调，承担县政府法律顾问有关工作。承办县政府涉外、涉港澳台有关法律事务。4.承担统筹规划法治社会建设的责任。负责拟订法制宣传教育规划，组织实施普法宣传工作。推动人民参与和促进法治建设。指导依法治理和法治创建工作。指导调解工作和人民陪审员、人民监督员选任管理工作，推进司法所建设。5.指导、监督刑罚执行、改造罪犯，指导、管理社区矫正工作。指导帮教安置工作。6.负责拟订全县公共法律服务体系建设规划并指导实施，统筹和布局城乡、区域法律服务资源。指导、监督律师、法律援助、司法鉴定、公证、仲裁和基层法律服务管理工作。7.负责本系统服装和警车管理工作，指导、监督本系统财务、装备、设施、场所等保障工作。8.规划、协调、指导全县法治人才队伍建设相关工作，指导、监督本系统队伍建设。负责机关、直属单位和律师行业党建工作。9.负责本系统信息化建设和应急处突工作。10.完成县委、县政府交办的其他任务。</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有一个机关单位：城口县司法局（本级）；两个下属事业单位：城口县公证处；城口县法律援助中心。我局共有编制数56人，其中：政法编制数48个，行政编制2人，事业编制6个，2023年年末在职人数47人（政法编制43人，事业人员4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二、单位决算情况说明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（一）收入支出决算总体情况说明。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1.总体情况。2023年度收入总计1615.61万元，支出总计1615.61万元。收支较上年决算数增加118.43万元，增长7.91%，主要原因是本年度职工社会保障缴费基数上调，人员经费有大幅度增加。</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收入情况。2023年度收入合计1615.61万元，较上年决算数增加201.61万元，增长14.26%，主要原因是本年度职工社会保障缴费基数上调，人员经费收入有大幅度增加。其中：财政拨款收入1615.61万元，占100.00%；事业收入0.00万元，占0.00%；经营收入0.00万元，占0.00%；其他收入0.00万元，占0.00%。此外，使用非财政拨款结余和专用结余0.00万元，年初结转和结余0.00万元。</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支出情况。2023年度支出合计1615.61万元，较上年决算数增加203.48万元，增长14.41%，主要原因是本年度职工社会保障缴费基数上调，人员经费支出有大幅度增加。其中：基本支出1131.10万元，占70.01%；项目支出484.51万元，占29.99%；经营支出0.00万元，占0.00%。此外，结余分配0.00万元。</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4.结转结余情况。2023年度年末结转和结余0.00万元，较上年决算数减少85.05万元，下降100.00%，主要原因</w:t>
      </w:r>
      <w:r>
        <w:rPr>
          <w:rFonts w:hint="eastAsia" w:ascii="Times New Roman" w:hAnsi="Times New Roman" w:eastAsia="方正仿宋_GBK"/>
          <w:sz w:val="32"/>
          <w:szCs w:val="32"/>
          <w:lang w:eastAsia="zh-CN"/>
        </w:rPr>
        <w:t>是</w:t>
      </w:r>
      <w:r>
        <w:rPr>
          <w:rFonts w:hint="default" w:ascii="Times New Roman" w:hAnsi="Times New Roman" w:eastAsia="方正仿宋_GBK"/>
          <w:sz w:val="32"/>
          <w:szCs w:val="32"/>
        </w:rPr>
        <w:t>22年财政未下达资金收回文件，23年财政下达了资金收回文件，已将该笔资金收回财政统筹。</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（二）财政拨款收入支出决算总体情况说明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2023年度财政拨款收、支总计1615.61万元。与2022年相比，财政拨款收、支总计各增加121.35万元</w:t>
      </w:r>
      <w:bookmarkStart w:id="0" w:name="_GoBack"/>
      <w:bookmarkEnd w:id="0"/>
      <w:r>
        <w:rPr>
          <w:rFonts w:hint="default" w:ascii="Times New Roman" w:hAnsi="Times New Roman" w:eastAsia="方正仿宋_GBK"/>
          <w:sz w:val="32"/>
          <w:szCs w:val="32"/>
        </w:rPr>
        <w:t>，增长8.12%。主要原因是本年度职工社会保障缴费基数上调，人员经费有大幅度增加。</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（三）一般公共预算财政拨款收入支出决算情况说明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收入情况。2023年度一般公共预算财政拨款收入1615.61万元，较上年决算数增加204.53万元，增长14.49%。主要原因是本年度职工社会保障缴费基数上调，人员经费收入有大幅度增加。较年初预算数增加134.13万元，增长9.05%。主要原因是基本支出和项目支出有追加调整预算。此外，年初财政拨款结转和结余0.00万元。</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支出情况。2023年度一般公共预算财政拨款支出1615.61万元，较上年决算数增加204.53万元，增长14.49%。主要原因是本年度职工社会保障缴费基数上调，人员经费支出有大幅度增加。较年初预算数增加134.13万元，增长9.05%。主要原因是基本支出和项目支出优追加调整预算。</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结转结余情况。2023年度年末一般公共预算财政拨款结转和结余0.00万元，较上年决算数减少83.18万元，下降100.00%，主要原因是22年财政未下达资金收回文件，23年财政下达了资金收回文件，已将该笔资金收回财政统筹。</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4.比较情况。本单位2023年度一般公共预算财政拨款支出主要用于以下几个方面：</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（1）一般公共服务支出2.78万元，占0.17%，较年初预算数减少0.93万元，下降25.07%，主要原因是党建方面支出较年初预算有减少。</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（2）公共安全支出1326.45万元，占82.10%，较年初预算数增加118.15万元，增长9.78%，主要原因是基本支出和项目支出进行了调整预算。</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（3）社会保障与就业支出181.21万元，占11.22%，较年初预算数增加17.93万元，增长10.98%，主要原因是对职工社保待遇方面进行了调整预算。</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（4）卫生健康支出30.56万元，占1.89%，较年初预算数减少5.39万元，下降14.99%，主要原因是本年度进行了调整预算。</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（5）住房保障支出74.62万元，占4.62%，较年初预算数增加4.38万元，增长6.24%，主要原因是本年度进行了调整预算。</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（四）一般公共预算财政拨款基本支出决算情况说明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2023年度一般公共财政拨款基本支出1131.10万元。其中：人员经费1033.88万元，较上年决算数增加189.42万元，增长22.43%，主要原因是本年度社保缴费和住房公积金基数上调。人员经费用途主要包括基本工资、津贴补贴、奖金、伙食补助费、绩效工资、社会保障缴费及住房公积金等支出。公用经费97.22万元，较上年决算数减少9.66万元，下降9.04%，主要原因是厉行节俭。公用经费用途主要包括办公费、印刷费、邮电费、水电费、工会经费、其他交通费用等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（五）政府性基金预算收支决算情况说明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本单位2023年度无政府性基金预算财政拨款收支。</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（六）国有资本经营预算财政拨款支出决算情况说明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本单位2023年度无国有资本经营预算财政拨款支出。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（一）“三公”经费支出总体情况说明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三公”经费支出共计18.52万元，较年初预算数增加4.52万元，增长32.29%，主要原因是根据出差、接待相关实际情况支出增加。较上年支出数增加5.56万元，增长42.90%，主要原因是主要原因是23年疫情开放，出差次数增加，公务交流接待增加。</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（二）“三公”经费分项支出情况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2023年度本单位因公出国（境）费用0.00万元。费用支出较年初预算数无增减。较上年支出数无增减。</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公务车购置费0.00万元。费用支出较年初预算数无增减。较上年支出数无增减。</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公务车运行维护费11.87万元，主要用于车辆燃油费、过路费、年检保险费用和公务车辆维修。费用支出较年初预算数增加3.87万元，增长48.38%，主要原因是出差次数增加，燃油费、过路费相应增加。较上年支出数增加3.99万元，增长50.63%，主要原因是23年疫情开放，出差次数增加。</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公务接待费6.65万元，主要用于接待各个部门的业务指导、业务检查等费用。费用支出较年初预算数增加0.65万元，增长10.83%，主要原因是本年度业务往来增加。较上年支出数增加1.56万元，增长30.65%，主要原因是23年疫情开放，公务交流接待增加。</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（三）“三公”经费实物量情况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2023年度本单位因公出国（境）共计0个团组，0人；公务用车购置0辆，公务车保有量为8辆；国内公务接待131批次1159人，其中：国内外事接待0批次，0人；国（境）外公务接待0批次，0人。2023年本单位人均接待费57.40元，车均购置费0万元，车均维护费1.48万元。</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（一）财政拨款会议费和培训费情况说明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本年度会议费支出0.20万元，较上年决算数减少0.27万元，下降57.45%，主要原因是23年会议费支出相对减少。本年度培训费支出6.99万元，较上年决算数增加0.71万元，增长11.31%，本年度正常开展培训业务，支出合理。</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（二）机关运行经费情况说明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2023年度本单位机关运行经费支出97.22万元，机关运行经费主要用于开支办公费、印刷费、邮电费、水电费、工会经费、其他交通费用等。机关运行经费较上年支出数减少9.66万元，下降9.04%，主要原因是厉行节俭。</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（三）国有资产占用情况说明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截至2023年12月31日，本单位共有车辆8辆，其中，副部（省）级及以上领导用车0辆、主要负责人用车0辆、机要通信用车0辆、应急保障用车1辆、执法执勤用车7辆，特种专业技术用车0辆，离退休干部用车0辆。单价100万元（含）以上专用设备0台（套）。</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（四）政府采购支出情况说明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本单位政府采购支出总额32.28万元，其中：政府采购货物支出26.40万元、政府采购工程支出0.00万元、政府采购服务支出5.88万元。授予中小企业合同金额29.92万元，占政府采购支出总额的92.70%，其中：授予小微企业合同金额29.92万元，占政府采购支出总额的92.70 %。主要用于采购电脑、桌椅、打印机、碎纸机等办公设备。</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五、预算绩效管理情况说明</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（一）单位自评情况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单位对部门整体和1个二级项目开展了绩效自评，涉及财政拨款项目支出资金120万元。从评价结果看，2023年我局财务管理规范，财政资金使用效益较好，预算执行序时推进，项目管理规范，项目效益较好，全面完成了年初设定的绩效目标。</w:t>
      </w:r>
    </w:p>
    <w:p>
      <w:pPr>
        <w:keepNext w:val="0"/>
        <w:keepLines w:val="0"/>
        <w:pageBreakBefore w:val="0"/>
        <w:widowControl/>
        <w:kinsoku/>
        <w:overflowPunct/>
        <w:topLinePunct w:val="0"/>
        <w:autoSpaceDE/>
        <w:autoSpaceDN/>
        <w:bidi w:val="0"/>
        <w:adjustRightInd/>
        <w:snapToGrid/>
        <w:spacing w:line="560" w:lineRule="exact"/>
        <w:ind w:firstLine="720" w:firstLineChars="200"/>
        <w:rPr>
          <w:rFonts w:hint="default" w:ascii="Times New Roman" w:hAnsi="Times New Roman" w:eastAsia="方正仿宋_GBK"/>
          <w:sz w:val="36"/>
          <w:szCs w:val="36"/>
        </w:rPr>
      </w:pPr>
      <w:r>
        <w:rPr>
          <w:rFonts w:hint="default" w:ascii="Times New Roman" w:hAnsi="Times New Roman" w:eastAsia="方正仿宋_GBK"/>
          <w:sz w:val="36"/>
          <w:szCs w:val="36"/>
        </w:rPr>
        <w:t>整体绩效自评表：</w:t>
      </w:r>
    </w:p>
    <w:tbl>
      <w:tblPr>
        <w:tblStyle w:val="7"/>
        <w:tblpPr w:leftFromText="180" w:rightFromText="180" w:vertAnchor="text" w:horzAnchor="page" w:tblpX="1885" w:tblpY="429"/>
        <w:tblOverlap w:val="never"/>
        <w:tblW w:w="5099" w:type="pct"/>
        <w:tblInd w:w="0" w:type="dxa"/>
        <w:tblLayout w:type="fixed"/>
        <w:tblCellMar>
          <w:top w:w="0" w:type="dxa"/>
          <w:left w:w="108" w:type="dxa"/>
          <w:bottom w:w="0" w:type="dxa"/>
          <w:right w:w="108" w:type="dxa"/>
        </w:tblCellMar>
      </w:tblPr>
      <w:tblGrid>
        <w:gridCol w:w="98"/>
        <w:gridCol w:w="553"/>
        <w:gridCol w:w="735"/>
        <w:gridCol w:w="192"/>
        <w:gridCol w:w="53"/>
        <w:gridCol w:w="6"/>
        <w:gridCol w:w="518"/>
        <w:gridCol w:w="350"/>
        <w:gridCol w:w="380"/>
        <w:gridCol w:w="330"/>
        <w:gridCol w:w="225"/>
        <w:gridCol w:w="145"/>
        <w:gridCol w:w="288"/>
        <w:gridCol w:w="268"/>
        <w:gridCol w:w="170"/>
        <w:gridCol w:w="485"/>
        <w:gridCol w:w="445"/>
        <w:gridCol w:w="10"/>
        <w:gridCol w:w="150"/>
        <w:gridCol w:w="701"/>
        <w:gridCol w:w="95"/>
        <w:gridCol w:w="708"/>
        <w:gridCol w:w="53"/>
        <w:gridCol w:w="47"/>
        <w:gridCol w:w="495"/>
        <w:gridCol w:w="39"/>
        <w:gridCol w:w="172"/>
        <w:gridCol w:w="103"/>
        <w:gridCol w:w="548"/>
        <w:gridCol w:w="172"/>
        <w:gridCol w:w="285"/>
        <w:gridCol w:w="280"/>
        <w:gridCol w:w="152"/>
      </w:tblGrid>
      <w:tr>
        <w:trPr>
          <w:gridAfter w:val="1"/>
          <w:wAfter w:w="82" w:type="pct"/>
          <w:trHeight w:val="799" w:hRule="atLeast"/>
        </w:trPr>
        <w:tc>
          <w:tcPr>
            <w:tcW w:w="4918" w:type="pct"/>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小标宋_GBK"/>
                <w:b/>
                <w:bCs/>
                <w:color w:val="000000"/>
                <w:sz w:val="40"/>
                <w:szCs w:val="40"/>
              </w:rPr>
            </w:pPr>
            <w:r>
              <w:rPr>
                <w:rFonts w:hint="default" w:ascii="Times New Roman" w:hAnsi="Times New Roman" w:eastAsia="方正小标宋_GBK"/>
                <w:b/>
                <w:bCs/>
                <w:color w:val="000000"/>
                <w:sz w:val="40"/>
                <w:szCs w:val="40"/>
              </w:rPr>
              <w:t>城口县司法局2023年度部门整体绩效自评表</w:t>
            </w:r>
          </w:p>
        </w:tc>
      </w:tr>
      <w:tr>
        <w:trPr>
          <w:gridAfter w:val="1"/>
          <w:wAfter w:w="82" w:type="pct"/>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right="110"/>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项目名称</w:t>
            </w:r>
          </w:p>
        </w:tc>
        <w:tc>
          <w:tcPr>
            <w:tcW w:w="416"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城口县司法局整体自评</w:t>
            </w:r>
          </w:p>
        </w:tc>
        <w:tc>
          <w:tcPr>
            <w:tcW w:w="928" w:type="pct"/>
            <w:gridSpan w:val="6"/>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both"/>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项目编码</w:t>
            </w:r>
          </w:p>
        </w:tc>
        <w:tc>
          <w:tcPr>
            <w:tcW w:w="826" w:type="pct"/>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50022900023P000097</w:t>
            </w:r>
          </w:p>
        </w:tc>
        <w:tc>
          <w:tcPr>
            <w:tcW w:w="430"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both"/>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自评总分</w:t>
            </w:r>
          </w:p>
        </w:tc>
        <w:tc>
          <w:tcPr>
            <w:tcW w:w="726"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90.29</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　</w:t>
            </w:r>
          </w:p>
        </w:tc>
        <w:tc>
          <w:tcPr>
            <w:tcW w:w="398"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r>
      <w:tr>
        <w:trPr>
          <w:gridAfter w:val="1"/>
          <w:wAfter w:w="82" w:type="pct"/>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项目主管部门：</w:t>
            </w:r>
          </w:p>
        </w:tc>
        <w:tc>
          <w:tcPr>
            <w:tcW w:w="416"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315-城口县司法局</w:t>
            </w:r>
          </w:p>
        </w:tc>
        <w:tc>
          <w:tcPr>
            <w:tcW w:w="928" w:type="pct"/>
            <w:gridSpan w:val="6"/>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财政归口处室</w:t>
            </w:r>
          </w:p>
        </w:tc>
        <w:tc>
          <w:tcPr>
            <w:tcW w:w="826" w:type="pct"/>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001-行政财务和社会保障科</w:t>
            </w:r>
          </w:p>
        </w:tc>
        <w:tc>
          <w:tcPr>
            <w:tcW w:w="430"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部门</w:t>
            </w:r>
          </w:p>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联系人</w:t>
            </w:r>
          </w:p>
        </w:tc>
        <w:tc>
          <w:tcPr>
            <w:tcW w:w="726"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费永兰</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联系电话：</w:t>
            </w:r>
          </w:p>
        </w:tc>
        <w:tc>
          <w:tcPr>
            <w:tcW w:w="398"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59266123</w:t>
            </w:r>
          </w:p>
        </w:tc>
      </w:tr>
      <w:tr>
        <w:trPr>
          <w:gridAfter w:val="1"/>
          <w:wAfter w:w="82" w:type="pct"/>
          <w:trHeight w:val="617" w:hRule="atLeast"/>
        </w:trPr>
        <w:tc>
          <w:tcPr>
            <w:tcW w:w="4918" w:type="pct"/>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7F7F7F"/>
                <w:sz w:val="28"/>
                <w:szCs w:val="28"/>
              </w:rPr>
            </w:pPr>
            <w:r>
              <w:rPr>
                <w:rFonts w:hint="default" w:ascii="Times New Roman" w:hAnsi="Times New Roman" w:eastAsia="方正楷体_GBK"/>
                <w:b/>
                <w:bCs/>
                <w:color w:val="7F7F7F"/>
                <w:sz w:val="28"/>
                <w:szCs w:val="28"/>
              </w:rPr>
              <w:t>资金情况</w:t>
            </w:r>
          </w:p>
        </w:tc>
      </w:tr>
      <w:tr>
        <w:trPr>
          <w:gridAfter w:val="1"/>
          <w:wAfter w:w="82" w:type="pct"/>
          <w:trHeight w:val="499" w:hRule="atLeast"/>
        </w:trPr>
        <w:tc>
          <w:tcPr>
            <w:tcW w:w="88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977" w:type="pct"/>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年初预算数</w:t>
            </w:r>
          </w:p>
        </w:tc>
        <w:tc>
          <w:tcPr>
            <w:tcW w:w="974" w:type="pct"/>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全年（调整）预算数</w:t>
            </w:r>
          </w:p>
        </w:tc>
        <w:tc>
          <w:tcPr>
            <w:tcW w:w="899"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全年执行数</w:t>
            </w:r>
          </w:p>
        </w:tc>
        <w:tc>
          <w:tcPr>
            <w:tcW w:w="32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执行率</w:t>
            </w:r>
          </w:p>
        </w:tc>
        <w:tc>
          <w:tcPr>
            <w:tcW w:w="46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执行率权重</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执行率得分</w:t>
            </w:r>
          </w:p>
        </w:tc>
      </w:tr>
      <w:tr>
        <w:trPr>
          <w:gridAfter w:val="1"/>
          <w:wAfter w:w="82" w:type="pct"/>
          <w:trHeight w:val="499" w:hRule="atLeast"/>
        </w:trPr>
        <w:tc>
          <w:tcPr>
            <w:tcW w:w="749" w:type="pct"/>
            <w:gridSpan w:val="3"/>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年度总金额</w:t>
            </w:r>
          </w:p>
        </w:tc>
        <w:tc>
          <w:tcPr>
            <w:tcW w:w="136"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974"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16,345,741.41 </w:t>
            </w:r>
          </w:p>
        </w:tc>
        <w:tc>
          <w:tcPr>
            <w:tcW w:w="974" w:type="pct"/>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17,388,470.86 </w:t>
            </w:r>
          </w:p>
        </w:tc>
        <w:tc>
          <w:tcPr>
            <w:tcW w:w="899"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16,156,056.77 </w:t>
            </w:r>
          </w:p>
        </w:tc>
        <w:tc>
          <w:tcPr>
            <w:tcW w:w="32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46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sz w:val="22"/>
                <w:szCs w:val="22"/>
              </w:rPr>
            </w:pPr>
            <w:r>
              <w:rPr>
                <w:rFonts w:hint="default" w:ascii="Times New Roman" w:hAnsi="Times New Roman" w:eastAsia="方正仿宋_GBK"/>
                <w:sz w:val="22"/>
                <w:szCs w:val="22"/>
              </w:rPr>
              <w:t>　</w:t>
            </w:r>
          </w:p>
        </w:tc>
      </w:tr>
      <w:tr>
        <w:trPr>
          <w:gridAfter w:val="1"/>
          <w:wAfter w:w="82" w:type="pct"/>
          <w:trHeight w:val="499" w:hRule="atLeast"/>
        </w:trPr>
        <w:tc>
          <w:tcPr>
            <w:tcW w:w="749" w:type="pct"/>
            <w:gridSpan w:val="3"/>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其中：财政拨款</w:t>
            </w:r>
          </w:p>
        </w:tc>
        <w:tc>
          <w:tcPr>
            <w:tcW w:w="136"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974"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16,345,741.41 </w:t>
            </w:r>
          </w:p>
        </w:tc>
        <w:tc>
          <w:tcPr>
            <w:tcW w:w="974" w:type="pct"/>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17,388,470.86 </w:t>
            </w:r>
          </w:p>
        </w:tc>
        <w:tc>
          <w:tcPr>
            <w:tcW w:w="899"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16,156,056.77 </w:t>
            </w:r>
          </w:p>
        </w:tc>
        <w:tc>
          <w:tcPr>
            <w:tcW w:w="32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92.91</w:t>
            </w:r>
          </w:p>
        </w:tc>
        <w:tc>
          <w:tcPr>
            <w:tcW w:w="46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10.00</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sz w:val="22"/>
                <w:szCs w:val="22"/>
              </w:rPr>
            </w:pPr>
            <w:r>
              <w:rPr>
                <w:rFonts w:hint="default" w:ascii="Times New Roman" w:hAnsi="Times New Roman" w:eastAsia="方正仿宋_GBK"/>
                <w:sz w:val="22"/>
                <w:szCs w:val="22"/>
              </w:rPr>
              <w:t xml:space="preserve">9.29 </w:t>
            </w:r>
          </w:p>
        </w:tc>
      </w:tr>
      <w:tr>
        <w:trPr>
          <w:gridAfter w:val="1"/>
          <w:wAfter w:w="82" w:type="pct"/>
          <w:trHeight w:val="499" w:hRule="atLeast"/>
        </w:trPr>
        <w:tc>
          <w:tcPr>
            <w:tcW w:w="749" w:type="pct"/>
            <w:gridSpan w:val="3"/>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一般公共预算</w:t>
            </w:r>
          </w:p>
        </w:tc>
        <w:tc>
          <w:tcPr>
            <w:tcW w:w="136"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974"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16,345,741.41 </w:t>
            </w:r>
          </w:p>
        </w:tc>
        <w:tc>
          <w:tcPr>
            <w:tcW w:w="974" w:type="pct"/>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17,388,470.86 </w:t>
            </w:r>
          </w:p>
        </w:tc>
        <w:tc>
          <w:tcPr>
            <w:tcW w:w="899" w:type="pct"/>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16,156,056.77 </w:t>
            </w:r>
          </w:p>
        </w:tc>
        <w:tc>
          <w:tcPr>
            <w:tcW w:w="32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92.91</w:t>
            </w:r>
          </w:p>
        </w:tc>
        <w:tc>
          <w:tcPr>
            <w:tcW w:w="46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sz w:val="22"/>
                <w:szCs w:val="22"/>
              </w:rPr>
            </w:pPr>
            <w:r>
              <w:rPr>
                <w:rFonts w:hint="default" w:ascii="Times New Roman" w:hAnsi="Times New Roman" w:eastAsia="方正仿宋_GBK"/>
                <w:sz w:val="22"/>
                <w:szCs w:val="22"/>
              </w:rPr>
              <w:t>　</w:t>
            </w:r>
          </w:p>
        </w:tc>
      </w:tr>
      <w:tr>
        <w:trPr>
          <w:gridAfter w:val="1"/>
          <w:wAfter w:w="82" w:type="pct"/>
          <w:trHeight w:val="600" w:hRule="atLeast"/>
        </w:trPr>
        <w:tc>
          <w:tcPr>
            <w:tcW w:w="4918" w:type="pct"/>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7F7F7F"/>
                <w:sz w:val="28"/>
                <w:szCs w:val="28"/>
              </w:rPr>
            </w:pPr>
            <w:r>
              <w:rPr>
                <w:rFonts w:hint="default" w:ascii="Times New Roman" w:hAnsi="Times New Roman" w:eastAsia="方正楷体_GBK"/>
                <w:b/>
                <w:bCs/>
                <w:color w:val="7F7F7F"/>
                <w:sz w:val="28"/>
                <w:szCs w:val="28"/>
              </w:rPr>
              <w:t>绩效目标</w:t>
            </w:r>
          </w:p>
        </w:tc>
      </w:tr>
      <w:tr>
        <w:trPr>
          <w:gridAfter w:val="1"/>
          <w:wAfter w:w="82" w:type="pct"/>
          <w:trHeight w:val="499" w:hRule="atLeast"/>
        </w:trPr>
        <w:tc>
          <w:tcPr>
            <w:tcW w:w="2093" w:type="pct"/>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年初绩效目标</w:t>
            </w:r>
          </w:p>
        </w:tc>
        <w:tc>
          <w:tcPr>
            <w:tcW w:w="1256" w:type="pct"/>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全年（调整）绩效目标</w:t>
            </w:r>
          </w:p>
        </w:tc>
        <w:tc>
          <w:tcPr>
            <w:tcW w:w="1569" w:type="pct"/>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全年目标实际完成情况</w:t>
            </w:r>
          </w:p>
        </w:tc>
      </w:tr>
      <w:tr>
        <w:trPr>
          <w:gridAfter w:val="1"/>
          <w:wAfter w:w="82" w:type="pct"/>
          <w:trHeight w:val="1602" w:hRule="atLeast"/>
        </w:trPr>
        <w:tc>
          <w:tcPr>
            <w:tcW w:w="2093"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保障机关正常运转，顺利完成各项业务工作，维护社会和谐稳定发展。</w:t>
            </w:r>
          </w:p>
        </w:tc>
        <w:tc>
          <w:tcPr>
            <w:tcW w:w="1256" w:type="pct"/>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c>
          <w:tcPr>
            <w:tcW w:w="1569" w:type="pct"/>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保障了机关正常运转，顺利完成了各项业务工作，维护了社会和谐稳定发展。</w:t>
            </w:r>
          </w:p>
        </w:tc>
      </w:tr>
      <w:tr>
        <w:trPr>
          <w:gridAfter w:val="1"/>
          <w:wAfter w:w="82" w:type="pct"/>
          <w:trHeight w:val="600" w:hRule="atLeast"/>
        </w:trPr>
        <w:tc>
          <w:tcPr>
            <w:tcW w:w="4918" w:type="pct"/>
            <w:gridSpan w:val="3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7F7F7F"/>
                <w:sz w:val="28"/>
                <w:szCs w:val="28"/>
              </w:rPr>
            </w:pPr>
            <w:r>
              <w:rPr>
                <w:rFonts w:hint="default" w:ascii="Times New Roman" w:hAnsi="Times New Roman" w:eastAsia="方正楷体_GBK"/>
                <w:b/>
                <w:bCs/>
                <w:color w:val="7F7F7F"/>
                <w:sz w:val="28"/>
                <w:szCs w:val="28"/>
              </w:rPr>
              <w:t>绩效指标</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指标名称</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计量单位</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指标性质</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指标值</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全年完成值</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偏离度（%）</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得分系数（%）</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指标权重</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指标得分</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是否核心指标</w:t>
            </w:r>
          </w:p>
        </w:tc>
        <w:tc>
          <w:tcPr>
            <w:tcW w:w="38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b/>
                <w:bCs/>
                <w:color w:val="000000"/>
                <w:sz w:val="22"/>
                <w:szCs w:val="22"/>
              </w:rPr>
            </w:pPr>
            <w:r>
              <w:rPr>
                <w:rFonts w:hint="default" w:ascii="Times New Roman" w:hAnsi="Times New Roman" w:eastAsia="方正仿宋_GBK"/>
                <w:b/>
                <w:bCs/>
                <w:color w:val="000000"/>
                <w:sz w:val="22"/>
                <w:szCs w:val="22"/>
              </w:rPr>
              <w:t>说明</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法律援助案件数</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件</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300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499</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66.33</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是</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包含法律帮助数</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普法活动场次</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场次</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0</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是</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人民调解案件数</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件</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8000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11387</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42.34</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是</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人民调解受理案件数较多</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安置帮教对象</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人</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952</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376</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是</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安置帮教案件数较多</w:t>
            </w:r>
          </w:p>
        </w:tc>
      </w:tr>
      <w:tr>
        <w:trPr>
          <w:trHeight w:val="635"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群众满意度</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97</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97</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0</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是</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公用经费控制率</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110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9.09</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否</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基本支出预算控制率</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150</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33.33</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否</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基本支出预算全部实现</w:t>
            </w:r>
          </w:p>
        </w:tc>
      </w:tr>
      <w:tr>
        <w:trPr>
          <w:trHeight w:val="499" w:hRule="atLeast"/>
        </w:trPr>
        <w:tc>
          <w:tcPr>
            <w:tcW w:w="749" w:type="pct"/>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三公经费变动率</w:t>
            </w:r>
          </w:p>
        </w:tc>
        <w:tc>
          <w:tcPr>
            <w:tcW w:w="416" w:type="pct"/>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94"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37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5</w:t>
            </w:r>
          </w:p>
        </w:tc>
        <w:tc>
          <w:tcPr>
            <w:tcW w:w="393"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42.86</w:t>
            </w:r>
          </w:p>
        </w:tc>
        <w:tc>
          <w:tcPr>
            <w:tcW w:w="508"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757.2</w:t>
            </w:r>
          </w:p>
        </w:tc>
        <w:tc>
          <w:tcPr>
            <w:tcW w:w="511"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0</w:t>
            </w:r>
          </w:p>
        </w:tc>
        <w:tc>
          <w:tcPr>
            <w:tcW w:w="437"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382"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jc w:val="righ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0</w:t>
            </w:r>
          </w:p>
        </w:tc>
        <w:tc>
          <w:tcPr>
            <w:tcW w:w="445" w:type="pct"/>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ind w:firstLine="220" w:firstLineChars="100"/>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否</w:t>
            </w:r>
          </w:p>
        </w:tc>
        <w:tc>
          <w:tcPr>
            <w:tcW w:w="387" w:type="pct"/>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23年疫情开放，出差次数增加，公务交流接待增加。</w:t>
            </w:r>
          </w:p>
        </w:tc>
      </w:tr>
      <w:tr>
        <w:tblPrEx>
          <w:tblCellMar>
            <w:top w:w="15" w:type="dxa"/>
            <w:left w:w="15" w:type="dxa"/>
            <w:bottom w:w="15" w:type="dxa"/>
            <w:right w:w="15" w:type="dxa"/>
          </w:tblCellMar>
        </w:tblPrEx>
        <w:trPr>
          <w:gridBefore w:val="1"/>
          <w:wBefore w:w="53" w:type="pct"/>
          <w:trHeight w:val="495" w:hRule="atLeast"/>
        </w:trPr>
        <w:tc>
          <w:tcPr>
            <w:tcW w:w="4947" w:type="pct"/>
            <w:gridSpan w:val="32"/>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小标宋_GBK"/>
                <w:sz w:val="36"/>
                <w:szCs w:val="36"/>
              </w:rPr>
            </w:pPr>
            <w:r>
              <w:rPr>
                <w:rFonts w:hint="default" w:ascii="Times New Roman" w:hAnsi="Times New Roman" w:eastAsia="方正小标宋_GBK"/>
                <w:sz w:val="36"/>
                <w:szCs w:val="36"/>
              </w:rPr>
              <w:t>县司法局2023年度项目支出绩效自评表（二级项目）</w:t>
            </w:r>
          </w:p>
        </w:tc>
      </w:tr>
      <w:tr>
        <w:tblPrEx>
          <w:tblCellMar>
            <w:top w:w="15" w:type="dxa"/>
            <w:left w:w="15" w:type="dxa"/>
            <w:bottom w:w="15" w:type="dxa"/>
            <w:right w:w="15" w:type="dxa"/>
          </w:tblCellMar>
        </w:tblPrEx>
        <w:trPr>
          <w:gridBefore w:val="1"/>
          <w:wBefore w:w="53" w:type="pct"/>
          <w:trHeight w:val="540" w:hRule="atLeast"/>
        </w:trPr>
        <w:tc>
          <w:tcPr>
            <w:tcW w:w="29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序号</w:t>
            </w:r>
          </w:p>
        </w:tc>
        <w:tc>
          <w:tcPr>
            <w:tcW w:w="501"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项目名称</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指标名称</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指标性质</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指标值</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计量单位</w:t>
            </w: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指标权重</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全年完成值</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指标得分</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说明</w:t>
            </w:r>
          </w:p>
        </w:tc>
        <w:tc>
          <w:tcPr>
            <w:tcW w:w="23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eastAsia="方正黑体_GBK"/>
                <w:sz w:val="22"/>
              </w:rPr>
            </w:pPr>
            <w:r>
              <w:rPr>
                <w:rFonts w:hint="default" w:ascii="Times New Roman" w:hAnsi="Times New Roman" w:eastAsia="方正黑体_GBK"/>
                <w:sz w:val="22"/>
              </w:rPr>
              <w:t>自评得分</w:t>
            </w:r>
          </w:p>
        </w:tc>
      </w:tr>
      <w:tr>
        <w:tblPrEx>
          <w:tblCellMar>
            <w:top w:w="15" w:type="dxa"/>
            <w:left w:w="15" w:type="dxa"/>
            <w:bottom w:w="15" w:type="dxa"/>
            <w:right w:w="15" w:type="dxa"/>
          </w:tblCellMar>
        </w:tblPrEx>
        <w:trPr>
          <w:gridBefore w:val="1"/>
          <w:wBefore w:w="53" w:type="pct"/>
          <w:trHeight w:val="1110" w:hRule="atLeast"/>
        </w:trPr>
        <w:tc>
          <w:tcPr>
            <w:tcW w:w="29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w:t>
            </w:r>
          </w:p>
        </w:tc>
        <w:tc>
          <w:tcPr>
            <w:tcW w:w="501" w:type="pct"/>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社区矫正社会工作者工资项目</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保障社区矫正工作者待遇</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25</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人</w:t>
            </w: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25</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全面完成</w:t>
            </w:r>
          </w:p>
        </w:tc>
        <w:tc>
          <w:tcPr>
            <w:tcW w:w="233" w:type="pct"/>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100分</w:t>
            </w:r>
          </w:p>
        </w:tc>
      </w:tr>
      <w:tr>
        <w:tblPrEx>
          <w:tblCellMar>
            <w:top w:w="15" w:type="dxa"/>
            <w:left w:w="15" w:type="dxa"/>
            <w:bottom w:w="15" w:type="dxa"/>
            <w:right w:w="15" w:type="dxa"/>
          </w:tblCellMar>
        </w:tblPrEx>
        <w:trPr>
          <w:gridBefore w:val="1"/>
          <w:wBefore w:w="53" w:type="pct"/>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人员覆盖率</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全面完成</w:t>
            </w:r>
          </w:p>
        </w:tc>
        <w:tc>
          <w:tcPr>
            <w:tcW w:w="233"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sz w:val="22"/>
              </w:rPr>
            </w:pPr>
          </w:p>
        </w:tc>
      </w:tr>
      <w:tr>
        <w:tblPrEx>
          <w:tblCellMar>
            <w:top w:w="15" w:type="dxa"/>
            <w:left w:w="15" w:type="dxa"/>
            <w:bottom w:w="15" w:type="dxa"/>
            <w:right w:w="15" w:type="dxa"/>
          </w:tblCellMar>
        </w:tblPrEx>
        <w:trPr>
          <w:gridBefore w:val="1"/>
          <w:wBefore w:w="53" w:type="pct"/>
          <w:trHeight w:val="81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财力控制数</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120</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万元</w:t>
            </w: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120</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全面完成</w:t>
            </w:r>
          </w:p>
        </w:tc>
        <w:tc>
          <w:tcPr>
            <w:tcW w:w="233"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sz w:val="22"/>
              </w:rPr>
            </w:pPr>
          </w:p>
        </w:tc>
      </w:tr>
      <w:tr>
        <w:tblPrEx>
          <w:tblCellMar>
            <w:top w:w="15" w:type="dxa"/>
            <w:left w:w="15" w:type="dxa"/>
            <w:bottom w:w="15" w:type="dxa"/>
            <w:right w:w="15" w:type="dxa"/>
          </w:tblCellMar>
        </w:tblPrEx>
        <w:trPr>
          <w:gridBefore w:val="1"/>
          <w:wBefore w:w="53" w:type="pct"/>
          <w:trHeight w:val="54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经费用途</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 xml:space="preserve"> 100</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w:t>
            </w: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100</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全面完成</w:t>
            </w:r>
          </w:p>
        </w:tc>
        <w:tc>
          <w:tcPr>
            <w:tcW w:w="233"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sz w:val="22"/>
              </w:rPr>
            </w:pPr>
          </w:p>
        </w:tc>
      </w:tr>
      <w:tr>
        <w:tblPrEx>
          <w:tblCellMar>
            <w:top w:w="15" w:type="dxa"/>
            <w:left w:w="15" w:type="dxa"/>
            <w:bottom w:w="15" w:type="dxa"/>
            <w:right w:w="15" w:type="dxa"/>
          </w:tblCellMar>
        </w:tblPrEx>
        <w:trPr>
          <w:gridBefore w:val="1"/>
          <w:wBefore w:w="53" w:type="pct"/>
          <w:trHeight w:val="108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维护全县社会稳定</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定性</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优</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优</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全面完成</w:t>
            </w:r>
          </w:p>
        </w:tc>
        <w:tc>
          <w:tcPr>
            <w:tcW w:w="233"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sz w:val="22"/>
              </w:rPr>
            </w:pPr>
          </w:p>
        </w:tc>
      </w:tr>
      <w:tr>
        <w:tblPrEx>
          <w:tblCellMar>
            <w:top w:w="15" w:type="dxa"/>
            <w:left w:w="15" w:type="dxa"/>
            <w:bottom w:w="15" w:type="dxa"/>
            <w:right w:w="15" w:type="dxa"/>
          </w:tblCellMar>
        </w:tblPrEx>
        <w:trPr>
          <w:gridBefore w:val="1"/>
          <w:wBefore w:w="53" w:type="pct"/>
          <w:trHeight w:val="810" w:hRule="atLeast"/>
        </w:trPr>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和减少犯罪</w:t>
            </w:r>
          </w:p>
        </w:tc>
        <w:tc>
          <w:tcPr>
            <w:tcW w:w="38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定性</w:t>
            </w:r>
          </w:p>
        </w:tc>
        <w:tc>
          <w:tcPr>
            <w:tcW w:w="501"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优</w:t>
            </w:r>
          </w:p>
        </w:tc>
        <w:tc>
          <w:tcPr>
            <w:tcW w:w="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p>
        </w:tc>
        <w:tc>
          <w:tcPr>
            <w:tcW w:w="706"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w:t>
            </w:r>
          </w:p>
        </w:tc>
        <w:tc>
          <w:tcPr>
            <w:tcW w:w="46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优</w:t>
            </w:r>
          </w:p>
        </w:tc>
        <w:tc>
          <w:tcPr>
            <w:tcW w:w="463"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20</w:t>
            </w:r>
          </w:p>
        </w:tc>
        <w:tc>
          <w:tcPr>
            <w:tcW w:w="54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rPr>
              <w:t>全面完成</w:t>
            </w:r>
          </w:p>
        </w:tc>
        <w:tc>
          <w:tcPr>
            <w:tcW w:w="233" w:type="pct"/>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sz w:val="22"/>
              </w:rPr>
            </w:pPr>
          </w:p>
        </w:tc>
      </w:tr>
    </w:tbl>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（二）单位绩效评价情况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我单位未组织开展绩效评价。</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（三）财政绩效评价情况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市财政局未委托第三方对我单位开展绩效评价。</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  六、专业名词解释</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w:t>
      </w:r>
      <w:r>
        <w:rPr>
          <w:rFonts w:hint="default" w:ascii="Times New Roman" w:hAnsi="Times New Roman" w:eastAsia="方正楷体_GBK"/>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（六）年初结转和结余：</w:t>
      </w:r>
      <w:r>
        <w:rPr>
          <w:rFonts w:hint="default" w:ascii="Times New Roman" w:hAnsi="Times New Roman" w:eastAsia="方正仿宋_GBK"/>
          <w:sz w:val="32"/>
          <w:szCs w:val="32"/>
        </w:rPr>
        <w:t>指单位上年结转本年使用的基本支出结转、项目支出结转和结余、经营结余。</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（八）年末结转和结余：</w:t>
      </w:r>
      <w:r>
        <w:rPr>
          <w:rFonts w:hint="default" w:ascii="Times New Roman" w:hAnsi="Times New Roman" w:eastAsia="方正仿宋_GBK"/>
          <w:sz w:val="32"/>
          <w:szCs w:val="32"/>
        </w:rPr>
        <w:t>指单位结转下年的基本支出结转、项目支出结转和结余、经营结余。</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（十）项目支出：</w:t>
      </w:r>
      <w:r>
        <w:rPr>
          <w:rFonts w:hint="default"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（十一）经营支出：</w:t>
      </w:r>
      <w:r>
        <w:rPr>
          <w:rFonts w:hint="default" w:ascii="Times New Roman" w:hAnsi="Times New Roman" w:eastAsia="方正仿宋_GBK"/>
          <w:sz w:val="32"/>
          <w:szCs w:val="32"/>
        </w:rPr>
        <w:t>指事业单位在专业业务活动及其辅助活动之外开展非独立核算经营活动发生的支出。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（十二）“三公”经费：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w:t>
      </w:r>
      <w:r>
        <w:rPr>
          <w:rFonts w:hint="default" w:ascii="Times New Roman" w:hAnsi="Times New Roman" w:eastAsia="方正楷体_GBK"/>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（十六）对个人和家庭的补助（支出经济分类科目类级）：</w:t>
      </w:r>
      <w:r>
        <w:rPr>
          <w:rFonts w:hint="default" w:ascii="Times New Roman" w:hAnsi="Times New Roman" w:eastAsia="方正仿宋_GBK"/>
          <w:sz w:val="32"/>
          <w:szCs w:val="32"/>
        </w:rPr>
        <w:t>反映用于对个人和家庭的补助支出。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 （十七）其他资本性支出（支出经济分类科目类级）：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  七、决算公开联系方式及信息反馈渠道</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hint="default" w:ascii="Times New Roman" w:hAnsi="Times New Roman" w:eastAsia="方正仿宋_GBK"/>
          <w:sz w:val="32"/>
          <w:szCs w:val="32"/>
        </w:rPr>
        <w:sectPr>
          <w:footerReference r:id="rId3" w:type="default"/>
          <w:pgSz w:w="11915" w:h="16840"/>
          <w:pgMar w:top="2098" w:right="1474" w:bottom="1984" w:left="1587" w:header="851" w:footer="992" w:gutter="0"/>
          <w:pgNumType w:fmt="decimal"/>
          <w:cols w:space="720" w:num="1"/>
          <w:docGrid w:type="lines" w:linePitch="312" w:charSpace="0"/>
        </w:sectPr>
      </w:pPr>
      <w:r>
        <w:rPr>
          <w:rFonts w:hint="default" w:ascii="Times New Roman" w:hAnsi="Times New Roman" w:eastAsia="方正仿宋_GBK"/>
          <w:sz w:val="32"/>
          <w:szCs w:val="32"/>
        </w:rPr>
        <w:t>本单位决算公开信息反馈和联系方式：023-59266123</w:t>
      </w:r>
    </w:p>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重庆市城口县司法局（本级）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1,615.61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1,326.45</w:t>
            </w: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181.21</w:t>
            </w: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30.56</w:t>
            </w: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1,615.61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1,615.61</w:t>
            </w: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1,615.61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1,615.61</w:t>
            </w:r>
            <w:r>
              <w:rPr>
                <w:rFonts w:hint="default" w:ascii="Times New Roman" w:hAnsi="Times New Roman"/>
                <w:color w:val="000000"/>
                <w:sz w:val="20"/>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重庆市城口县司法局（本级）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1,615.61</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1,615.61</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普法宣传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律师管理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公共法律服务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社区矫正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168.64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168.64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法治建设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181.21</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181.21</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160.45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160.45</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keepNext w:val="0"/>
        <w:keepLines w:val="0"/>
        <w:pageBreakBefore w:val="0"/>
        <w:widowControl/>
        <w:kinsoku/>
        <w:overflowPunct/>
        <w:topLinePunct w:val="0"/>
        <w:autoSpaceDE/>
        <w:autoSpaceDN/>
        <w:bidi w:val="0"/>
        <w:adjustRightInd/>
        <w:snapToGrid/>
        <w:spacing w:line="560" w:lineRule="exact"/>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重庆市城口县司法局（本级）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1,615.61</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1,131.10</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484.51</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841.94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484.51</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841.94</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484.51</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780.70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151.48</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普法宣传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律师管理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公共法律服务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社区矫正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168.64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168.64</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法治建设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33.57</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14.64</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181.21</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181.21</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160.45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160.45</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28.21</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r>
        <w:rPr>
          <w:rFonts w:hint="default" w:ascii="Times New Roman" w:hAnsi="Times New Roman"/>
          <w:sz w:val="21"/>
          <w:szCs w:val="21"/>
        </w:rPr>
        <w:br w:type="page"/>
      </w:r>
    </w:p>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重庆市城口县司法局（本级）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1,326.45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1,326.45</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181.21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181.21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1,615.61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重庆市城口县司法局（本级）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1,615.61</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1,131.10</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484.51</w:t>
            </w:r>
            <w:r>
              <w:rPr>
                <w:rFonts w:hint="default" w:ascii="Times New Roman" w:hAnsi="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841.94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484.51</w:t>
            </w:r>
            <w:r>
              <w:rPr>
                <w:rFonts w:hint="default" w:ascii="Times New Roman" w:hAnsi="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1,326.45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841.94</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484.51</w:t>
            </w:r>
            <w:r>
              <w:rPr>
                <w:rFonts w:hint="default" w:ascii="Times New Roman" w:hAnsi="Times New Roman"/>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780.70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780.70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151.48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151.48</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普法宣传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49.87</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律师管理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公共法律服务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63.77</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社区矫正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168.64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168.64</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法治建设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33.57</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14.64</w:t>
            </w: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2040650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61.24</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181.21</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181.21</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160.45</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160.45</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83.03</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28.76</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48.66</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20.76</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28.21</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28.21</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74.62</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keepNext w:val="0"/>
        <w:keepLines w:val="0"/>
        <w:pageBreakBefore w:val="0"/>
        <w:widowControl/>
        <w:kinsoku/>
        <w:overflowPunct/>
        <w:topLinePunct w:val="0"/>
        <w:autoSpaceDE/>
        <w:autoSpaceDN/>
        <w:bidi w:val="0"/>
        <w:adjustRightInd/>
        <w:snapToGrid/>
        <w:spacing w:line="560" w:lineRule="exact"/>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重庆市城口县司法局（本级）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964.47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97.22</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197.42</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230.20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242.67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39.18</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23.46</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33.53</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56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1,033.88</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97.22</w:t>
            </w:r>
            <w:r>
              <w:rPr>
                <w:rFonts w:hint="default" w:ascii="Times New Roman" w:hAnsi="Times New Roman"/>
                <w:color w:val="000000"/>
                <w:sz w:val="18"/>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重庆市城口县司法局（本级）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重庆市城口县司法局（本级）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b/>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重庆市城口县司法局（本级）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97.22</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18.52</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18.52</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97.22</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11.87</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11.87</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8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11.87</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11.87</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6.65</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6.65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6.65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7</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8</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131</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32.28</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26.40</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1,159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5.88</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29.92</w:t>
            </w:r>
            <w:r>
              <w:rPr>
                <w:rFonts w:hint="default" w:ascii="Times New Roman" w:hAnsi="Times New Roman"/>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29.92</w:t>
            </w:r>
            <w:r>
              <w:rPr>
                <w:rFonts w:hint="default" w:ascii="Times New Roman" w:hAnsi="Times New Roman"/>
                <w:color w:val="000000"/>
                <w:sz w:val="16"/>
              </w:rPr>
              <w:t xml:space="preserve"> </w:t>
            </w:r>
          </w:p>
        </w:tc>
      </w:tr>
      <w:tr>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0.20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6"/>
                <w:szCs w:val="16"/>
              </w:rPr>
            </w:pPr>
          </w:p>
        </w:tc>
      </w:tr>
      <w:tr>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6.99</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560" w:lineRule="exact"/>
              <w:jc w:val="right"/>
              <w:rPr>
                <w:rFonts w:hint="default" w:ascii="Times New Roman" w:hAnsi="Times New Roman"/>
                <w:color w:val="000000"/>
                <w:sz w:val="16"/>
                <w:szCs w:val="16"/>
              </w:rPr>
            </w:pPr>
          </w:p>
        </w:tc>
      </w:tr>
    </w:tbl>
    <w:p>
      <w:pPr>
        <w:keepNext w:val="0"/>
        <w:keepLines w:val="0"/>
        <w:pageBreakBefore w:val="0"/>
        <w:widowControl/>
        <w:kinsoku/>
        <w:overflowPunct/>
        <w:topLinePunct w:val="0"/>
        <w:autoSpaceDE/>
        <w:autoSpaceDN/>
        <w:bidi w:val="0"/>
        <w:adjustRightInd/>
        <w:snapToGrid/>
        <w:spacing w:line="560" w:lineRule="exact"/>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16</w:t>
                </w:r>
                <w:r>
                  <w:rPr>
                    <w:rFonts w:hint="default"/>
                    <w:sz w:val="28"/>
                    <w:szCs w:val="28"/>
                  </w:rPr>
                  <w:fldChar w:fldCharType="end"/>
                </w:r>
                <w:r>
                  <w:rPr>
                    <w:rFonts w:hint="default"/>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簀ͽ瑔ͽ卆䵇쁔΄੦샍&quot;噦憚샍&quot;噦憚샍&quot;碄ͽ卆䵇삀΄Ṧ샍&quot;噦疚샍&quot;噦疚샍&quot;礔ͽ卆䵇섀΄뼳샍&quot;噦ᙦ샍&quot;噦ᙦ샍&quot;禤ͽ卆䵇서΄쌳샍&quot;噦ᩦ샍&quot;噦ᩦ샍&quot;稴ͽ卆䵇솀΄尀샍&quot;噦댳샍&quot;噦댳샍&quot;竄ͽ卆䵇솜΄က샍&quot;噦朳샍&quot;噦朳샍&quot;"/>
  </w:docVars>
  <w:rsids>
    <w:rsidRoot w:val="00B03CCD"/>
    <w:rsid w:val="000239C6"/>
    <w:rsid w:val="00025E0A"/>
    <w:rsid w:val="00043E1B"/>
    <w:rsid w:val="00072FC8"/>
    <w:rsid w:val="001277AC"/>
    <w:rsid w:val="001D3BB7"/>
    <w:rsid w:val="00257548"/>
    <w:rsid w:val="002A482D"/>
    <w:rsid w:val="002B254B"/>
    <w:rsid w:val="002D33F0"/>
    <w:rsid w:val="00447C5B"/>
    <w:rsid w:val="00466C9B"/>
    <w:rsid w:val="00494E31"/>
    <w:rsid w:val="00543A9B"/>
    <w:rsid w:val="00550ABE"/>
    <w:rsid w:val="005624C2"/>
    <w:rsid w:val="0057064C"/>
    <w:rsid w:val="00583062"/>
    <w:rsid w:val="00714A37"/>
    <w:rsid w:val="00761266"/>
    <w:rsid w:val="00770383"/>
    <w:rsid w:val="007819D4"/>
    <w:rsid w:val="007B419D"/>
    <w:rsid w:val="007B7C4B"/>
    <w:rsid w:val="007D3D39"/>
    <w:rsid w:val="007F386E"/>
    <w:rsid w:val="008050EA"/>
    <w:rsid w:val="008148F4"/>
    <w:rsid w:val="008B07E0"/>
    <w:rsid w:val="00926768"/>
    <w:rsid w:val="00975E75"/>
    <w:rsid w:val="00994AF7"/>
    <w:rsid w:val="009A3FEB"/>
    <w:rsid w:val="009B67B8"/>
    <w:rsid w:val="009D2B67"/>
    <w:rsid w:val="009D3B32"/>
    <w:rsid w:val="00A12131"/>
    <w:rsid w:val="00A566F9"/>
    <w:rsid w:val="00AF2751"/>
    <w:rsid w:val="00B03CCD"/>
    <w:rsid w:val="00B262B6"/>
    <w:rsid w:val="00BE2B89"/>
    <w:rsid w:val="00C10E9E"/>
    <w:rsid w:val="00C20C3E"/>
    <w:rsid w:val="00C83677"/>
    <w:rsid w:val="00C85A01"/>
    <w:rsid w:val="00CC2DBD"/>
    <w:rsid w:val="00CD4F55"/>
    <w:rsid w:val="00CF12FA"/>
    <w:rsid w:val="00CF2ACF"/>
    <w:rsid w:val="00D00590"/>
    <w:rsid w:val="00E110BC"/>
    <w:rsid w:val="00E80FA6"/>
    <w:rsid w:val="00F70CBF"/>
    <w:rsid w:val="00F73F90"/>
    <w:rsid w:val="00F94066"/>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FF98FA"/>
    <w:rsid w:val="5F2D4A41"/>
    <w:rsid w:val="5FF4513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5C2DE5"/>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D44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0"/>
    <w:pPr>
      <w:ind w:firstLine="420" w:firstLineChars="200"/>
    </w:pPr>
    <w:rPr>
      <w:rFonts w:hint="default" w:cs="宋体"/>
    </w:rPr>
  </w:style>
  <w:style w:type="character" w:customStyle="1" w:styleId="17">
    <w:name w:val="font41"/>
    <w:basedOn w:val="9"/>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2433</Words>
  <Characters>13874</Characters>
  <Lines>115</Lines>
  <Paragraphs>32</Paragraphs>
  <TotalTime>23</TotalTime>
  <ScaleCrop>false</ScaleCrop>
  <LinksUpToDate>false</LinksUpToDate>
  <CharactersWithSpaces>16275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县司法局管理员</cp:lastModifiedBy>
  <dcterms:modified xsi:type="dcterms:W3CDTF">2024-11-26T14:50:38Z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ies>
</file>