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重庆市城口县司法局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420"/>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（一）职能职责</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口县司法局为城口县政府工作部门，内设11个职能科室，主要职能：1.承担全面依法治县重大问题的政策研究，协调有关方面提出全面依法治县中长期规划建议，负责有关重大决策部署督察工作。2.负责县政府以及乡镇人民政府（街道办事处）和县政府部门规范性文件的备案审查工作。组织开展规范性文件清理工作。3.承担统筹推进法治政府建设的责任。指导、监督全县依法行政工作。承担推进行政执法体制改革有关工作，负责综合协调行政执法，推进严格规范公正文明执法。承办县政府管辖的行政复议、国家赔偿案件，承办县政府有关行政诉讼案件和市政府裁决案件。负责城口县司法局管辖的国家赔偿、行政应诉、司法救助工作。指导、监督全县行政复议、国家赔偿、行政应诉和行政裁决工作。负责全县政府法律顾问的指导和协调，承担县政府法律顾问有关工作。承办县政府涉外、涉港澳台有关法律事务。4.承担统筹规划法治社会建设的责任。负责拟订法制宣传教育规划，组织实施普法宣传工作。推动人民参与和促进法治建设。指导依法治理和法治创建工作。指导调解工作和人民陪审员、人民监督员选任管理工作，推进司法所建设。5.指导、监督刑罚执行、改造罪犯，指导、管理社区矫正工作。指导帮教安置工作。6.负责拟订全县公共法律服务体系建设规划并指导实施，统筹和布局城乡、区域法律服务资源。指导、监督律师、法律援助、司法鉴定、公证、仲裁和基层法律服务管理工作。7.负责本系统服装和警车管理工作，指导、监督本系统财务、装备、设施、场所等保障工作。8.规划、协调、指导全县法治人才队伍建设相关工作，指导、监督本系统队伍建设。负责机关、直属单位和律师行业党建工作。9.负责本系统信息化建设和应急处突工作。10.完成县委、县政府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有一个机关单位：城口县司法局（本级）；两个下属事业单位：城口县公证处；城口县法律援助中心。我局共有编制数56人，其中：政法编制数48个，行政编制2人，事业编制6个，2023年年末在职人数47人（政法编制43人，事业人员4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二、部门决算情况说明</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1.总体情况。2023年度收入总计1615.61万元，支出总计1615.61万元。收支较上年决算数增加118.43万元，增长7.91%，主要原因是本年度职工社会保障缴费基数上调，人员经费有大幅度增加。</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2023年度收入合计1615.61万元，较上年决算数增加201.61万元，增长14.26%，主要原因是本年度职工社会保障缴费基数上调，人员经费收入有大幅度增加。其中：财政拨款收入1615.61万元，占100.00%；事业收入0.00万元，占0.00%；经营收入0.00万元，占0.00%；其他收入0.00万元，占0.00%。此外，使用非财政拨款结余和专用结余0.00万元，年初结转和结余0.00万元。</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1615.61万元，较上年决算数增加203.48万元，增长14.41%，主要原因是本年度职工社会保障缴费基数上调，人员经费支出有大幅度增加。其中：基本支出1131.10万元，占70.01%；项目支出484.51万元，占29.99%；经营支出0.00万元，占0.00%。此外，结余分配0.00万元。</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4.结转结余情况。2023年度年末结转和结余0.00万元，较上年决算数减少85.05万元，下降100.00%，主要原因是22年财政未下达资金收回文件，23年财政下达了资金收回文件，已将该笔资金收回财政统筹。</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2023年度财政拨款收、支总计1615.61万元。与2022年相比，财政拨款收、支总计各增加121.35万元，增长8.12%。</w:t>
      </w:r>
      <w:bookmarkStart w:id="0" w:name="_GoBack"/>
      <w:bookmarkEnd w:id="0"/>
      <w:r>
        <w:rPr>
          <w:rFonts w:hint="default" w:ascii="Times New Roman" w:hAnsi="Times New Roman" w:eastAsia="方正仿宋_GBK" w:cs="Times New Roman"/>
          <w:sz w:val="32"/>
          <w:szCs w:val="32"/>
        </w:rPr>
        <w:t>主要原因是本年度职工社会保障缴费基数上调，人员经费有大幅度增加。</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拨款收入1615.61万元，较上年决算数增加204.53万元，增长14.49%。主要原因是本年度职工社会保障缴费基数上调，人员经费收入有大幅度增加。较年初预算数增加134.13万元，增长9.05%。主要原因是基本支出和项目支出有追加调整预算。此外，年初财政拨款结转和结余0.00万元。</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1615.61万元，较上年决算数增加204.53万元，增长14.49%。主要原因是本年度职工社会保障缴费基数上调，人员经费支出有大幅度增加。较年初预算数增加134.13万元，增长9.05%。主要原因是基本支出和项目支出优追加调整预算。</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2023年度年末一般公共预算财政拨款结转和结余0.00万元，较上年决算数减少83.18万元，下降100.00%，主要原因是22年财政未下达资金收回文件，23年财政下达了资金收回文件，已将该笔资金收回财政统筹。</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4.比较情况。本部门2023年度一般公共预算财政拨款支出主要用于以下几个方面：</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（1）一般公共服务支出2.78万元，占0.17%，较年初预算数减少0.93万元，下降25.07%，主要原因是党建方面支出较年初预算有减少。</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（2）公共安全支出1326.45万元，占82.10%，较年初预算数增加118.15万元，增长9.78%，主要原因是基本支出和项目支出进行了调整预算。</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（3）社会保障与就业支出181.21万元，占11.22%，较年初预算数增加17.93万元，增长10.98%，主要原因是对职工社保待遇方面进行了调整预算。</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（4）卫生健康支出30.56万元，占1.89%，较年初预算数减少5.39万元，下降14.99%，主要原因是本年度进行了调整预算。</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（5）住房保障支出74.62万元，占4.62%，较年初预算数增加4.38万元，增长6.24%，主要原因是本年度进行了调整预算。</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（四）一般公共预算财政拨款基本支出决算情况说明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shd w:val="clear" w:color="auto" w:fill="FFFFFF"/>
        </w:rPr>
        <w:t> </w:t>
      </w:r>
      <w:r>
        <w:rPr>
          <w:rFonts w:hint="default" w:ascii="Times New Roman" w:hAnsi="Times New Roman" w:eastAsia="方正仿宋_GBK" w:cs="Times New Roman"/>
          <w:sz w:val="32"/>
          <w:szCs w:val="32"/>
        </w:rPr>
        <w:t> 2023年度一般公共财政拨款基本支出1131.10万元。其中：人员经费1033.88万元，较上年决算数增加189.42万元，增长22.43%，主要原因是本年度社保缴费和住房公积金基数上调。人员经费用途主要包括基本工资、津贴补贴、奖金、伙食补助费、绩效工资、社会保障缴费及住房公积金等支出。公用经费97.22万元，较上年决算数减少9.66万元，下降9.04%，主要原因是厉行节俭。公用经费用途主要包括办公费、印刷费、邮电费、水电费、工会经费、其他交通费用等支出。</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（五）政府性基金预算收支决算情况说明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本部门2023年度无政府性基金预算财政拨款收支。</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rPr>
        <w:t>本部门2023年度无国有资本经营预算财政拨款支出。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（一）“三公”经费支出总体情况说明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18.52万元，较年初预算数增加4.52万元，增长32.29%，主要原因是根据出差、接待相关实际情况支出增加。较上年支出数增加5.56万元，增长42.90%，主要原因是主要原因是23年疫情开放，出差次数增加，公务交流接待增加。</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（二）“三公”经费分项支出情况</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2023年度本部门因公出国（境）费用0.00万元。费用支出较年初预算数无增减。较上年支出数无增减。</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公务车购置费0.00万元。费用支出较年初预算数无增减。较上年支出数无增减。</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运行维护费11.87万元，主要用于车辆燃油费、过路费、年检保险费用和公务车辆维修。费用支出较年初预算数增加3.87万元，增长48.38%，主要原因是出差次数增加，燃油费、过路费相应增加。较上年支出数增加3.99万元，增长50.63%，主要原因是23年疫情开放，出差次数增加。</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6.65万元，主要用于接待各个部门的业务指导、业务检查等费用。费用支出较年初预算数增加0.65万元，增长10.83%，主要原因是本年度业务往来增加。较上年支出数增加1.56万元，增长30.65%，主要原因是23年疫情开放，公务交流接待增加。</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131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1159</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57.40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1.48</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（一）财政拨款会议费和培训费情况说明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shd w:val="clear" w:color="auto" w:fill="FFFFFF"/>
        </w:rPr>
        <w:t> </w:t>
      </w:r>
      <w:r>
        <w:rPr>
          <w:rFonts w:hint="default" w:ascii="Times New Roman" w:hAnsi="Times New Roman" w:eastAsia="方正仿宋_GBK" w:cs="Times New Roman"/>
          <w:sz w:val="32"/>
          <w:szCs w:val="32"/>
        </w:rPr>
        <w:t>本年度会议费支出0.20万元，较上年决算数减少0.27万元，下降57.45%，主要原因是23年会议费支出相对减少。本年度培训费支出6.99万元，较上年决算数增加0.71万元，增长11.31%，本年度正常开展培训业务，支出合理。</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（二）机关运行经费情况说明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2023年度本部门机关运行经费支出97.22万元，机关运行经费主要用于开支办公费、印刷费、邮电费、水电费、工会经费、其他交通费用等。机关运行经费较上年支出数减少9.66万元，下降9.04%，主要原因是厉行节俭。</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Times New Roman" w:hAnsi="Times New Roman" w:eastAsia="楷体" w:cs="Times New Roman"/>
          <w:b/>
          <w:bCs/>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shd w:val="clear" w:color="auto" w:fill="FFFFFF"/>
        </w:rPr>
        <w:t> </w:t>
      </w:r>
      <w:r>
        <w:rPr>
          <w:rFonts w:hint="default" w:ascii="Times New Roman" w:hAnsi="Times New Roman" w:eastAsia="方正仿宋_GBK" w:cs="Times New Roman"/>
          <w:sz w:val="32"/>
          <w:szCs w:val="32"/>
        </w:rPr>
        <w:t>2023年度本部门政府采购支出总额32.28万元，其中：政府采购货物支出26.40万元、政府采购工程支出0.00万元、政府采购服务支出5.88万元。授予中小企业合同金额29.92万元，占政府采购支出总额的92.70%，其中：授予小微企业合同金额29.92万元，占政府采购支出总额的92.70 %。主要用于采购电脑、桌椅、打印机、碎纸机等办公设备。</w:t>
      </w:r>
    </w:p>
    <w:p>
      <w:pPr>
        <w:keepNext w:val="0"/>
        <w:keepLines w:val="0"/>
        <w:pageBreakBefore w:val="0"/>
        <w:widowControl/>
        <w:kinsoku/>
        <w:overflowPunct/>
        <w:topLinePunct w:val="0"/>
        <w:autoSpaceDN/>
        <w:bidi w:val="0"/>
        <w:adjustRightInd/>
        <w:spacing w:beforeAutospacing="0" w:line="560" w:lineRule="exact"/>
        <w:ind w:firstLine="640" w:firstLineChars="200"/>
        <w:rPr>
          <w:rStyle w:val="10"/>
          <w:rFonts w:hint="default" w:ascii="Times New Roman" w:hAnsi="Times New Roman" w:eastAsia="方正黑体_GBK" w:cs="Times New Roman"/>
          <w:b w:val="0"/>
          <w:bCs/>
          <w:sz w:val="32"/>
          <w:szCs w:val="32"/>
          <w:shd w:val="clear" w:color="auto" w:fill="FFFFFF"/>
        </w:rPr>
      </w:pPr>
      <w:r>
        <w:rPr>
          <w:rFonts w:hint="default" w:ascii="Times New Roman" w:hAnsi="Times New Roman" w:eastAsia="方正黑体_GBK" w:cs="Times New Roman"/>
          <w:sz w:val="32"/>
          <w:szCs w:val="32"/>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（一）部门自评情况</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部门对部门整体和1个二级项目开展了绩效自评，涉及财政拨款项目支出资金120万元。从评价结果看，2023年我局财务管理规范，财政资金使用效益较好，预算执行序时推进，项目管理规范，项目效益较好，全面完成了年初设定的绩效目标。</w:t>
      </w:r>
    </w:p>
    <w:p>
      <w:pPr>
        <w:keepNext w:val="0"/>
        <w:keepLines w:val="0"/>
        <w:pageBreakBefore w:val="0"/>
        <w:widowControl/>
        <w:kinsoku/>
        <w:overflowPunct/>
        <w:topLinePunct w:val="0"/>
        <w:autoSpaceDN/>
        <w:bidi w:val="0"/>
        <w:adjustRightInd/>
        <w:spacing w:beforeAutospacing="0" w:line="560" w:lineRule="exact"/>
        <w:ind w:firstLine="720" w:firstLineChars="200"/>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整体绩效自评表：</w:t>
      </w:r>
    </w:p>
    <w:tbl>
      <w:tblPr>
        <w:tblStyle w:val="7"/>
        <w:tblpPr w:leftFromText="180" w:rightFromText="180" w:vertAnchor="text" w:horzAnchor="page" w:tblpX="1885" w:tblpY="429"/>
        <w:tblOverlap w:val="never"/>
        <w:tblW w:w="5099" w:type="pct"/>
        <w:tblInd w:w="0" w:type="dxa"/>
        <w:tblLayout w:type="fixed"/>
        <w:tblCellMar>
          <w:top w:w="0" w:type="dxa"/>
          <w:left w:w="108" w:type="dxa"/>
          <w:bottom w:w="0" w:type="dxa"/>
          <w:right w:w="108" w:type="dxa"/>
        </w:tblCellMar>
      </w:tblPr>
      <w:tblGrid>
        <w:gridCol w:w="97"/>
        <w:gridCol w:w="552"/>
        <w:gridCol w:w="729"/>
        <w:gridCol w:w="200"/>
        <w:gridCol w:w="195"/>
        <w:gridCol w:w="377"/>
        <w:gridCol w:w="357"/>
        <w:gridCol w:w="372"/>
        <w:gridCol w:w="337"/>
        <w:gridCol w:w="363"/>
        <w:gridCol w:w="285"/>
        <w:gridCol w:w="280"/>
        <w:gridCol w:w="163"/>
        <w:gridCol w:w="492"/>
        <w:gridCol w:w="450"/>
        <w:gridCol w:w="142"/>
        <w:gridCol w:w="714"/>
        <w:gridCol w:w="80"/>
        <w:gridCol w:w="710"/>
        <w:gridCol w:w="10"/>
        <w:gridCol w:w="57"/>
        <w:gridCol w:w="32"/>
        <w:gridCol w:w="531"/>
        <w:gridCol w:w="175"/>
        <w:gridCol w:w="118"/>
        <w:gridCol w:w="529"/>
        <w:gridCol w:w="175"/>
        <w:gridCol w:w="300"/>
        <w:gridCol w:w="260"/>
        <w:gridCol w:w="167"/>
      </w:tblGrid>
      <w:tr>
        <w:trPr>
          <w:gridAfter w:val="1"/>
          <w:wAfter w:w="91" w:type="pct"/>
          <w:trHeight w:val="799" w:hRule="atLeast"/>
        </w:trPr>
        <w:tc>
          <w:tcPr>
            <w:tcW w:w="4909" w:type="pct"/>
            <w:gridSpan w:val="2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小标宋_GBK" w:cs="Times New Roman"/>
                <w:b/>
                <w:bCs/>
                <w:color w:val="000000"/>
                <w:sz w:val="40"/>
                <w:szCs w:val="40"/>
              </w:rPr>
            </w:pPr>
            <w:r>
              <w:rPr>
                <w:rFonts w:hint="default" w:ascii="Times New Roman" w:hAnsi="Times New Roman" w:eastAsia="方正小标宋_GBK" w:cs="Times New Roman"/>
                <w:b/>
                <w:bCs/>
                <w:color w:val="000000"/>
                <w:sz w:val="40"/>
                <w:szCs w:val="40"/>
              </w:rPr>
              <w:t>城口县司法局2023年度部门整体绩效自评表</w:t>
            </w:r>
          </w:p>
        </w:tc>
      </w:tr>
      <w:tr>
        <w:trPr>
          <w:gridAfter w:val="1"/>
          <w:wAfter w:w="91" w:type="pct"/>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right="11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项目名称</w:t>
            </w:r>
          </w:p>
        </w:tc>
        <w:tc>
          <w:tcPr>
            <w:tcW w:w="417"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城口县司法局整体自评</w:t>
            </w:r>
          </w:p>
        </w:tc>
        <w:tc>
          <w:tcPr>
            <w:tcW w:w="925" w:type="pct"/>
            <w:gridSpan w:val="5"/>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项目编码</w:t>
            </w:r>
          </w:p>
        </w:tc>
        <w:tc>
          <w:tcPr>
            <w:tcW w:w="825"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50022900023P000097</w:t>
            </w:r>
          </w:p>
        </w:tc>
        <w:tc>
          <w:tcPr>
            <w:tcW w:w="42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自评总分</w:t>
            </w:r>
          </w:p>
        </w:tc>
        <w:tc>
          <w:tcPr>
            <w:tcW w:w="724"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90.29</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　</w:t>
            </w:r>
          </w:p>
        </w:tc>
        <w:tc>
          <w:tcPr>
            <w:tcW w:w="398"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rPr>
          <w:gridAfter w:val="1"/>
          <w:wAfter w:w="91" w:type="pct"/>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项目主管部门：</w:t>
            </w:r>
          </w:p>
        </w:tc>
        <w:tc>
          <w:tcPr>
            <w:tcW w:w="417"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315-城口县司法局</w:t>
            </w:r>
          </w:p>
        </w:tc>
        <w:tc>
          <w:tcPr>
            <w:tcW w:w="925" w:type="pct"/>
            <w:gridSpan w:val="5"/>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财政归口处室</w:t>
            </w:r>
          </w:p>
        </w:tc>
        <w:tc>
          <w:tcPr>
            <w:tcW w:w="825"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001-行政财务和社会保障科</w:t>
            </w:r>
          </w:p>
        </w:tc>
        <w:tc>
          <w:tcPr>
            <w:tcW w:w="42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部门</w:t>
            </w:r>
          </w:p>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联系人</w:t>
            </w:r>
          </w:p>
        </w:tc>
        <w:tc>
          <w:tcPr>
            <w:tcW w:w="724"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费永兰</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联系电话：</w:t>
            </w:r>
          </w:p>
        </w:tc>
        <w:tc>
          <w:tcPr>
            <w:tcW w:w="398"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59266123</w:t>
            </w:r>
          </w:p>
        </w:tc>
      </w:tr>
      <w:tr>
        <w:trPr>
          <w:gridAfter w:val="1"/>
          <w:wAfter w:w="91" w:type="pct"/>
          <w:trHeight w:val="617" w:hRule="atLeast"/>
        </w:trPr>
        <w:tc>
          <w:tcPr>
            <w:tcW w:w="4909" w:type="pct"/>
            <w:gridSpan w:val="2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7F7F7F"/>
                <w:sz w:val="28"/>
                <w:szCs w:val="28"/>
              </w:rPr>
            </w:pPr>
            <w:r>
              <w:rPr>
                <w:rFonts w:hint="default" w:ascii="Times New Roman" w:hAnsi="Times New Roman" w:eastAsia="方正楷体_GBK" w:cs="Times New Roman"/>
                <w:b/>
                <w:bCs/>
                <w:color w:val="7F7F7F"/>
                <w:sz w:val="28"/>
                <w:szCs w:val="28"/>
              </w:rPr>
              <w:t>资金情况</w:t>
            </w:r>
          </w:p>
        </w:tc>
      </w:tr>
      <w:tr>
        <w:trPr>
          <w:gridAfter w:val="1"/>
          <w:wAfter w:w="91" w:type="pct"/>
          <w:trHeight w:val="499" w:hRule="atLeast"/>
        </w:trPr>
        <w:tc>
          <w:tcPr>
            <w:tcW w:w="959"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129" w:type="pct"/>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年初预算数</w:t>
            </w:r>
          </w:p>
        </w:tc>
        <w:tc>
          <w:tcPr>
            <w:tcW w:w="825"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全年（调整）预算数</w:t>
            </w:r>
          </w:p>
        </w:tc>
        <w:tc>
          <w:tcPr>
            <w:tcW w:w="813"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全年执行数</w:t>
            </w:r>
          </w:p>
        </w:tc>
        <w:tc>
          <w:tcPr>
            <w:tcW w:w="340"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执行率</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执行率权重</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执行率得分</w:t>
            </w:r>
          </w:p>
        </w:tc>
      </w:tr>
      <w:tr>
        <w:trPr>
          <w:gridAfter w:val="1"/>
          <w:wAfter w:w="91" w:type="pct"/>
          <w:trHeight w:val="499" w:hRule="atLeast"/>
        </w:trPr>
        <w:tc>
          <w:tcPr>
            <w:tcW w:w="746" w:type="pct"/>
            <w:gridSpan w:val="3"/>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年度总金额</w:t>
            </w:r>
          </w:p>
        </w:tc>
        <w:tc>
          <w:tcPr>
            <w:tcW w:w="213"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130" w:type="pct"/>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16,345,741.41 </w:t>
            </w:r>
          </w:p>
        </w:tc>
        <w:tc>
          <w:tcPr>
            <w:tcW w:w="825"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17,388,470.86 </w:t>
            </w:r>
          </w:p>
        </w:tc>
        <w:tc>
          <w:tcPr>
            <w:tcW w:w="818" w:type="pct"/>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16,156,056.77 </w:t>
            </w:r>
          </w:p>
        </w:tc>
        <w:tc>
          <w:tcPr>
            <w:tcW w:w="33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　</w:t>
            </w:r>
          </w:p>
        </w:tc>
      </w:tr>
      <w:tr>
        <w:trPr>
          <w:gridAfter w:val="1"/>
          <w:wAfter w:w="91" w:type="pct"/>
          <w:trHeight w:val="499" w:hRule="atLeast"/>
        </w:trPr>
        <w:tc>
          <w:tcPr>
            <w:tcW w:w="746" w:type="pct"/>
            <w:gridSpan w:val="3"/>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其中：财政拨款</w:t>
            </w:r>
          </w:p>
        </w:tc>
        <w:tc>
          <w:tcPr>
            <w:tcW w:w="213"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130" w:type="pct"/>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16,345,741.41 </w:t>
            </w:r>
          </w:p>
        </w:tc>
        <w:tc>
          <w:tcPr>
            <w:tcW w:w="825"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17,388,470.86 </w:t>
            </w:r>
          </w:p>
        </w:tc>
        <w:tc>
          <w:tcPr>
            <w:tcW w:w="818" w:type="pct"/>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16,156,056.77 </w:t>
            </w:r>
          </w:p>
        </w:tc>
        <w:tc>
          <w:tcPr>
            <w:tcW w:w="33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92.91</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10.00</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 xml:space="preserve">9.29 </w:t>
            </w:r>
          </w:p>
        </w:tc>
      </w:tr>
      <w:tr>
        <w:trPr>
          <w:gridAfter w:val="1"/>
          <w:wAfter w:w="91" w:type="pct"/>
          <w:trHeight w:val="499" w:hRule="atLeast"/>
        </w:trPr>
        <w:tc>
          <w:tcPr>
            <w:tcW w:w="746" w:type="pct"/>
            <w:gridSpan w:val="3"/>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一般公共预算</w:t>
            </w:r>
          </w:p>
        </w:tc>
        <w:tc>
          <w:tcPr>
            <w:tcW w:w="213"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130" w:type="pct"/>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16,345,741.41 </w:t>
            </w:r>
          </w:p>
        </w:tc>
        <w:tc>
          <w:tcPr>
            <w:tcW w:w="825"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17,388,470.86 </w:t>
            </w:r>
          </w:p>
        </w:tc>
        <w:tc>
          <w:tcPr>
            <w:tcW w:w="818" w:type="pct"/>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16,156,056.77 </w:t>
            </w:r>
          </w:p>
        </w:tc>
        <w:tc>
          <w:tcPr>
            <w:tcW w:w="33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92.91</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　</w:t>
            </w:r>
          </w:p>
        </w:tc>
      </w:tr>
      <w:tr>
        <w:trPr>
          <w:gridAfter w:val="1"/>
          <w:wAfter w:w="91" w:type="pct"/>
          <w:trHeight w:val="600" w:hRule="atLeast"/>
        </w:trPr>
        <w:tc>
          <w:tcPr>
            <w:tcW w:w="4909" w:type="pct"/>
            <w:gridSpan w:val="2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7F7F7F"/>
                <w:sz w:val="28"/>
                <w:szCs w:val="28"/>
              </w:rPr>
            </w:pPr>
            <w:r>
              <w:rPr>
                <w:rFonts w:hint="default" w:ascii="Times New Roman" w:hAnsi="Times New Roman" w:eastAsia="方正楷体_GBK" w:cs="Times New Roman"/>
                <w:b/>
                <w:bCs/>
                <w:color w:val="7F7F7F"/>
                <w:sz w:val="28"/>
                <w:szCs w:val="28"/>
              </w:rPr>
              <w:t>绩效目标</w:t>
            </w:r>
          </w:p>
        </w:tc>
      </w:tr>
      <w:tr>
        <w:trPr>
          <w:gridAfter w:val="1"/>
          <w:wAfter w:w="91" w:type="pct"/>
          <w:trHeight w:val="499" w:hRule="atLeast"/>
        </w:trPr>
        <w:tc>
          <w:tcPr>
            <w:tcW w:w="2089"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年初绩效目标</w:t>
            </w:r>
          </w:p>
        </w:tc>
        <w:tc>
          <w:tcPr>
            <w:tcW w:w="1253" w:type="pct"/>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全年（调整）绩效目标</w:t>
            </w:r>
          </w:p>
        </w:tc>
        <w:tc>
          <w:tcPr>
            <w:tcW w:w="1567" w:type="pct"/>
            <w:gridSpan w:val="11"/>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全年目标实际完成情况</w:t>
            </w:r>
          </w:p>
        </w:tc>
      </w:tr>
      <w:tr>
        <w:trPr>
          <w:gridAfter w:val="1"/>
          <w:wAfter w:w="91" w:type="pct"/>
          <w:trHeight w:val="1602" w:hRule="atLeast"/>
        </w:trPr>
        <w:tc>
          <w:tcPr>
            <w:tcW w:w="2089"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保障机关正常运转，顺利完成各项业务工作，维护社会和谐稳定发展。</w:t>
            </w:r>
          </w:p>
        </w:tc>
        <w:tc>
          <w:tcPr>
            <w:tcW w:w="1253" w:type="pct"/>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567" w:type="pct"/>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保障了机关正常运转，顺利完成了各项业务工作，维护了社会和谐稳定发展。</w:t>
            </w:r>
          </w:p>
        </w:tc>
      </w:tr>
      <w:tr>
        <w:trPr>
          <w:gridAfter w:val="1"/>
          <w:wAfter w:w="91" w:type="pct"/>
          <w:trHeight w:val="600" w:hRule="atLeast"/>
        </w:trPr>
        <w:tc>
          <w:tcPr>
            <w:tcW w:w="4909" w:type="pct"/>
            <w:gridSpan w:val="2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7F7F7F"/>
                <w:sz w:val="28"/>
                <w:szCs w:val="28"/>
              </w:rPr>
            </w:pPr>
            <w:r>
              <w:rPr>
                <w:rFonts w:hint="default" w:ascii="Times New Roman" w:hAnsi="Times New Roman" w:eastAsia="方正楷体_GBK" w:cs="Times New Roman"/>
                <w:b/>
                <w:bCs/>
                <w:color w:val="7F7F7F"/>
                <w:sz w:val="28"/>
                <w:szCs w:val="28"/>
              </w:rPr>
              <w:t>绩效指标</w:t>
            </w:r>
          </w:p>
        </w:tc>
      </w:tr>
      <w:tr>
        <w:trPr>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指标名称</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计量单位</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指标性质</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指标值</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全年完成值</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偏离度（%）</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得分系数（%）</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指标权重</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指标得分</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是否核心指标</w:t>
            </w:r>
          </w:p>
        </w:tc>
        <w:tc>
          <w:tcPr>
            <w:tcW w:w="394"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说明</w:t>
            </w:r>
          </w:p>
        </w:tc>
      </w:tr>
      <w:tr>
        <w:trPr>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法律援助案件数</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件</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300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499</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66.33</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是</w:t>
            </w:r>
          </w:p>
        </w:tc>
        <w:tc>
          <w:tcPr>
            <w:tcW w:w="394"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包含法律帮助数</w:t>
            </w:r>
          </w:p>
        </w:tc>
      </w:tr>
      <w:tr>
        <w:trPr>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普法活动场次</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场次</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0</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是</w:t>
            </w:r>
          </w:p>
        </w:tc>
        <w:tc>
          <w:tcPr>
            <w:tcW w:w="394"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rPr>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人民调解案件数</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件</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8000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11387</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42.34</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是</w:t>
            </w:r>
          </w:p>
        </w:tc>
        <w:tc>
          <w:tcPr>
            <w:tcW w:w="394"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人民调解受理案件数较多</w:t>
            </w:r>
          </w:p>
        </w:tc>
      </w:tr>
      <w:tr>
        <w:trPr>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安置帮教对象</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人</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952</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376</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是</w:t>
            </w:r>
          </w:p>
        </w:tc>
        <w:tc>
          <w:tcPr>
            <w:tcW w:w="394"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安置帮教案件数较多</w:t>
            </w:r>
          </w:p>
        </w:tc>
      </w:tr>
      <w:tr>
        <w:trPr>
          <w:trHeight w:val="635"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群众满意度</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97</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97</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0</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是</w:t>
            </w:r>
          </w:p>
        </w:tc>
        <w:tc>
          <w:tcPr>
            <w:tcW w:w="394"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rPr>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公用经费控制率</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110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9.09</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否</w:t>
            </w:r>
          </w:p>
        </w:tc>
        <w:tc>
          <w:tcPr>
            <w:tcW w:w="394"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rPr>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基本支出预算控制率</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150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33.33</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否</w:t>
            </w:r>
          </w:p>
        </w:tc>
        <w:tc>
          <w:tcPr>
            <w:tcW w:w="394"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基本支出预算全部实现</w:t>
            </w:r>
          </w:p>
        </w:tc>
      </w:tr>
      <w:tr>
        <w:trPr>
          <w:trHeight w:val="499" w:hRule="atLeast"/>
        </w:trPr>
        <w:tc>
          <w:tcPr>
            <w:tcW w:w="746"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三公经费变动率</w:t>
            </w:r>
          </w:p>
        </w:tc>
        <w:tc>
          <w:tcPr>
            <w:tcW w:w="41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378"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5</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42.86</w:t>
            </w:r>
          </w:p>
        </w:tc>
        <w:tc>
          <w:tcPr>
            <w:tcW w:w="509"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757.2</w:t>
            </w:r>
          </w:p>
        </w:tc>
        <w:tc>
          <w:tcPr>
            <w:tcW w:w="50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0</w:t>
            </w:r>
          </w:p>
        </w:tc>
        <w:tc>
          <w:tcPr>
            <w:tcW w:w="437"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382"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0</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line="560" w:lineRule="exact"/>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否</w:t>
            </w:r>
          </w:p>
        </w:tc>
        <w:tc>
          <w:tcPr>
            <w:tcW w:w="394"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23年疫情开放，出差次数增加，公务交流接待增加。</w:t>
            </w:r>
          </w:p>
        </w:tc>
      </w:tr>
      <w:tr>
        <w:tblPrEx>
          <w:tblCellMar>
            <w:top w:w="15" w:type="dxa"/>
            <w:left w:w="15" w:type="dxa"/>
            <w:bottom w:w="15" w:type="dxa"/>
            <w:right w:w="15" w:type="dxa"/>
          </w:tblCellMar>
        </w:tblPrEx>
        <w:trPr>
          <w:gridBefore w:val="1"/>
          <w:wBefore w:w="53" w:type="pct"/>
          <w:trHeight w:val="495" w:hRule="atLeast"/>
        </w:trPr>
        <w:tc>
          <w:tcPr>
            <w:tcW w:w="4947" w:type="pct"/>
            <w:gridSpan w:val="29"/>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县司法局2023年度项目支出绩效自评表（二级项目）</w:t>
            </w:r>
          </w:p>
        </w:tc>
      </w:tr>
      <w:tr>
        <w:tblPrEx>
          <w:tblCellMar>
            <w:top w:w="15" w:type="dxa"/>
            <w:left w:w="15" w:type="dxa"/>
            <w:bottom w:w="15" w:type="dxa"/>
            <w:right w:w="15" w:type="dxa"/>
          </w:tblCellMar>
        </w:tblPrEx>
        <w:trPr>
          <w:gridBefore w:val="1"/>
          <w:wBefore w:w="53" w:type="pct"/>
          <w:trHeight w:val="540" w:hRule="atLeast"/>
        </w:trPr>
        <w:tc>
          <w:tcPr>
            <w:tcW w:w="29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序号</w:t>
            </w: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项目名称</w:t>
            </w:r>
          </w:p>
        </w:tc>
        <w:tc>
          <w:tcPr>
            <w:tcW w:w="50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指标名称</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指标性质</w:t>
            </w:r>
          </w:p>
        </w:tc>
        <w:tc>
          <w:tcPr>
            <w:tcW w:w="501"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指标值</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计量单位</w:t>
            </w:r>
          </w:p>
        </w:tc>
        <w:tc>
          <w:tcPr>
            <w:tcW w:w="706"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指标权重</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全年完成值</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指标得分</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说明</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eastAsia="方正黑体_GBK" w:cs="Times New Roman"/>
                <w:sz w:val="22"/>
              </w:rPr>
            </w:pPr>
            <w:r>
              <w:rPr>
                <w:rFonts w:hint="default" w:ascii="Times New Roman" w:hAnsi="Times New Roman" w:eastAsia="方正黑体_GBK" w:cs="Times New Roman"/>
                <w:sz w:val="22"/>
              </w:rPr>
              <w:t>自评得分</w:t>
            </w:r>
          </w:p>
        </w:tc>
      </w:tr>
      <w:tr>
        <w:tblPrEx>
          <w:tblCellMar>
            <w:top w:w="15" w:type="dxa"/>
            <w:left w:w="15" w:type="dxa"/>
            <w:bottom w:w="15" w:type="dxa"/>
            <w:right w:w="15" w:type="dxa"/>
          </w:tblCellMar>
        </w:tblPrEx>
        <w:trPr>
          <w:gridBefore w:val="1"/>
          <w:wBefore w:w="53" w:type="pct"/>
          <w:trHeight w:val="1110" w:hRule="atLeast"/>
        </w:trPr>
        <w:tc>
          <w:tcPr>
            <w:tcW w:w="29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w:t>
            </w:r>
          </w:p>
        </w:tc>
        <w:tc>
          <w:tcPr>
            <w:tcW w:w="502" w:type="pct"/>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社区矫正社会工作者工资项目</w:t>
            </w:r>
          </w:p>
        </w:tc>
        <w:tc>
          <w:tcPr>
            <w:tcW w:w="50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保障社区矫正工作者待遇</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501"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25</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人</w:t>
            </w:r>
          </w:p>
        </w:tc>
        <w:tc>
          <w:tcPr>
            <w:tcW w:w="706"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25</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全面完成</w:t>
            </w:r>
          </w:p>
        </w:tc>
        <w:tc>
          <w:tcPr>
            <w:tcW w:w="231" w:type="pct"/>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100分</w:t>
            </w:r>
          </w:p>
        </w:tc>
      </w:tr>
      <w:tr>
        <w:tblPrEx>
          <w:tblCellMar>
            <w:top w:w="15" w:type="dxa"/>
            <w:left w:w="15" w:type="dxa"/>
            <w:bottom w:w="15" w:type="dxa"/>
            <w:right w:w="15" w:type="dxa"/>
          </w:tblCellMar>
        </w:tblPrEx>
        <w:trPr>
          <w:gridBefore w:val="1"/>
          <w:wBefore w:w="53" w:type="pct"/>
          <w:trHeight w:val="108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人员覆盖率</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501"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706"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全面完成</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sz w:val="22"/>
              </w:rPr>
            </w:pPr>
          </w:p>
        </w:tc>
      </w:tr>
      <w:tr>
        <w:tblPrEx>
          <w:tblCellMar>
            <w:top w:w="15" w:type="dxa"/>
            <w:left w:w="15" w:type="dxa"/>
            <w:bottom w:w="15" w:type="dxa"/>
            <w:right w:w="15" w:type="dxa"/>
          </w:tblCellMar>
        </w:tblPrEx>
        <w:trPr>
          <w:gridBefore w:val="1"/>
          <w:wBefore w:w="53" w:type="pct"/>
          <w:trHeight w:val="81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财力控制数</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501"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120</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万元</w:t>
            </w:r>
          </w:p>
        </w:tc>
        <w:tc>
          <w:tcPr>
            <w:tcW w:w="706"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120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全面完成</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sz w:val="22"/>
              </w:rPr>
            </w:pPr>
          </w:p>
        </w:tc>
      </w:tr>
      <w:tr>
        <w:tblPrEx>
          <w:tblCellMar>
            <w:top w:w="15" w:type="dxa"/>
            <w:left w:w="15" w:type="dxa"/>
            <w:bottom w:w="15" w:type="dxa"/>
            <w:right w:w="15" w:type="dxa"/>
          </w:tblCellMar>
        </w:tblPrEx>
        <w:trPr>
          <w:gridBefore w:val="1"/>
          <w:wBefore w:w="53" w:type="pct"/>
          <w:trHeight w:val="54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经费用途</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501"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xml:space="preserve"> 100</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706"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全面完成</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sz w:val="22"/>
              </w:rPr>
            </w:pPr>
          </w:p>
        </w:tc>
      </w:tr>
      <w:tr>
        <w:tblPrEx>
          <w:tblCellMar>
            <w:top w:w="15" w:type="dxa"/>
            <w:left w:w="15" w:type="dxa"/>
            <w:bottom w:w="15" w:type="dxa"/>
            <w:right w:w="15" w:type="dxa"/>
          </w:tblCellMar>
        </w:tblPrEx>
        <w:trPr>
          <w:gridBefore w:val="1"/>
          <w:wBefore w:w="53" w:type="pct"/>
          <w:trHeight w:val="108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维护全县社会稳定</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定性</w:t>
            </w:r>
          </w:p>
        </w:tc>
        <w:tc>
          <w:tcPr>
            <w:tcW w:w="501"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优</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706"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优</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全面完成</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sz w:val="22"/>
              </w:rPr>
            </w:pPr>
          </w:p>
        </w:tc>
      </w:tr>
      <w:tr>
        <w:tblPrEx>
          <w:tblCellMar>
            <w:top w:w="15" w:type="dxa"/>
            <w:left w:w="15" w:type="dxa"/>
            <w:bottom w:w="15" w:type="dxa"/>
            <w:right w:w="15" w:type="dxa"/>
          </w:tblCellMar>
        </w:tblPrEx>
        <w:trPr>
          <w:gridBefore w:val="1"/>
          <w:wBefore w:w="53" w:type="pct"/>
          <w:trHeight w:val="81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50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和减少犯罪</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定性</w:t>
            </w:r>
          </w:p>
        </w:tc>
        <w:tc>
          <w:tcPr>
            <w:tcW w:w="501"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优</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p>
        </w:tc>
        <w:tc>
          <w:tcPr>
            <w:tcW w:w="706"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优</w:t>
            </w:r>
          </w:p>
        </w:tc>
        <w:tc>
          <w:tcPr>
            <w:tcW w:w="463"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全面完成</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sz w:val="22"/>
              </w:rPr>
            </w:pP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eastAsia="方正仿宋_GBK" w:cs="Times New Roman"/>
          <w:sz w:val="32"/>
          <w:szCs w:val="32"/>
        </w:rPr>
      </w:pP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（二）部门绩效评价情况</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我部门未组织开展绩效评价。</w:t>
      </w:r>
    </w:p>
    <w:p>
      <w:pPr>
        <w:pStyle w:val="11"/>
        <w:keepNext w:val="0"/>
        <w:keepLines w:val="0"/>
        <w:pageBreakBefore w:val="0"/>
        <w:widowControl/>
        <w:kinsoku/>
        <w:overflowPunct/>
        <w:topLinePunct w:val="0"/>
        <w:autoSpaceDE w:val="0"/>
        <w:autoSpaceDN/>
        <w:bidi w:val="0"/>
        <w:adjustRightInd/>
        <w:spacing w:beforeAutospacing="0" w:line="56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（三）财政绩效评价情况</w:t>
      </w:r>
    </w:p>
    <w:p>
      <w:pPr>
        <w:keepNext w:val="0"/>
        <w:keepLines w:val="0"/>
        <w:pageBreakBefore w:val="0"/>
        <w:widowControl/>
        <w:kinsoku/>
        <w:overflowPunct/>
        <w:topLinePunct w:val="0"/>
        <w:autoSpaceDN/>
        <w:bidi w:val="0"/>
        <w:adjustRightIn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市财政局未委托第三方对我部门开展绩效评价。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黑体_GBK" w:cs="Times New Roman"/>
          <w:sz w:val="32"/>
          <w:szCs w:val="32"/>
          <w:lang w:val="en-US" w:eastAsia="zh-CN" w:bidi="ar-SA"/>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（十五）商品和服务支出（支出经济分类科目类级）：</w:t>
      </w:r>
      <w:r>
        <w:rPr>
          <w:rStyle w:val="10"/>
          <w:rFonts w:hint="eastAsia" w:ascii="方正仿宋_GBK" w:hAnsi="方正仿宋_GBK" w:eastAsia="方正仿宋_GBK" w:cs="方正仿宋_GBK"/>
          <w:b w:val="0"/>
          <w:bCs/>
          <w:sz w:val="32"/>
          <w:szCs w:val="32"/>
          <w:shd w:val="clear" w:color="auto" w:fill="FFFFFF"/>
        </w:rPr>
        <w:t>反</w:t>
      </w:r>
      <w:r>
        <w:rPr>
          <w:rFonts w:hint="default" w:ascii="Times New Roman" w:hAnsi="Times New Roman" w:eastAsia="方正仿宋_GBK" w:cs="Times New Roman"/>
          <w:sz w:val="32"/>
          <w:szCs w:val="32"/>
          <w:shd w:val="clear" w:color="auto" w:fill="FFFFFF"/>
        </w:rPr>
        <w:t>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  七、决算公开联系方式及信息反馈渠道</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rPr>
        <w:t>023-59266123</w:t>
      </w:r>
    </w:p>
    <w:p>
      <w:pPr>
        <w:pStyle w:val="11"/>
        <w:keepNext w:val="0"/>
        <w:keepLines w:val="0"/>
        <w:pageBreakBefore w:val="0"/>
        <w:widowControl/>
        <w:kinsoku/>
        <w:overflowPunct/>
        <w:topLinePunct w:val="0"/>
        <w:autoSpaceDE w:val="0"/>
        <w:autoSpaceDN/>
        <w:bidi w:val="0"/>
        <w:adjustRightInd/>
        <w:spacing w:beforeAutospacing="0" w:line="560" w:lineRule="exact"/>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decimal"/>
          <w:cols w:space="720" w:num="1"/>
          <w:docGrid w:type="lines" w:linePitch="312" w:charSpace="0"/>
        </w:sectPr>
      </w:pP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rPr>
              <w:t>重庆市城口县司法局</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1,615.61</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2.78</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1,326.45</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181.21</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30.56</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74.62</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1,615.61</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1,615.61</w:t>
            </w: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1,615.61</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1,615.61</w:t>
            </w:r>
            <w:r>
              <w:rPr>
                <w:rFonts w:hint="default" w:ascii="Times New Roman" w:hAnsi="Times New Roman" w:cs="Times New Roman"/>
                <w:color w:val="000000"/>
                <w:sz w:val="20"/>
              </w:rPr>
              <w:t xml:space="preserve"> </w:t>
            </w: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rPr>
              <w:t>重庆市城口县司法局</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1,615.61</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1,615.61</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1,326.45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1,326.45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1,326.45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1,326.45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780.70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780.70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151.48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151.48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普法宣传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律师管理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公共法律服务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63.77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63.77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社区矫正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168.64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168.64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信息化建设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181.21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181.21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160.45</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widowControl/>
        <w:kinsoku/>
        <w:overflowPunct/>
        <w:topLinePunct w:val="0"/>
        <w:autoSpaceDN/>
        <w:bidi w:val="0"/>
        <w:adjustRightInd/>
        <w:spacing w:beforeAutospacing="0" w:line="560"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重庆市城口县司法局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1,615.61</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1,131.10</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484.51</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1,326.45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841.94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484.51</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1,326.45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841.94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484.51</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780.70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780.70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151.48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151.48</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普法宣传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49.87</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律师管理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公共法律服务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63.77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63.77</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社区矫正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168.64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168.64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181.21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181.21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160.45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160.45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重庆市城口县司法局</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1,615.61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1,326.45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1,326.45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74.62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74.62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1,615.61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1,615.61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1,615.61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1,615.61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1,615.61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1,615.61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重庆市城口县司法局</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1,615.61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1,131.10</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484.51</w:t>
            </w:r>
            <w:r>
              <w:rPr>
                <w:rFonts w:hint="default" w:ascii="Times New Roman" w:hAnsi="Times New Roman" w:cs="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2.78</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1,326.45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841.94</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484.51</w:t>
            </w:r>
            <w:r>
              <w:rPr>
                <w:rFonts w:hint="default" w:ascii="Times New Roman" w:hAnsi="Times New Roman" w:cs="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1,326.45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841.94</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484.51</w:t>
            </w:r>
            <w:r>
              <w:rPr>
                <w:rFonts w:hint="default" w:ascii="Times New Roman" w:hAnsi="Times New Roman" w:cs="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780.70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780.70</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151.48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151.48</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普法宣传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49.87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49.87</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律师管理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公共法律服务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63.77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63.77</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社区矫正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168.64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168.64</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14.64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14.64</w:t>
            </w: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61.24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61.24</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181.21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181.21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160.45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160.45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83.03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83.03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28.76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28.76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48.66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48.66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28.21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28.21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2.34</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74.62</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74.62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74.62</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重庆市城口县司法局</w:t>
            </w: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964.47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97.22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197.42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242.67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83.03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69.41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23.46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sz w:val="18"/>
                <w:szCs w:val="18"/>
              </w:rPr>
            </w:pPr>
          </w:p>
        </w:tc>
      </w:tr>
      <w:tr>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1,033.88</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97.22</w:t>
            </w:r>
            <w:r>
              <w:rPr>
                <w:rFonts w:hint="default" w:ascii="Times New Roman" w:hAnsi="Times New Roman" w:cs="Times New Roman"/>
                <w:color w:val="000000"/>
                <w:sz w:val="18"/>
              </w:rPr>
              <w:t xml:space="preserve"> </w:t>
            </w: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重庆市城口县司法局</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重庆市城口县司法局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b/>
                <w:color w:val="000000"/>
                <w:sz w:val="20"/>
                <w:szCs w:val="20"/>
              </w:rPr>
            </w:pPr>
          </w:p>
        </w:tc>
      </w:tr>
      <w:tr>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rPr>
          <w:trHeight w:val="244" w:hRule="atLeast"/>
        </w:trPr>
        <w:tc>
          <w:tcPr>
            <w:tcW w:w="1347"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kern w:val="2"/>
                <w:sz w:val="20"/>
                <w:szCs w:val="20"/>
              </w:rPr>
            </w:pPr>
          </w:p>
        </w:tc>
        <w:tc>
          <w:tcPr>
            <w:tcW w:w="722"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rPr>
                <w:rFonts w:hint="default" w:ascii="Times New Roman" w:hAnsi="Times New Roman" w:cs="Times New Roman"/>
                <w:color w:val="000000"/>
                <w:kern w:val="2"/>
                <w:sz w:val="20"/>
                <w:szCs w:val="20"/>
              </w:rPr>
            </w:pPr>
          </w:p>
        </w:tc>
        <w:tc>
          <w:tcPr>
            <w:tcW w:w="70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kern w:val="2"/>
                <w:sz w:val="20"/>
                <w:szCs w:val="20"/>
              </w:rPr>
            </w:pPr>
          </w:p>
        </w:tc>
        <w:tc>
          <w:tcPr>
            <w:tcW w:w="1508"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kern w:val="2"/>
                <w:sz w:val="20"/>
                <w:szCs w:val="20"/>
              </w:rPr>
            </w:pPr>
          </w:p>
        </w:tc>
        <w:tc>
          <w:tcPr>
            <w:tcW w:w="71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rPr>
              <w:t>重庆市城口县司法局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97.22</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18.52</w:t>
            </w: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18.52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97.22</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11.87</w:t>
            </w: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11.87</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11.87</w:t>
            </w: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11.87</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6.65</w:t>
            </w:r>
            <w:r>
              <w:rPr>
                <w:rFonts w:hint="default" w:ascii="Times New Roman" w:hAnsi="Times New Roman" w:cs="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6.65</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6.65</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131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32.28</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26.40</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1,159</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5.88</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29.92</w:t>
            </w:r>
            <w:r>
              <w:rPr>
                <w:rFonts w:hint="default" w:ascii="Times New Roman" w:hAnsi="Times New Roman" w:cs="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29.92</w:t>
            </w:r>
            <w:r>
              <w:rPr>
                <w:rFonts w:hint="default" w:ascii="Times New Roman" w:hAnsi="Times New Roman" w:cs="Times New Roman"/>
                <w:color w:val="000000"/>
                <w:sz w:val="16"/>
              </w:rPr>
              <w:t xml:space="preserve"> </w:t>
            </w:r>
          </w:p>
        </w:tc>
      </w:tr>
      <w:tr>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0.20</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kern w:val="2"/>
                <w:sz w:val="16"/>
                <w:szCs w:val="16"/>
              </w:rPr>
            </w:pPr>
          </w:p>
        </w:tc>
      </w:tr>
      <w:tr>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6.99</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right"/>
              <w:rPr>
                <w:rFonts w:hint="default" w:ascii="Times New Roman" w:hAnsi="Times New Roman" w:cs="Times New Roman"/>
                <w:color w:val="000000"/>
                <w:kern w:val="2"/>
                <w:sz w:val="16"/>
                <w:szCs w:val="16"/>
              </w:rPr>
            </w:pPr>
          </w:p>
        </w:tc>
      </w:tr>
    </w:tbl>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16</w:t>
                </w:r>
                <w:r>
                  <w:rPr>
                    <w:rFonts w:hint="default"/>
                    <w:sz w:val="28"/>
                    <w:szCs w:val="28"/>
                  </w:rPr>
                  <w:fldChar w:fldCharType="end"/>
                </w:r>
                <w:r>
                  <w:rPr>
                    <w:rFonts w:hint="default"/>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踀΂觔΂卆䵇출΄⃍朳噦砀朳噦砀朳誄΂卆䵇썔΄੦朳噦憚朳噦憚朳謔΂卆䵇쌀΄ἳ朳噦癦朳噦癦朳认΂卆䵇싔΄샍朳噦᠀朳噦᠀朳谴΂卆䵇솀΄볍朳噦᐀朳噦᐀朳賄΂卆䵇서΄峍朳噦됀朳噦됀朳"/>
  </w:docVars>
  <w:rsids>
    <w:rsidRoot w:val="00B03CCD"/>
    <w:rsid w:val="000C01CC"/>
    <w:rsid w:val="000D7702"/>
    <w:rsid w:val="00261065"/>
    <w:rsid w:val="002D0E5A"/>
    <w:rsid w:val="002E5443"/>
    <w:rsid w:val="0032196C"/>
    <w:rsid w:val="003F1FEF"/>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26BB3"/>
    <w:rsid w:val="00A67739"/>
    <w:rsid w:val="00A820B7"/>
    <w:rsid w:val="00AC5566"/>
    <w:rsid w:val="00B03CCD"/>
    <w:rsid w:val="00B40138"/>
    <w:rsid w:val="00BF5A85"/>
    <w:rsid w:val="00C17FEE"/>
    <w:rsid w:val="00C307F6"/>
    <w:rsid w:val="00C96B11"/>
    <w:rsid w:val="00CC6B99"/>
    <w:rsid w:val="00CF51EF"/>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51128"/>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3B1F0"/>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FD602A"/>
    <w:rsid w:val="F5B7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2428</Words>
  <Characters>13843</Characters>
  <Lines>115</Lines>
  <Paragraphs>32</Paragraphs>
  <TotalTime>151</TotalTime>
  <ScaleCrop>false</ScaleCrop>
  <LinksUpToDate>false</LinksUpToDate>
  <CharactersWithSpaces>16239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县司法局管理员</cp:lastModifiedBy>
  <dcterms:modified xsi:type="dcterms:W3CDTF">2024-11-26T14:45:47Z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ies>
</file>