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eastAsia="方正小标宋简体" w:cs="方正仿宋简体"/>
          <w:color w:val="000000"/>
          <w:sz w:val="32"/>
          <w:szCs w:val="32"/>
        </w:rPr>
      </w:pPr>
      <w:r>
        <w:rPr>
          <w:rFonts w:hint="eastAsia" w:ascii="方正小标宋简体" w:hAnsi="宋体" w:eastAsia="方正小标宋简体" w:cs="方正仿宋简体"/>
          <w:color w:val="000000"/>
          <w:sz w:val="32"/>
          <w:szCs w:val="32"/>
        </w:rPr>
        <w:t>重庆市修正液产品质量监督抽查实施细则（2021年）</w:t>
      </w:r>
    </w:p>
    <w:p>
      <w:pPr>
        <w:snapToGrid w:val="0"/>
        <w:spacing w:line="440" w:lineRule="exact"/>
        <w:ind w:firstLine="359" w:firstLineChars="171"/>
        <w:rPr>
          <w:rFonts w:ascii="宋体"/>
          <w:color w:val="000000"/>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szCs w:val="21"/>
        </w:rPr>
      </w:pPr>
      <w:r>
        <w:rPr>
          <w:rFonts w:hint="eastAsia" w:ascii="宋体" w:hAnsi="宋体"/>
          <w:szCs w:val="21"/>
        </w:rPr>
        <w:t>抽取同一生产者按照同一标准生产的同一商标、同一规格型号、同一生产日期、同一批次产品</w:t>
      </w:r>
      <w:r>
        <w:rPr>
          <w:rFonts w:ascii="宋体" w:hAnsi="宋体"/>
          <w:szCs w:val="21"/>
        </w:rPr>
        <w:t>20</w:t>
      </w:r>
      <w:r>
        <w:rPr>
          <w:rFonts w:hint="eastAsia" w:ascii="宋体" w:hAnsi="宋体"/>
          <w:szCs w:val="21"/>
        </w:rPr>
        <w:t>支</w:t>
      </w:r>
      <w:r>
        <w:rPr>
          <w:rFonts w:ascii="宋体" w:hAnsi="宋体"/>
          <w:szCs w:val="21"/>
        </w:rPr>
        <w:t>(</w:t>
      </w:r>
      <w:r>
        <w:rPr>
          <w:rFonts w:hint="eastAsia" w:ascii="宋体" w:hAnsi="宋体"/>
          <w:szCs w:val="21"/>
        </w:rPr>
        <w:t>以</w:t>
      </w:r>
      <w:r>
        <w:rPr>
          <w:rFonts w:ascii="宋体" w:hAnsi="宋体"/>
          <w:szCs w:val="21"/>
        </w:rPr>
        <w:t>20g/</w:t>
      </w:r>
      <w:r>
        <w:rPr>
          <w:rFonts w:hint="eastAsia" w:ascii="宋体" w:hAnsi="宋体"/>
          <w:szCs w:val="21"/>
        </w:rPr>
        <w:t>支计</w:t>
      </w:r>
      <w:r>
        <w:rPr>
          <w:rFonts w:ascii="宋体" w:hAnsi="宋体"/>
          <w:szCs w:val="21"/>
        </w:rPr>
        <w:t>)</w:t>
      </w:r>
      <w:r>
        <w:rPr>
          <w:rFonts w:hint="eastAsia" w:ascii="宋体" w:hAnsi="宋体"/>
          <w:szCs w:val="21"/>
        </w:rPr>
        <w:t>，其中</w:t>
      </w:r>
      <w:r>
        <w:rPr>
          <w:rFonts w:ascii="宋体" w:hAnsi="宋体"/>
          <w:szCs w:val="21"/>
        </w:rPr>
        <w:t>10</w:t>
      </w:r>
      <w:r>
        <w:rPr>
          <w:rFonts w:hint="eastAsia" w:ascii="宋体" w:hAnsi="宋体"/>
          <w:szCs w:val="21"/>
        </w:rPr>
        <w:t>支作为检验样品，</w:t>
      </w:r>
      <w:r>
        <w:rPr>
          <w:rFonts w:ascii="宋体" w:hAnsi="宋体"/>
          <w:szCs w:val="21"/>
        </w:rPr>
        <w:t>10</w:t>
      </w:r>
      <w:r>
        <w:rPr>
          <w:rFonts w:hint="eastAsia" w:ascii="宋体" w:hAnsi="宋体"/>
          <w:szCs w:val="21"/>
        </w:rPr>
        <w:t>支作为备用样品。</w:t>
      </w:r>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w:t>
      </w:r>
      <w:bookmarkStart w:id="0" w:name="_GoBack"/>
      <w:bookmarkEnd w:id="0"/>
      <w:r>
        <w:rPr>
          <w:rFonts w:hint="eastAsia" w:ascii="宋体" w:hAnsi="宋体"/>
          <w:color w:val="000000"/>
          <w:szCs w:val="21"/>
        </w:rPr>
        <w:t>抽样，随机数一般可使用随机数表、随机数骰子或扑克牌等方法产生。</w:t>
      </w:r>
    </w:p>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ind w:firstLine="105" w:firstLineChars="50"/>
        <w:rPr>
          <w:rFonts w:ascii="宋体"/>
          <w:color w:val="000000"/>
          <w:szCs w:val="21"/>
        </w:rPr>
      </w:pPr>
      <w:r>
        <w:rPr>
          <w:rFonts w:hint="eastAsia" w:ascii="宋体" w:hAnsi="宋体"/>
          <w:color w:val="000000"/>
          <w:szCs w:val="21"/>
        </w:rPr>
        <w:t>检验项目和检验方法见表</w:t>
      </w:r>
      <w:r>
        <w:rPr>
          <w:rFonts w:ascii="宋体" w:hAnsi="宋体"/>
          <w:color w:val="000000"/>
          <w:szCs w:val="21"/>
        </w:rPr>
        <w:t>1</w:t>
      </w:r>
      <w:r>
        <w:rPr>
          <w:rFonts w:hint="eastAsia" w:ascii="宋体" w:hAnsi="宋体"/>
          <w:color w:val="000000"/>
          <w:szCs w:val="21"/>
        </w:rPr>
        <w:t>。</w:t>
      </w:r>
    </w:p>
    <w:p>
      <w:pPr>
        <w:snapToGrid w:val="0"/>
        <w:spacing w:line="440" w:lineRule="exact"/>
        <w:jc w:val="center"/>
        <w:rPr>
          <w:rFonts w:ascii="宋体"/>
          <w:color w:val="000000"/>
          <w:szCs w:val="21"/>
        </w:rPr>
      </w:pPr>
      <w:r>
        <w:rPr>
          <w:rFonts w:hint="eastAsia" w:ascii="宋体" w:hAnsi="宋体"/>
          <w:color w:val="000000"/>
          <w:szCs w:val="21"/>
        </w:rPr>
        <w:t>表</w:t>
      </w:r>
      <w:r>
        <w:rPr>
          <w:rFonts w:ascii="宋体" w:hAnsi="宋体"/>
          <w:color w:val="000000"/>
          <w:szCs w:val="21"/>
        </w:rPr>
        <w:t xml:space="preserve">1 </w:t>
      </w:r>
      <w:r>
        <w:rPr>
          <w:rFonts w:hint="eastAsia" w:ascii="宋体" w:hAnsi="宋体"/>
          <w:color w:val="000000"/>
          <w:szCs w:val="21"/>
        </w:rPr>
        <w:t>检验项目</w:t>
      </w:r>
    </w:p>
    <w:tbl>
      <w:tblPr>
        <w:tblStyle w:val="5"/>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jc w:val="center"/>
              <w:rPr>
                <w:rFonts w:ascii="宋体"/>
                <w:color w:val="000000"/>
                <w:szCs w:val="21"/>
              </w:rPr>
            </w:pPr>
            <w:r>
              <w:rPr>
                <w:rFonts w:hint="eastAsia" w:ascii="宋体" w:hAnsi="宋体"/>
                <w:color w:val="000000"/>
                <w:szCs w:val="21"/>
              </w:rPr>
              <w:t>序号</w:t>
            </w:r>
          </w:p>
        </w:tc>
        <w:tc>
          <w:tcPr>
            <w:tcW w:w="2693" w:type="dxa"/>
            <w:vAlign w:val="center"/>
          </w:tcPr>
          <w:p>
            <w:pPr>
              <w:snapToGrid w:val="0"/>
              <w:jc w:val="center"/>
              <w:rPr>
                <w:rFonts w:ascii="宋体"/>
                <w:color w:val="000000"/>
                <w:szCs w:val="21"/>
              </w:rPr>
            </w:pPr>
            <w:r>
              <w:rPr>
                <w:rFonts w:hint="eastAsia" w:ascii="宋体" w:hAnsi="宋体"/>
                <w:color w:val="000000"/>
                <w:szCs w:val="21"/>
              </w:rPr>
              <w:t>检验项目</w:t>
            </w:r>
          </w:p>
        </w:tc>
        <w:tc>
          <w:tcPr>
            <w:tcW w:w="2835" w:type="dxa"/>
            <w:vAlign w:val="center"/>
          </w:tcPr>
          <w:p>
            <w:pPr>
              <w:snapToGrid w:val="0"/>
              <w:jc w:val="center"/>
              <w:rPr>
                <w:rFonts w:ascii="宋体"/>
                <w:color w:val="000000"/>
                <w:szCs w:val="21"/>
              </w:rPr>
            </w:pPr>
            <w:r>
              <w:rPr>
                <w:rFonts w:hint="eastAsia" w:ascii="宋体" w:hAnsi="宋体"/>
                <w:color w:val="000000"/>
                <w:szCs w:val="21"/>
              </w:rPr>
              <w:t>判定依据</w:t>
            </w:r>
          </w:p>
        </w:tc>
        <w:tc>
          <w:tcPr>
            <w:tcW w:w="2828" w:type="dxa"/>
            <w:vAlign w:val="center"/>
          </w:tcPr>
          <w:p>
            <w:pPr>
              <w:snapToGrid w:val="0"/>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jc w:val="center"/>
              <w:rPr>
                <w:rFonts w:ascii="宋体"/>
                <w:color w:val="000000"/>
                <w:szCs w:val="21"/>
              </w:rPr>
            </w:pPr>
            <w:r>
              <w:rPr>
                <w:rFonts w:ascii="宋体" w:hAnsi="宋体"/>
                <w:color w:val="000000"/>
                <w:szCs w:val="21"/>
              </w:rPr>
              <w:t>1</w:t>
            </w:r>
          </w:p>
        </w:tc>
        <w:tc>
          <w:tcPr>
            <w:tcW w:w="2693" w:type="dxa"/>
            <w:vAlign w:val="center"/>
          </w:tcPr>
          <w:p>
            <w:pPr>
              <w:snapToGrid w:val="0"/>
              <w:jc w:val="center"/>
              <w:rPr>
                <w:rFonts w:ascii="宋体"/>
                <w:szCs w:val="21"/>
              </w:rPr>
            </w:pPr>
            <w:r>
              <w:rPr>
                <w:rFonts w:hint="eastAsia" w:ascii="宋体" w:hAnsi="宋体"/>
                <w:szCs w:val="21"/>
              </w:rPr>
              <w:t>涂后的干燥速度</w:t>
            </w:r>
          </w:p>
        </w:tc>
        <w:tc>
          <w:tcPr>
            <w:tcW w:w="2835" w:type="dxa"/>
            <w:vAlign w:val="center"/>
          </w:tcPr>
          <w:p>
            <w:pPr>
              <w:snapToGrid w:val="0"/>
              <w:jc w:val="center"/>
              <w:rPr>
                <w:rFonts w:ascii="宋体"/>
                <w:color w:val="000000"/>
                <w:szCs w:val="21"/>
              </w:rPr>
            </w:pPr>
            <w:r>
              <w:rPr>
                <w:rFonts w:ascii="宋体" w:hAnsi="宋体"/>
                <w:color w:val="000000"/>
                <w:szCs w:val="21"/>
              </w:rPr>
              <w:t>QB/T 2655-2004</w:t>
            </w:r>
          </w:p>
        </w:tc>
        <w:tc>
          <w:tcPr>
            <w:tcW w:w="2828" w:type="dxa"/>
            <w:vAlign w:val="center"/>
          </w:tcPr>
          <w:p>
            <w:pPr>
              <w:snapToGrid w:val="0"/>
              <w:jc w:val="center"/>
              <w:rPr>
                <w:rFonts w:ascii="宋体"/>
                <w:color w:val="000000"/>
                <w:szCs w:val="21"/>
              </w:rPr>
            </w:pPr>
            <w:r>
              <w:rPr>
                <w:rFonts w:ascii="宋体" w:hAnsi="宋体"/>
                <w:color w:val="000000"/>
                <w:szCs w:val="21"/>
              </w:rPr>
              <w:t>QB/T 2655-2004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jc w:val="center"/>
              <w:rPr>
                <w:rFonts w:ascii="宋体"/>
                <w:color w:val="000000"/>
                <w:szCs w:val="21"/>
              </w:rPr>
            </w:pPr>
            <w:r>
              <w:rPr>
                <w:rFonts w:ascii="宋体" w:hAnsi="宋体"/>
                <w:color w:val="000000"/>
                <w:szCs w:val="21"/>
              </w:rPr>
              <w:t>2</w:t>
            </w:r>
          </w:p>
        </w:tc>
        <w:tc>
          <w:tcPr>
            <w:tcW w:w="2693" w:type="dxa"/>
            <w:vAlign w:val="center"/>
          </w:tcPr>
          <w:p>
            <w:pPr>
              <w:snapToGrid w:val="0"/>
              <w:jc w:val="center"/>
              <w:rPr>
                <w:rFonts w:ascii="宋体"/>
                <w:color w:val="000000"/>
                <w:szCs w:val="21"/>
              </w:rPr>
            </w:pPr>
            <w:r>
              <w:rPr>
                <w:rFonts w:hint="eastAsia" w:ascii="宋体" w:hAnsi="宋体"/>
                <w:color w:val="000000"/>
                <w:szCs w:val="21"/>
              </w:rPr>
              <w:t>再次书写的可能性</w:t>
            </w:r>
          </w:p>
        </w:tc>
        <w:tc>
          <w:tcPr>
            <w:tcW w:w="2835" w:type="dxa"/>
            <w:vAlign w:val="center"/>
          </w:tcPr>
          <w:p>
            <w:pPr>
              <w:snapToGrid w:val="0"/>
              <w:jc w:val="center"/>
              <w:rPr>
                <w:rFonts w:ascii="宋体"/>
                <w:color w:val="000000"/>
                <w:szCs w:val="21"/>
              </w:rPr>
            </w:pPr>
            <w:r>
              <w:rPr>
                <w:rFonts w:ascii="宋体" w:hAnsi="宋体"/>
                <w:color w:val="000000"/>
                <w:szCs w:val="21"/>
              </w:rPr>
              <w:t>QB/T 2655-2004</w:t>
            </w:r>
          </w:p>
        </w:tc>
        <w:tc>
          <w:tcPr>
            <w:tcW w:w="2828" w:type="dxa"/>
            <w:vAlign w:val="center"/>
          </w:tcPr>
          <w:p>
            <w:pPr>
              <w:snapToGrid w:val="0"/>
              <w:jc w:val="center"/>
              <w:rPr>
                <w:rFonts w:ascii="宋体"/>
                <w:color w:val="000000"/>
                <w:szCs w:val="21"/>
              </w:rPr>
            </w:pPr>
            <w:r>
              <w:rPr>
                <w:rFonts w:ascii="宋体" w:hAnsi="宋体"/>
                <w:color w:val="000000"/>
                <w:szCs w:val="21"/>
              </w:rPr>
              <w:t>QB/T 2655-2004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jc w:val="center"/>
              <w:rPr>
                <w:rFonts w:ascii="宋体"/>
                <w:color w:val="000000"/>
                <w:szCs w:val="21"/>
              </w:rPr>
            </w:pPr>
            <w:r>
              <w:rPr>
                <w:rFonts w:ascii="宋体" w:hAnsi="宋体"/>
                <w:color w:val="000000"/>
                <w:szCs w:val="21"/>
              </w:rPr>
              <w:t>3</w:t>
            </w:r>
          </w:p>
        </w:tc>
        <w:tc>
          <w:tcPr>
            <w:tcW w:w="2693" w:type="dxa"/>
            <w:vAlign w:val="center"/>
          </w:tcPr>
          <w:p>
            <w:pPr>
              <w:snapToGrid w:val="0"/>
              <w:jc w:val="center"/>
              <w:rPr>
                <w:rFonts w:ascii="宋体"/>
                <w:color w:val="000000"/>
                <w:szCs w:val="21"/>
              </w:rPr>
            </w:pPr>
            <w:r>
              <w:rPr>
                <w:rFonts w:hint="eastAsia" w:ascii="宋体" w:hAnsi="宋体"/>
                <w:color w:val="000000"/>
                <w:szCs w:val="21"/>
              </w:rPr>
              <w:t>覆盖能力</w:t>
            </w:r>
          </w:p>
        </w:tc>
        <w:tc>
          <w:tcPr>
            <w:tcW w:w="2835" w:type="dxa"/>
            <w:vAlign w:val="center"/>
          </w:tcPr>
          <w:p>
            <w:pPr>
              <w:snapToGrid w:val="0"/>
              <w:jc w:val="center"/>
              <w:rPr>
                <w:rFonts w:ascii="宋体"/>
                <w:color w:val="000000"/>
                <w:szCs w:val="21"/>
              </w:rPr>
            </w:pPr>
            <w:r>
              <w:rPr>
                <w:rFonts w:ascii="宋体" w:hAnsi="宋体"/>
                <w:color w:val="000000"/>
                <w:szCs w:val="21"/>
              </w:rPr>
              <w:t>QB/T 2655-2004</w:t>
            </w:r>
          </w:p>
        </w:tc>
        <w:tc>
          <w:tcPr>
            <w:tcW w:w="2828" w:type="dxa"/>
            <w:vAlign w:val="center"/>
          </w:tcPr>
          <w:p>
            <w:pPr>
              <w:snapToGrid w:val="0"/>
              <w:jc w:val="center"/>
              <w:rPr>
                <w:rFonts w:ascii="宋体"/>
                <w:color w:val="000000"/>
                <w:szCs w:val="21"/>
              </w:rPr>
            </w:pPr>
            <w:r>
              <w:rPr>
                <w:rFonts w:ascii="宋体" w:hAnsi="宋体"/>
                <w:color w:val="000000"/>
                <w:szCs w:val="21"/>
              </w:rPr>
              <w:t>QB/T 2655-2004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jc w:val="center"/>
              <w:rPr>
                <w:rFonts w:ascii="宋体"/>
                <w:color w:val="000000"/>
                <w:szCs w:val="21"/>
              </w:rPr>
            </w:pPr>
            <w:r>
              <w:rPr>
                <w:rFonts w:ascii="宋体" w:hAnsi="宋体"/>
                <w:color w:val="000000"/>
                <w:szCs w:val="21"/>
              </w:rPr>
              <w:t>4</w:t>
            </w:r>
          </w:p>
        </w:tc>
        <w:tc>
          <w:tcPr>
            <w:tcW w:w="2693" w:type="dxa"/>
            <w:vAlign w:val="center"/>
          </w:tcPr>
          <w:p>
            <w:pPr>
              <w:snapToGrid w:val="0"/>
              <w:jc w:val="center"/>
              <w:rPr>
                <w:rFonts w:ascii="宋体"/>
                <w:color w:val="000000"/>
                <w:szCs w:val="21"/>
              </w:rPr>
            </w:pPr>
            <w:r>
              <w:rPr>
                <w:rFonts w:hint="eastAsia" w:ascii="宋体" w:hAnsi="宋体"/>
                <w:color w:val="000000"/>
                <w:szCs w:val="21"/>
              </w:rPr>
              <w:t>苯</w:t>
            </w:r>
          </w:p>
        </w:tc>
        <w:tc>
          <w:tcPr>
            <w:tcW w:w="2835" w:type="dxa"/>
            <w:vAlign w:val="center"/>
          </w:tcPr>
          <w:p>
            <w:pPr>
              <w:snapToGrid w:val="0"/>
              <w:jc w:val="center"/>
              <w:rPr>
                <w:rFonts w:ascii="宋体"/>
                <w:color w:val="000000"/>
                <w:szCs w:val="21"/>
              </w:rPr>
            </w:pPr>
            <w:r>
              <w:rPr>
                <w:rFonts w:ascii="宋体" w:hAnsi="宋体"/>
                <w:color w:val="000000"/>
                <w:szCs w:val="21"/>
              </w:rPr>
              <w:t>GB 21027-2007</w:t>
            </w:r>
          </w:p>
        </w:tc>
        <w:tc>
          <w:tcPr>
            <w:tcW w:w="2828" w:type="dxa"/>
            <w:vAlign w:val="center"/>
          </w:tcPr>
          <w:p>
            <w:pPr>
              <w:snapToGrid w:val="0"/>
              <w:jc w:val="center"/>
              <w:rPr>
                <w:rFonts w:ascii="宋体"/>
                <w:color w:val="000000"/>
                <w:szCs w:val="21"/>
              </w:rPr>
            </w:pPr>
            <w:r>
              <w:rPr>
                <w:rFonts w:ascii="宋体" w:hAnsi="宋体"/>
                <w:color w:val="000000"/>
                <w:szCs w:val="21"/>
              </w:rPr>
              <w:t>GB/T 9722-2006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vAlign w:val="center"/>
          </w:tcPr>
          <w:p>
            <w:pPr>
              <w:snapToGrid w:val="0"/>
              <w:jc w:val="center"/>
              <w:rPr>
                <w:rFonts w:ascii="宋体"/>
                <w:color w:val="000000"/>
                <w:szCs w:val="21"/>
              </w:rPr>
            </w:pPr>
            <w:r>
              <w:rPr>
                <w:rFonts w:ascii="宋体" w:hAnsi="宋体"/>
                <w:color w:val="000000"/>
                <w:szCs w:val="21"/>
              </w:rPr>
              <w:t>5</w:t>
            </w:r>
          </w:p>
        </w:tc>
        <w:tc>
          <w:tcPr>
            <w:tcW w:w="2693" w:type="dxa"/>
            <w:vAlign w:val="center"/>
          </w:tcPr>
          <w:p>
            <w:pPr>
              <w:snapToGrid w:val="0"/>
              <w:jc w:val="center"/>
              <w:rPr>
                <w:rFonts w:ascii="宋体"/>
                <w:color w:val="000000"/>
                <w:szCs w:val="21"/>
              </w:rPr>
            </w:pPr>
            <w:r>
              <w:rPr>
                <w:rFonts w:hint="eastAsia" w:ascii="宋体" w:hAnsi="宋体"/>
                <w:color w:val="000000"/>
                <w:szCs w:val="21"/>
              </w:rPr>
              <w:t>可迁移元素最大限量</w:t>
            </w:r>
          </w:p>
        </w:tc>
        <w:tc>
          <w:tcPr>
            <w:tcW w:w="2835" w:type="dxa"/>
            <w:vAlign w:val="center"/>
          </w:tcPr>
          <w:p>
            <w:pPr>
              <w:snapToGrid w:val="0"/>
              <w:jc w:val="center"/>
              <w:rPr>
                <w:rFonts w:ascii="宋体" w:hAnsi="宋体"/>
                <w:color w:val="000000"/>
                <w:szCs w:val="21"/>
              </w:rPr>
            </w:pPr>
            <w:r>
              <w:rPr>
                <w:rFonts w:ascii="宋体" w:hAnsi="宋体"/>
                <w:color w:val="000000"/>
                <w:szCs w:val="21"/>
              </w:rPr>
              <w:t>GB 21027-2007</w:t>
            </w:r>
          </w:p>
        </w:tc>
        <w:tc>
          <w:tcPr>
            <w:tcW w:w="2828" w:type="dxa"/>
            <w:vAlign w:val="center"/>
          </w:tcPr>
          <w:p>
            <w:pPr>
              <w:snapToGrid w:val="0"/>
              <w:jc w:val="center"/>
              <w:rPr>
                <w:rFonts w:ascii="宋体" w:hAnsi="宋体"/>
                <w:color w:val="000000"/>
                <w:szCs w:val="21"/>
              </w:rPr>
            </w:pPr>
            <w:r>
              <w:rPr>
                <w:rFonts w:ascii="宋体" w:hAnsi="宋体"/>
                <w:color w:val="000000"/>
                <w:szCs w:val="21"/>
              </w:rPr>
              <w:t>GB 21027-2007</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p>
    <w:p>
      <w:pPr>
        <w:snapToGrid w:val="0"/>
        <w:spacing w:line="440" w:lineRule="exact"/>
        <w:ind w:firstLine="359" w:firstLineChars="171"/>
        <w:rPr>
          <w:rFonts w:ascii="黑体" w:hAnsi="黑体" w:eastAsia="黑体"/>
          <w:color w:val="000000"/>
          <w:szCs w:val="21"/>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20" w:firstLineChars="200"/>
        <w:rPr>
          <w:szCs w:val="21"/>
        </w:rPr>
      </w:pPr>
      <w:r>
        <w:rPr>
          <w:rFonts w:ascii="宋体" w:hAnsi="宋体"/>
          <w:color w:val="000000"/>
          <w:szCs w:val="21"/>
        </w:rPr>
        <w:t xml:space="preserve">GB 21027-2007 </w:t>
      </w:r>
      <w:r>
        <w:rPr>
          <w:rFonts w:hint="eastAsia"/>
          <w:szCs w:val="21"/>
        </w:rPr>
        <w:t>学生用品的安全通用要求</w:t>
      </w:r>
    </w:p>
    <w:p>
      <w:pPr>
        <w:snapToGrid w:val="0"/>
        <w:spacing w:line="440" w:lineRule="exact"/>
        <w:ind w:firstLine="420" w:firstLineChars="200"/>
        <w:rPr>
          <w:rFonts w:ascii="宋体"/>
          <w:szCs w:val="21"/>
        </w:rPr>
      </w:pPr>
      <w:r>
        <w:rPr>
          <w:rFonts w:ascii="宋体" w:hAnsi="宋体"/>
          <w:szCs w:val="21"/>
        </w:rPr>
        <w:t xml:space="preserve">QB/T 2655-2004  </w:t>
      </w:r>
      <w:r>
        <w:rPr>
          <w:rFonts w:hint="eastAsia" w:ascii="宋体" w:hAnsi="宋体"/>
          <w:szCs w:val="21"/>
        </w:rPr>
        <w:t>修正液</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color w:val="000000"/>
          <w:szCs w:val="21"/>
        </w:rPr>
      </w:pPr>
      <w:r>
        <w:rPr>
          <w:rFonts w:ascii="宋体" w:hAnsi="宋体"/>
          <w:color w:val="000000"/>
          <w:szCs w:val="21"/>
        </w:rPr>
        <w:t>3.2</w:t>
      </w:r>
      <w:r>
        <w:rPr>
          <w:rFonts w:hint="eastAsia" w:ascii="宋体" w:hAnsi="宋体"/>
          <w:color w:val="000000"/>
          <w:szCs w:val="21"/>
        </w:rPr>
        <w:t>判定原则</w:t>
      </w:r>
    </w:p>
    <w:p>
      <w:pPr>
        <w:snapToGrid w:val="0"/>
        <w:spacing w:line="440" w:lineRule="exact"/>
        <w:rPr>
          <w:rFonts w:ascii="宋体" w:cs="宋体"/>
          <w:kern w:val="0"/>
          <w:szCs w:val="21"/>
        </w:rPr>
      </w:pPr>
      <w:r>
        <w:rPr>
          <w:rFonts w:ascii="宋体" w:hAnsi="宋体" w:cs="宋体"/>
          <w:kern w:val="0"/>
          <w:szCs w:val="21"/>
        </w:rPr>
        <w:t>3.2.1</w:t>
      </w:r>
      <w:r>
        <w:rPr>
          <w:rFonts w:hint="eastAsia" w:ascii="宋体" w:hAnsi="宋体" w:cs="宋体"/>
          <w:kern w:val="0"/>
          <w:szCs w:val="21"/>
        </w:rPr>
        <w:t>单项判定</w:t>
      </w:r>
    </w:p>
    <w:p>
      <w:pPr>
        <w:snapToGrid w:val="0"/>
        <w:spacing w:line="440" w:lineRule="exact"/>
        <w:ind w:firstLine="420" w:firstLineChars="200"/>
        <w:rPr>
          <w:rFonts w:ascii="宋体"/>
          <w:color w:val="000000"/>
          <w:szCs w:val="21"/>
        </w:rPr>
      </w:pPr>
      <w:r>
        <w:rPr>
          <w:rFonts w:hint="eastAsia" w:ascii="宋体" w:hAnsi="宋体"/>
          <w:szCs w:val="21"/>
        </w:rPr>
        <w:t>可迁移元素最大限量取</w:t>
      </w:r>
      <w:r>
        <w:rPr>
          <w:rFonts w:ascii="宋体" w:hAnsi="宋体"/>
          <w:szCs w:val="21"/>
        </w:rPr>
        <w:t>1</w:t>
      </w:r>
      <w:r>
        <w:rPr>
          <w:rFonts w:hint="eastAsia" w:ascii="宋体" w:hAnsi="宋体"/>
          <w:szCs w:val="21"/>
        </w:rPr>
        <w:t>个试样进行检验，其中任意一项元素限量超出标准要求时，即判定该项目不合格。</w:t>
      </w:r>
    </w:p>
    <w:p>
      <w:pPr>
        <w:snapToGrid w:val="0"/>
        <w:spacing w:line="440" w:lineRule="exact"/>
        <w:ind w:firstLine="420" w:firstLineChars="200"/>
        <w:rPr>
          <w:rFonts w:ascii="宋体" w:cs="宋体"/>
          <w:kern w:val="0"/>
          <w:szCs w:val="21"/>
        </w:rPr>
      </w:pPr>
      <w:r>
        <w:rPr>
          <w:rFonts w:hint="eastAsia" w:ascii="宋体" w:hAnsi="宋体" w:cs="宋体"/>
          <w:kern w:val="0"/>
          <w:szCs w:val="21"/>
        </w:rPr>
        <w:t>其他项目随机取</w:t>
      </w:r>
      <w:r>
        <w:rPr>
          <w:rFonts w:ascii="宋体" w:hAnsi="宋体" w:cs="宋体"/>
          <w:kern w:val="0"/>
          <w:szCs w:val="21"/>
        </w:rPr>
        <w:t>3</w:t>
      </w:r>
      <w:r>
        <w:rPr>
          <w:rFonts w:hint="eastAsia" w:ascii="宋体" w:hAnsi="宋体" w:cs="宋体"/>
          <w:kern w:val="0"/>
          <w:szCs w:val="21"/>
        </w:rPr>
        <w:t>个试样进行检验，若任意</w:t>
      </w:r>
      <w:r>
        <w:rPr>
          <w:rFonts w:ascii="宋体" w:hAnsi="宋体" w:cs="宋体"/>
          <w:kern w:val="0"/>
          <w:szCs w:val="21"/>
        </w:rPr>
        <w:t>1</w:t>
      </w:r>
      <w:r>
        <w:rPr>
          <w:rFonts w:hint="eastAsia" w:ascii="宋体" w:hAnsi="宋体" w:cs="宋体"/>
          <w:kern w:val="0"/>
          <w:szCs w:val="21"/>
        </w:rPr>
        <w:t>个试样的检验结果超出标准要求时，判定该项目不合格。</w:t>
      </w:r>
    </w:p>
    <w:p>
      <w:pPr>
        <w:snapToGrid w:val="0"/>
        <w:spacing w:line="440" w:lineRule="exact"/>
        <w:outlineLvl w:val="0"/>
        <w:rPr>
          <w:rFonts w:ascii="宋体" w:cs="宋体"/>
          <w:kern w:val="0"/>
          <w:szCs w:val="21"/>
        </w:rPr>
      </w:pPr>
      <w:r>
        <w:rPr>
          <w:rFonts w:ascii="宋体" w:hAnsi="宋体" w:cs="宋体"/>
          <w:kern w:val="0"/>
          <w:szCs w:val="21"/>
        </w:rPr>
        <w:t>3.2.2</w:t>
      </w:r>
      <w:r>
        <w:rPr>
          <w:rFonts w:hint="eastAsia" w:ascii="宋体" w:hAnsi="宋体" w:cs="宋体"/>
          <w:kern w:val="0"/>
          <w:szCs w:val="21"/>
        </w:rPr>
        <w:t>综合判定</w:t>
      </w:r>
    </w:p>
    <w:p>
      <w:pPr>
        <w:snapToGrid w:val="0"/>
        <w:spacing w:line="440" w:lineRule="exact"/>
        <w:ind w:firstLine="420"/>
        <w:rPr>
          <w:rFonts w:asci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C1B"/>
    <w:rsid w:val="00070677"/>
    <w:rsid w:val="000816CA"/>
    <w:rsid w:val="000F47BD"/>
    <w:rsid w:val="00110089"/>
    <w:rsid w:val="00126693"/>
    <w:rsid w:val="002122B4"/>
    <w:rsid w:val="002651E6"/>
    <w:rsid w:val="00272CA1"/>
    <w:rsid w:val="00277D59"/>
    <w:rsid w:val="00292F7F"/>
    <w:rsid w:val="002A21E1"/>
    <w:rsid w:val="00302B95"/>
    <w:rsid w:val="00344EF9"/>
    <w:rsid w:val="00360E00"/>
    <w:rsid w:val="003808FF"/>
    <w:rsid w:val="003C51F6"/>
    <w:rsid w:val="00473779"/>
    <w:rsid w:val="004C13EF"/>
    <w:rsid w:val="004E1C1B"/>
    <w:rsid w:val="00510039"/>
    <w:rsid w:val="005234DA"/>
    <w:rsid w:val="00556685"/>
    <w:rsid w:val="005B3386"/>
    <w:rsid w:val="00605616"/>
    <w:rsid w:val="00622E51"/>
    <w:rsid w:val="00623104"/>
    <w:rsid w:val="0063289E"/>
    <w:rsid w:val="00653E83"/>
    <w:rsid w:val="0066117E"/>
    <w:rsid w:val="00681809"/>
    <w:rsid w:val="00684E16"/>
    <w:rsid w:val="006E7112"/>
    <w:rsid w:val="00707B57"/>
    <w:rsid w:val="007652FF"/>
    <w:rsid w:val="00813A0F"/>
    <w:rsid w:val="008E6FAA"/>
    <w:rsid w:val="00916257"/>
    <w:rsid w:val="009B04C1"/>
    <w:rsid w:val="009E131F"/>
    <w:rsid w:val="009E628B"/>
    <w:rsid w:val="00A30649"/>
    <w:rsid w:val="00A409F0"/>
    <w:rsid w:val="00A775F3"/>
    <w:rsid w:val="00A871CD"/>
    <w:rsid w:val="00A87EB1"/>
    <w:rsid w:val="00A957C3"/>
    <w:rsid w:val="00AF7D1B"/>
    <w:rsid w:val="00B01F8D"/>
    <w:rsid w:val="00B43A71"/>
    <w:rsid w:val="00B61E92"/>
    <w:rsid w:val="00B918EF"/>
    <w:rsid w:val="00BC5D4A"/>
    <w:rsid w:val="00BD6C92"/>
    <w:rsid w:val="00BE42E1"/>
    <w:rsid w:val="00BF071F"/>
    <w:rsid w:val="00CE4EBA"/>
    <w:rsid w:val="00D2319E"/>
    <w:rsid w:val="00D6128B"/>
    <w:rsid w:val="00DA0F15"/>
    <w:rsid w:val="00DD5955"/>
    <w:rsid w:val="00E21673"/>
    <w:rsid w:val="00E371D6"/>
    <w:rsid w:val="00E766A1"/>
    <w:rsid w:val="00E96D0A"/>
    <w:rsid w:val="00EB1677"/>
    <w:rsid w:val="00EF5E2D"/>
    <w:rsid w:val="00F32133"/>
    <w:rsid w:val="00F36EF4"/>
    <w:rsid w:val="00F762D5"/>
    <w:rsid w:val="00F76D14"/>
    <w:rsid w:val="00FA10D3"/>
    <w:rsid w:val="09B0436D"/>
    <w:rsid w:val="77B2501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iPriority w:val="99"/>
    <w:pPr>
      <w:shd w:val="clear" w:color="auto" w:fill="000080"/>
    </w:pPr>
  </w:style>
  <w:style w:type="paragraph" w:styleId="3">
    <w:name w:val="footer"/>
    <w:basedOn w:val="1"/>
    <w:link w:val="11"/>
    <w:uiPriority w:val="99"/>
    <w:pPr>
      <w:tabs>
        <w:tab w:val="center" w:pos="4153"/>
        <w:tab w:val="right" w:pos="8306"/>
      </w:tabs>
      <w:snapToGrid w:val="0"/>
      <w:jc w:val="left"/>
    </w:pPr>
    <w:rPr>
      <w:rFonts w:ascii="Calibri" w:hAnsi="Calibri"/>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rFonts w:ascii="Calibri" w:hAnsi="Calibri"/>
      <w:sz w:val="18"/>
      <w:szCs w:val="18"/>
    </w:rPr>
  </w:style>
  <w:style w:type="table" w:styleId="6">
    <w:name w:val="Table Grid"/>
    <w:basedOn w:val="5"/>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page number"/>
    <w:basedOn w:val="7"/>
    <w:qFormat/>
    <w:uiPriority w:val="99"/>
    <w:rPr>
      <w:rFonts w:cs="Times New Roman"/>
    </w:rPr>
  </w:style>
  <w:style w:type="character" w:customStyle="1" w:styleId="9">
    <w:name w:val="页脚 Char1"/>
    <w:basedOn w:val="7"/>
    <w:link w:val="3"/>
    <w:semiHidden/>
    <w:qFormat/>
    <w:locked/>
    <w:uiPriority w:val="99"/>
    <w:rPr>
      <w:rFonts w:ascii="Times New Roman" w:hAnsi="Times New Roman" w:eastAsia="宋体" w:cs="Times New Roman"/>
      <w:sz w:val="18"/>
      <w:szCs w:val="18"/>
    </w:rPr>
  </w:style>
  <w:style w:type="character" w:customStyle="1" w:styleId="10">
    <w:name w:val="页眉 Char1"/>
    <w:basedOn w:val="7"/>
    <w:link w:val="4"/>
    <w:semiHidden/>
    <w:qFormat/>
    <w:locked/>
    <w:uiPriority w:val="99"/>
    <w:rPr>
      <w:rFonts w:ascii="Times New Roman" w:hAnsi="Times New Roman" w:eastAsia="宋体" w:cs="Times New Roman"/>
      <w:sz w:val="18"/>
      <w:szCs w:val="18"/>
    </w:rPr>
  </w:style>
  <w:style w:type="character" w:customStyle="1" w:styleId="11">
    <w:name w:val="页脚 Char"/>
    <w:basedOn w:val="7"/>
    <w:link w:val="3"/>
    <w:qFormat/>
    <w:locked/>
    <w:uiPriority w:val="99"/>
    <w:rPr>
      <w:rFonts w:cs="Times New Roman"/>
      <w:sz w:val="18"/>
      <w:szCs w:val="18"/>
    </w:rPr>
  </w:style>
  <w:style w:type="character" w:customStyle="1" w:styleId="12">
    <w:name w:val="页眉 Char"/>
    <w:basedOn w:val="7"/>
    <w:link w:val="4"/>
    <w:qFormat/>
    <w:locked/>
    <w:uiPriority w:val="99"/>
    <w:rPr>
      <w:rFonts w:cs="Times New Roman"/>
      <w:sz w:val="18"/>
      <w:szCs w:val="18"/>
    </w:rPr>
  </w:style>
  <w:style w:type="character" w:customStyle="1" w:styleId="13">
    <w:name w:val="文档结构图 Char"/>
    <w:basedOn w:val="7"/>
    <w:link w:val="2"/>
    <w:semiHidden/>
    <w:qFormat/>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158</Words>
  <Characters>904</Characters>
  <Lines>7</Lines>
  <Paragraphs>2</Paragraphs>
  <TotalTime>13</TotalTime>
  <ScaleCrop>false</ScaleCrop>
  <LinksUpToDate>false</LinksUpToDate>
  <CharactersWithSpaces>1060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2021-01-27T06:09:00Z</dcterms:created>
  <dc:creator>pc</dc:creator>
  <cp:lastModifiedBy>王达达</cp:lastModifiedBy>
  <dcterms:modified xsi:type="dcterms:W3CDTF">2021-01-29T08:16:17Z</dcterms:modified>
  <dc:title>重庆市修正液产品质量监督抽查实施细则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