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13C7B">
      <w:pPr>
        <w:spacing w:line="579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城口县民政局</w:t>
      </w:r>
    </w:p>
    <w:p w14:paraId="1A7764C9">
      <w:pPr>
        <w:spacing w:line="579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关于开展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第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一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季度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民政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服务机构安全生产</w:t>
      </w:r>
    </w:p>
    <w:p w14:paraId="5CCE3365">
      <w:pPr>
        <w:spacing w:line="579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疫情防控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专项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检查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的通知</w:t>
      </w:r>
    </w:p>
    <w:p w14:paraId="4B223A27">
      <w:pPr>
        <w:spacing w:line="579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城民发〔</w:t>
      </w:r>
      <w:r>
        <w:rPr>
          <w:rFonts w:hint="default" w:ascii="Times New Roman" w:hAnsi="Times New Roman" w:cs="Times New Roman"/>
          <w:lang w:val="en-US" w:eastAsia="zh-CN"/>
        </w:rPr>
        <w:t>2022</w:t>
      </w:r>
      <w:r>
        <w:rPr>
          <w:rFonts w:hint="default" w:ascii="Times New Roman" w:hAnsi="Times New Roman" w:cs="Times New Roman"/>
        </w:rPr>
        <w:t>〕</w:t>
      </w: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号</w:t>
      </w:r>
    </w:p>
    <w:p w14:paraId="639E4147">
      <w:pPr>
        <w:spacing w:line="579" w:lineRule="exact"/>
        <w:jc w:val="center"/>
        <w:rPr>
          <w:rFonts w:hint="eastAsia" w:ascii="Times New Roman" w:hAnsi="Times New Roman" w:eastAsia="方正小标宋_GBK" w:cs="Times New Roman"/>
          <w:sz w:val="44"/>
          <w:lang w:eastAsia="zh-CN"/>
        </w:rPr>
      </w:pPr>
    </w:p>
    <w:p w14:paraId="53B97F8A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各乡镇（街道）民政办（科）、机关各科室（下属事业单位）、各养老服务机构</w:t>
      </w:r>
      <w:r>
        <w:rPr>
          <w:rFonts w:hint="default" w:ascii="Times New Roman" w:hAnsi="Times New Roman" w:eastAsia="方正仿宋_GBK" w:cs="Times New Roman"/>
          <w:sz w:val="32"/>
        </w:rPr>
        <w:t>：</w:t>
      </w:r>
    </w:p>
    <w:p w14:paraId="42E5D8AC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为认真贯彻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落实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县相关会议要求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，深刻汲取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武隆区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“1.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事故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教训，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进一步加强全县民政系统燃气安全风险管控，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切实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消除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民政服务机构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冬春消防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疫情、食品、燃气等方面隐患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全力遏制较大以上的燃气等各类安全事故发生，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确保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平安稳定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，决定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于即日起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开展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民政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服务机构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安全生产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专项检查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现就有关要求通知如下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：</w:t>
      </w:r>
    </w:p>
    <w:p w14:paraId="6DBAF43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一、检查内容</w:t>
      </w:r>
    </w:p>
    <w:p w14:paraId="50D92AD3">
      <w:pPr>
        <w:pStyle w:val="7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firstLine="664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spacing w:val="8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color w:val="000000"/>
          <w:spacing w:val="8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color w:val="000000"/>
          <w:spacing w:val="8"/>
          <w:sz w:val="32"/>
          <w:szCs w:val="32"/>
        </w:rPr>
        <w:t>）</w:t>
      </w:r>
      <w:r>
        <w:rPr>
          <w:rFonts w:hint="default" w:ascii="Times New Roman" w:hAnsi="Times New Roman" w:eastAsia="方正楷体_GBK" w:cs="Times New Roman"/>
          <w:color w:val="000000"/>
          <w:spacing w:val="8"/>
          <w:sz w:val="32"/>
          <w:szCs w:val="32"/>
          <w:lang w:val="en-US" w:eastAsia="zh-CN"/>
        </w:rPr>
        <w:t>消防安全。</w:t>
      </w:r>
    </w:p>
    <w:p w14:paraId="40FD609B">
      <w:pPr>
        <w:pStyle w:val="7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firstLine="664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楷体_GBK" w:cs="Times New Roman"/>
          <w:color w:val="000000"/>
          <w:spacing w:val="8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核查消防用水。对</w:t>
      </w:r>
      <w:r>
        <w:rPr>
          <w:rFonts w:hint="default" w:ascii="Times New Roman" w:hAnsi="Times New Roman" w:eastAsia="方正仿宋_GBK" w:cs="Times New Roman"/>
          <w:sz w:val="32"/>
          <w:szCs w:val="22"/>
          <w:lang w:eastAsia="zh-CN"/>
        </w:rPr>
        <w:t>辖区养老服务机构、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下属事业单位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消防用水进行一次全面核查，重点检查阀门是否关闭、水流是否通畅、水压是否满足灭火</w:t>
      </w:r>
      <w:r>
        <w:rPr>
          <w:rFonts w:hint="default" w:ascii="Times New Roman" w:hAnsi="Times New Roman" w:eastAsia="方正仿宋_GBK" w:cs="Times New Roman"/>
          <w:kern w:val="0"/>
          <w:sz w:val="32"/>
          <w:szCs w:val="22"/>
          <w:lang w:val="en-US" w:eastAsia="zh-CN" w:bidi="ar"/>
        </w:rPr>
        <w:t>要求、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消防池是否按要求蓄水，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验收资料是否完整。</w:t>
      </w:r>
    </w:p>
    <w:p w14:paraId="0051AB60"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楷体_GBK" w:cs="Times New Roman"/>
          <w:sz w:val="32"/>
          <w:szCs w:val="22"/>
        </w:rPr>
        <w:t>2.</w:t>
      </w:r>
      <w:r>
        <w:rPr>
          <w:rFonts w:hint="default" w:ascii="Times New Roman" w:hAnsi="Times New Roman" w:eastAsia="方正仿宋_GBK" w:cs="Times New Roman"/>
          <w:kern w:val="0"/>
          <w:sz w:val="32"/>
          <w:szCs w:val="22"/>
          <w:lang w:val="en-US" w:eastAsia="zh-CN" w:bidi="ar"/>
        </w:rPr>
        <w:t>检查生命通道。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22"/>
          <w:lang w:eastAsia="zh-CN"/>
        </w:rPr>
        <w:t>辖区养老服务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机构</w:t>
      </w:r>
      <w:r>
        <w:rPr>
          <w:rFonts w:hint="default" w:ascii="Times New Roman" w:hAnsi="Times New Roman" w:eastAsia="方正仿宋_GBK" w:cs="Times New Roman"/>
          <w:sz w:val="32"/>
          <w:szCs w:val="2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下属事业单位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消防通道进行一次再清理，重点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检查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消防通道</w:t>
      </w:r>
      <w:r>
        <w:rPr>
          <w:rFonts w:hint="default" w:ascii="Times New Roman" w:hAnsi="Times New Roman" w:eastAsia="方正仿宋_GBK" w:cs="Times New Roman"/>
          <w:sz w:val="32"/>
          <w:szCs w:val="2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楼梯）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外接部分是否畅通、通道照明是否充足、逃生标识是否完备、杂物是否存在堵塞通道等情况。</w:t>
      </w:r>
    </w:p>
    <w:p w14:paraId="4CC58AE7"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楷体_GBK" w:cs="Times New Roman"/>
          <w:sz w:val="32"/>
          <w:szCs w:val="2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2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sz w:val="32"/>
          <w:szCs w:val="2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sz w:val="32"/>
          <w:szCs w:val="22"/>
          <w:lang w:val="en-US" w:eastAsia="zh-CN"/>
        </w:rPr>
        <w:t>电气安全</w:t>
      </w:r>
      <w:r>
        <w:rPr>
          <w:rFonts w:hint="default" w:ascii="Times New Roman" w:hAnsi="Times New Roman" w:eastAsia="方正仿宋_GBK" w:cs="Times New Roman"/>
          <w:kern w:val="0"/>
          <w:sz w:val="32"/>
          <w:szCs w:val="22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22"/>
          <w:lang w:eastAsia="zh-CN"/>
        </w:rPr>
        <w:t>辖区养老服务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机构</w:t>
      </w:r>
      <w:r>
        <w:rPr>
          <w:rFonts w:hint="default" w:ascii="Times New Roman" w:hAnsi="Times New Roman" w:eastAsia="方正仿宋_GBK" w:cs="Times New Roman"/>
          <w:sz w:val="32"/>
          <w:szCs w:val="2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下属事业单位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内的燃气管道、电力线路、用气用电设备进行清查，重点检查厨房用气用油设备、过冬取暖设备、老旧电线、可燃性雨棚等设施部位</w:t>
      </w:r>
      <w:r>
        <w:rPr>
          <w:rFonts w:hint="default" w:ascii="Times New Roman" w:hAnsi="Times New Roman" w:eastAsia="方正仿宋_GBK" w:cs="Times New Roman"/>
          <w:sz w:val="32"/>
          <w:szCs w:val="2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燃气报警器的安装、维护、管理情况。重点排查单位、机构电、气线路敷设不规范、用电负荷超额、电源插座数量不足以及未设短路保护装置、私拉乱接电线、使用无证、“三无”电器产品等隐患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。重点排查整治燃气安全装置安装不到位，燃气设备维保缺位，燃气管道老化锈蚀，燃气具使用人员操作不熟练等问题。重点加强对取暖设备使用情况的检查，严防发生“小火亡人”事故。</w:t>
      </w:r>
    </w:p>
    <w:p w14:paraId="43AB1305">
      <w:pPr>
        <w:pStyle w:val="7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firstLine="664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pacing w:val="8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000000"/>
          <w:spacing w:val="8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color w:val="000000"/>
          <w:spacing w:val="8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color w:val="000000"/>
          <w:spacing w:val="8"/>
          <w:sz w:val="32"/>
          <w:szCs w:val="32"/>
        </w:rPr>
        <w:t>食品安全</w:t>
      </w:r>
      <w:r>
        <w:rPr>
          <w:rFonts w:hint="default" w:ascii="Times New Roman" w:hAnsi="Times New Roman" w:eastAsia="方正楷体_GBK" w:cs="Times New Roman"/>
          <w:color w:val="000000"/>
          <w:spacing w:val="8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  <w:lang w:eastAsia="zh-CN"/>
        </w:rPr>
        <w:t>检查督促辖区养老服务机构、</w:t>
      </w:r>
      <w:r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  <w:lang w:val="en-US" w:eastAsia="zh-CN"/>
        </w:rPr>
        <w:t>下属事业单位</w:t>
      </w:r>
      <w:r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</w:rPr>
        <w:t>做到物品分类摆放、规范有序，保持厨房、食堂清洁卫生，</w:t>
      </w:r>
      <w:r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  <w:lang w:val="en-US" w:eastAsia="zh-CN"/>
        </w:rPr>
        <w:t>检查</w:t>
      </w:r>
      <w:r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  <w:lang w:val="en-US" w:eastAsia="zh-CN"/>
        </w:rPr>
        <w:t>明厨亮灶”智慧食安监管平台运行是否正常。</w:t>
      </w:r>
      <w:r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</w:rPr>
        <w:t>解决养老机构厨房脏、乱、差问题，让老年人吃得健康、吃得卫生、吃得安全。</w:t>
      </w:r>
    </w:p>
    <w:p w14:paraId="5C7FBB2F">
      <w:pPr>
        <w:pStyle w:val="7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firstLine="664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pacing w:val="8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000000"/>
          <w:spacing w:val="8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color w:val="000000"/>
          <w:spacing w:val="8"/>
          <w:sz w:val="32"/>
          <w:szCs w:val="32"/>
          <w:lang w:eastAsia="zh-CN"/>
        </w:rPr>
        <w:t>）建筑安全</w:t>
      </w:r>
      <w:r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</w:rPr>
        <w:t>重点排查整治房屋结构不合理、质量不能保证、安全性能不达标、搭建违章建筑、在建工程项目安全文明施工措施不到位等问题。</w:t>
      </w:r>
    </w:p>
    <w:p w14:paraId="774FB81F">
      <w:pPr>
        <w:pStyle w:val="7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firstLine="664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pacing w:val="8"/>
          <w:kern w:val="0"/>
          <w:sz w:val="32"/>
          <w:szCs w:val="32"/>
          <w:lang w:val="en-US" w:eastAsia="zh-CN" w:bidi="ar"/>
        </w:rPr>
        <w:t>（五）</w:t>
      </w:r>
      <w:r>
        <w:rPr>
          <w:rFonts w:hint="default" w:ascii="Times New Roman" w:hAnsi="Times New Roman" w:eastAsia="方正楷体_GBK" w:cs="Times New Roman"/>
          <w:color w:val="000000"/>
          <w:spacing w:val="8"/>
          <w:sz w:val="32"/>
          <w:szCs w:val="32"/>
          <w:lang w:val="en-US" w:eastAsia="zh-CN"/>
        </w:rPr>
        <w:t>疫情安全。</w:t>
      </w:r>
      <w:r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  <w:lang w:val="en-US" w:eastAsia="zh-CN"/>
        </w:rPr>
        <w:t>监督检查</w:t>
      </w:r>
      <w:r>
        <w:rPr>
          <w:rFonts w:hint="default" w:ascii="Times New Roman" w:hAnsi="Times New Roman" w:eastAsia="方正仿宋_GBK" w:cs="Times New Roman"/>
          <w:sz w:val="32"/>
          <w:szCs w:val="22"/>
          <w:lang w:eastAsia="zh-CN"/>
        </w:rPr>
        <w:t>辖区内养老服务机构、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下属事业单位</w:t>
      </w:r>
      <w:r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  <w:lang w:val="en-US" w:eastAsia="zh-CN"/>
        </w:rPr>
        <w:t>常态化疫情防控措施全面落实情况，加强机构的进出管控相关措施、机构场地的消毒情况，老年人健康监测和健康管理、服务对象的体温检测情况，积极进行疫苗接种和加强针的接种工作，做到应接尽接，督促机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随时做好“常态”与“应急”转换准备工作。</w:t>
      </w:r>
    </w:p>
    <w:p w14:paraId="3D94D24E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检查时间及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方式</w:t>
      </w:r>
    </w:p>
    <w:p w14:paraId="3DD6C51B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kern w:val="3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kern w:val="32"/>
          <w:sz w:val="32"/>
          <w:szCs w:val="32"/>
          <w:lang w:val="en-US" w:eastAsia="zh-CN"/>
        </w:rPr>
        <w:t>（一）检查时间</w:t>
      </w:r>
    </w:p>
    <w:p w14:paraId="1289AD86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8日—14日</w:t>
      </w:r>
      <w:r>
        <w:rPr>
          <w:rFonts w:hint="default" w:ascii="Times New Roman" w:hAnsi="Times New Roman" w:eastAsia="方正仿宋_GBK" w:cs="Times New Roman"/>
          <w:sz w:val="32"/>
          <w:szCs w:val="22"/>
          <w:lang w:eastAsia="zh-CN"/>
        </w:rPr>
        <w:t>。</w:t>
      </w:r>
    </w:p>
    <w:p w14:paraId="449FC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val="en-US" w:eastAsia="zh-CN"/>
        </w:rPr>
        <w:t>检查方式</w:t>
      </w:r>
    </w:p>
    <w:p w14:paraId="45559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现场检查、查阅资料</w:t>
      </w:r>
    </w:p>
    <w:p w14:paraId="48E57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）人员分组</w:t>
      </w:r>
    </w:p>
    <w:p w14:paraId="4A171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第一组：巨伟、滕世雄、卢姗姗、黄颜、谢正鹏，负责修齐、高燕、复兴、龙田、北屏等乡镇街道敬老院、机关办公楼、县中心敬老院、救助站、县殡葬服务中心、婚姻登记处、葛城街道养老服务中心、葛城街道梧桐社区养老服务站。</w:t>
      </w:r>
    </w:p>
    <w:p w14:paraId="50819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第二组：邓道平、陈金树、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唐冉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、唐艺玮、周香毅负责明中、蓼子、明通、周溪、鸡鸣、咸宜、双河等乡镇敬老院。</w:t>
      </w:r>
    </w:p>
    <w:p w14:paraId="4F0A7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第三组：赵稀梅、杨倩、唐雪梅、陈奇奇负责巴山、沿河、高楠、左岚、坪坝、庙坝等乡镇敬老院、第四老年养护中心、第五老年养护中心、小桥流水人家养老度假中心。</w:t>
      </w:r>
    </w:p>
    <w:p w14:paraId="66948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第四组：袁莉、周凡、余明滔、谢美琪负责治平、岚天、东安、厚坪、高观、河鱼等乡镇敬老院。</w:t>
      </w:r>
    </w:p>
    <w:p w14:paraId="5BCCB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每组第一人为组长，第二人为副组长，各小组自行分工，如果组长不能参与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检查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时，由副组长负责组织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检查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。各组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资料图片由该组办公室工作人员负责收集，并最终汇总给机关办公室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</w:p>
    <w:p w14:paraId="3BE75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）车辆安排</w:t>
      </w:r>
    </w:p>
    <w:p w14:paraId="12541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由办公室统一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安排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3B16DF72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left="71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  <w:lang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22"/>
        </w:rPr>
        <w:t xml:space="preserve">、工作要求 </w:t>
      </w:r>
    </w:p>
    <w:p w14:paraId="00477F7A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lang w:eastAsia="zh-CN"/>
        </w:rPr>
        <w:t>一</w:t>
      </w:r>
      <w:r>
        <w:rPr>
          <w:rFonts w:hint="default" w:ascii="Times New Roman" w:hAnsi="Times New Roman" w:eastAsia="方正楷体_GBK" w:cs="Times New Roman"/>
          <w:sz w:val="32"/>
        </w:rPr>
        <w:t>）</w:t>
      </w:r>
      <w:r>
        <w:rPr>
          <w:rFonts w:hint="default" w:ascii="Times New Roman" w:hAnsi="Times New Roman" w:eastAsia="方正楷体_GBK" w:cs="Times New Roman"/>
          <w:sz w:val="32"/>
          <w:lang w:eastAsia="zh-CN"/>
        </w:rPr>
        <w:t>强化</w:t>
      </w:r>
      <w:r>
        <w:rPr>
          <w:rFonts w:hint="default" w:ascii="Times New Roman" w:hAnsi="Times New Roman" w:eastAsia="方正楷体_GBK" w:cs="Times New Roman"/>
          <w:sz w:val="32"/>
          <w:lang w:val="en-US" w:eastAsia="zh-CN"/>
        </w:rPr>
        <w:t>隐患</w:t>
      </w:r>
      <w:r>
        <w:rPr>
          <w:rFonts w:hint="default" w:ascii="Times New Roman" w:hAnsi="Times New Roman" w:eastAsia="方正楷体_GBK" w:cs="Times New Roman"/>
          <w:sz w:val="32"/>
          <w:lang w:eastAsia="zh-CN"/>
        </w:rPr>
        <w:t>意识</w:t>
      </w:r>
      <w:r>
        <w:rPr>
          <w:rFonts w:hint="default" w:ascii="Times New Roman" w:hAnsi="Times New Roman" w:eastAsia="方正楷体_GBK" w:cs="Times New Roman"/>
          <w:sz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此次检查时间紧、任务重，请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各小组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进一步强化民政服务机构隐患排查意识，坚持采取“四不两直”方式开展检查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对发现的隐患，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要坚持边查边改，坚决做到不打折扣、不留死角、不走过场，能立即整改的必须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督促服务机构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立即整改到位，对不能立即整改的必须采取有效措施，确保不发生安全事故，并迅速采取措施彻底整改。</w:t>
      </w:r>
    </w:p>
    <w:p w14:paraId="714E6DDC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sz w:val="32"/>
          <w:lang w:val="en-US" w:eastAsia="zh-CN"/>
        </w:rPr>
        <w:t>坚持严格执法</w:t>
      </w:r>
      <w:r>
        <w:rPr>
          <w:rFonts w:hint="default" w:ascii="Times New Roman" w:hAnsi="Times New Roman" w:eastAsia="方正楷体_GBK" w:cs="Times New Roman"/>
          <w:sz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把民政服务机构主要负责人依法履职、安全生产责任制建立、“日排查日报告日整治日清零”工作机制落实和执行相关部门监管监察指令等情况作为重点，严格开展“检查诊断、行政处罚、整改复查”闭环执法。坚持“违法从重”，对各类具备法定或者酌定从重情节的违法行为，不得擅自从轻或者减轻处罚。坚持“执法清零”和“执法量提升”行动，对发现的问题不回避，不隐藏，一一对应罗列，建立问题台账。</w:t>
      </w:r>
    </w:p>
    <w:p w14:paraId="6C02870C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强化应急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防范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近期天气寒冷，路况复杂，各小组务必注意交通安全。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要强化应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急值守工作，严格执行领导带班和专人值班制度，确保事故在第一时间得到有效处置。严格落实紧急突发事件请示报告制度，遇有紧急情况第一时间按规定时限上报。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三是要指导民政服务机构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积极做好必要应急物资储备，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完善应急预案，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开展经常性培训和演练，提高防范和处置能力。</w:t>
      </w:r>
    </w:p>
    <w:p w14:paraId="374C5F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 w:bidi="ar-SA"/>
        </w:rPr>
        <w:t>（四）严格督查考核。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县民政局将此次检查结果纳入年度考核重要内容，并将适时组织隐患排查回头看工作，对工作推进不力的将实施警示约谈，对典型案例和突出问题将予以曝光通报，对存在重大责任问题导致事故发生的将上报县安委会、县减灾委并依法依规严肃追究有关责任人责任。</w:t>
      </w:r>
    </w:p>
    <w:p w14:paraId="691E5E5F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）坚守廉洁底线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自觉执行中央八项规定。</w:t>
      </w:r>
    </w:p>
    <w:p w14:paraId="4A2FB55A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</w:p>
    <w:p w14:paraId="465EAD9E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附件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：城口县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民政服务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机构安全排查隐患台账</w:t>
      </w:r>
    </w:p>
    <w:p w14:paraId="34776103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552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25BC59BF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 xml:space="preserve">                                   </w:t>
      </w:r>
      <w:r>
        <w:rPr>
          <w:rFonts w:hint="eastAsia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</w:rPr>
        <w:t>城口县民政局</w:t>
      </w:r>
      <w:bookmarkStart w:id="0" w:name="_GoBack"/>
      <w:bookmarkEnd w:id="0"/>
    </w:p>
    <w:p w14:paraId="0A1FB1F0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right="632" w:rightChars="200"/>
        <w:jc w:val="left"/>
        <w:textAlignment w:val="auto"/>
        <w:rPr>
          <w:rFonts w:hint="default" w:ascii="Times New Roman" w:hAnsi="Times New Roman" w:eastAsia="方正仿宋_GBK" w:cs="Times New Roma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5" w:left="1588" w:header="851" w:footer="1021" w:gutter="0"/>
          <w:cols w:space="720" w:num="1"/>
          <w:docGrid w:type="linesAndChars" w:linePitch="579" w:charSpace="-849"/>
        </w:sectPr>
      </w:pPr>
      <w:r>
        <w:rPr>
          <w:rFonts w:hint="default" w:ascii="Times New Roman" w:hAnsi="Times New Roman" w:eastAsia="方正仿宋_GBK" w:cs="Times New Roman"/>
          <w:sz w:val="32"/>
        </w:rPr>
        <w:t xml:space="preserve">                                 </w:t>
      </w:r>
      <w:r>
        <w:rPr>
          <w:rFonts w:hint="eastAsia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</w:rPr>
        <w:t xml:space="preserve"> 202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</w:rPr>
        <w:t xml:space="preserve">日    </w:t>
      </w:r>
    </w:p>
    <w:p w14:paraId="62CD6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 w14:paraId="4146AA2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jc w:val="center"/>
        <w:textAlignment w:val="auto"/>
        <w:rPr>
          <w:rStyle w:val="10"/>
          <w:rFonts w:hint="default" w:ascii="Times New Roman" w:hAnsi="Times New Roman" w:eastAsia="方正小标宋_GBK" w:cs="Times New Roman"/>
          <w:b w:val="0"/>
          <w:bCs w:val="0"/>
          <w:color w:val="000000"/>
          <w:spacing w:val="8"/>
          <w:sz w:val="44"/>
          <w:szCs w:val="44"/>
          <w:lang w:val="en-US" w:eastAsia="zh-CN"/>
        </w:rPr>
      </w:pPr>
      <w:r>
        <w:rPr>
          <w:rStyle w:val="10"/>
          <w:rFonts w:hint="default" w:ascii="Times New Roman" w:hAnsi="Times New Roman" w:eastAsia="方正小标宋_GBK" w:cs="Times New Roman"/>
          <w:b w:val="0"/>
          <w:bCs w:val="0"/>
          <w:color w:val="000000"/>
          <w:spacing w:val="8"/>
          <w:sz w:val="44"/>
          <w:szCs w:val="44"/>
        </w:rPr>
        <w:t>城口县</w:t>
      </w:r>
      <w:r>
        <w:rPr>
          <w:rStyle w:val="10"/>
          <w:rFonts w:hint="default" w:ascii="Times New Roman" w:hAnsi="Times New Roman" w:eastAsia="方正小标宋_GBK" w:cs="Times New Roman"/>
          <w:b w:val="0"/>
          <w:bCs w:val="0"/>
          <w:color w:val="000000"/>
          <w:spacing w:val="8"/>
          <w:sz w:val="44"/>
          <w:szCs w:val="44"/>
          <w:lang w:val="en-US" w:eastAsia="zh-CN"/>
        </w:rPr>
        <w:t>民政服务机构安全排查隐患台账</w:t>
      </w:r>
    </w:p>
    <w:tbl>
      <w:tblPr>
        <w:tblStyle w:val="8"/>
        <w:tblpPr w:leftFromText="180" w:rightFromText="180" w:vertAnchor="text" w:horzAnchor="page" w:tblpX="1156" w:tblpY="5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9385"/>
        <w:gridCol w:w="2535"/>
        <w:gridCol w:w="765"/>
      </w:tblGrid>
      <w:tr w14:paraId="70B36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tblHeader/>
        </w:trPr>
        <w:tc>
          <w:tcPr>
            <w:tcW w:w="1730" w:type="dxa"/>
            <w:noWrap w:val="0"/>
            <w:vAlign w:val="center"/>
          </w:tcPr>
          <w:p w14:paraId="38315A8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9385" w:type="dxa"/>
            <w:noWrap w:val="0"/>
            <w:vAlign w:val="top"/>
          </w:tcPr>
          <w:p w14:paraId="48AFC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_GBK" w:cs="Times New Roman"/>
                <w:sz w:val="24"/>
                <w:szCs w:val="24"/>
              </w:rPr>
              <w:t>检查内容</w:t>
            </w:r>
          </w:p>
        </w:tc>
        <w:tc>
          <w:tcPr>
            <w:tcW w:w="2535" w:type="dxa"/>
            <w:noWrap w:val="0"/>
            <w:vAlign w:val="top"/>
          </w:tcPr>
          <w:p w14:paraId="47143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4"/>
                <w:szCs w:val="24"/>
                <w:lang w:eastAsia="zh-CN"/>
              </w:rPr>
              <w:t>检查结果</w:t>
            </w:r>
          </w:p>
        </w:tc>
        <w:tc>
          <w:tcPr>
            <w:tcW w:w="765" w:type="dxa"/>
            <w:noWrap w:val="0"/>
            <w:vAlign w:val="top"/>
          </w:tcPr>
          <w:p w14:paraId="3C151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_GBK" w:cs="Times New Roman"/>
                <w:sz w:val="24"/>
                <w:szCs w:val="24"/>
              </w:rPr>
              <w:t>备注</w:t>
            </w:r>
          </w:p>
        </w:tc>
      </w:tr>
      <w:tr w14:paraId="78659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30" w:type="dxa"/>
            <w:vMerge w:val="restart"/>
            <w:noWrap w:val="0"/>
            <w:vAlign w:val="center"/>
          </w:tcPr>
          <w:p w14:paraId="463D7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eastAsia="zh-CN"/>
              </w:rPr>
              <w:t>消防安全</w:t>
            </w:r>
          </w:p>
        </w:tc>
        <w:tc>
          <w:tcPr>
            <w:tcW w:w="9385" w:type="dxa"/>
            <w:noWrap w:val="0"/>
            <w:vAlign w:val="center"/>
          </w:tcPr>
          <w:p w14:paraId="310AF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阀门关闭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、水流通畅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、水压是否满足灭火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，验收资料完整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情况；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消防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设备维保情况</w:t>
            </w:r>
          </w:p>
        </w:tc>
        <w:tc>
          <w:tcPr>
            <w:tcW w:w="2535" w:type="dxa"/>
            <w:noWrap w:val="0"/>
            <w:vAlign w:val="top"/>
          </w:tcPr>
          <w:p w14:paraId="41080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65" w:type="dxa"/>
            <w:noWrap w:val="0"/>
            <w:vAlign w:val="top"/>
          </w:tcPr>
          <w:p w14:paraId="3B39F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 w14:paraId="4E269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30" w:type="dxa"/>
            <w:vMerge w:val="continue"/>
            <w:noWrap w:val="0"/>
            <w:vAlign w:val="center"/>
          </w:tcPr>
          <w:p w14:paraId="79B61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</w:tc>
        <w:tc>
          <w:tcPr>
            <w:tcW w:w="9385" w:type="dxa"/>
            <w:noWrap w:val="0"/>
            <w:vAlign w:val="center"/>
          </w:tcPr>
          <w:p w14:paraId="014B0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制订消防应急预案、开展应急演练、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机构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从业人员停车规范、消防通道外接部分畅通、通道照明、逃生标识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、杂物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堆放情况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电气从业人员规范情况；</w:t>
            </w:r>
          </w:p>
        </w:tc>
        <w:tc>
          <w:tcPr>
            <w:tcW w:w="2535" w:type="dxa"/>
            <w:noWrap w:val="0"/>
            <w:vAlign w:val="top"/>
          </w:tcPr>
          <w:p w14:paraId="3A87A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65" w:type="dxa"/>
            <w:noWrap w:val="0"/>
            <w:vAlign w:val="top"/>
          </w:tcPr>
          <w:p w14:paraId="5DFD4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 w14:paraId="55896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30" w:type="dxa"/>
            <w:vMerge w:val="restart"/>
            <w:noWrap w:val="0"/>
            <w:vAlign w:val="center"/>
          </w:tcPr>
          <w:p w14:paraId="1841C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电气安全</w:t>
            </w:r>
          </w:p>
        </w:tc>
        <w:tc>
          <w:tcPr>
            <w:tcW w:w="9385" w:type="dxa"/>
            <w:noWrap w:val="0"/>
            <w:vAlign w:val="center"/>
          </w:tcPr>
          <w:p w14:paraId="542EA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厨房使用燃料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管控情况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，如：柴油、罐气、管道气、电、生物油、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取暖炕肉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等，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风险隐患排查情况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安装燃气报警器情况；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电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线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老化、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可燃性雨棚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等隐患存在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情况；电气设备维保情况</w:t>
            </w:r>
          </w:p>
        </w:tc>
        <w:tc>
          <w:tcPr>
            <w:tcW w:w="2535" w:type="dxa"/>
            <w:noWrap w:val="0"/>
            <w:vAlign w:val="top"/>
          </w:tcPr>
          <w:p w14:paraId="22A6A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65" w:type="dxa"/>
            <w:noWrap w:val="0"/>
            <w:vAlign w:val="top"/>
          </w:tcPr>
          <w:p w14:paraId="200F2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 w14:paraId="71D06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30" w:type="dxa"/>
            <w:vMerge w:val="continue"/>
            <w:noWrap w:val="0"/>
            <w:vAlign w:val="center"/>
          </w:tcPr>
          <w:p w14:paraId="5CC60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</w:tc>
        <w:tc>
          <w:tcPr>
            <w:tcW w:w="9385" w:type="dxa"/>
            <w:noWrap w:val="0"/>
            <w:vAlign w:val="center"/>
          </w:tcPr>
          <w:p w14:paraId="5B6FB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取暖设备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管控情况。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如：电烤炉、电烤桌、地炉子、回风炉、地暖、空调等，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风险隐患排查情况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违规使用电器以及“三无”电器存在情况</w:t>
            </w:r>
          </w:p>
        </w:tc>
        <w:tc>
          <w:tcPr>
            <w:tcW w:w="2535" w:type="dxa"/>
            <w:noWrap w:val="0"/>
            <w:vAlign w:val="top"/>
          </w:tcPr>
          <w:p w14:paraId="64C9B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65" w:type="dxa"/>
            <w:noWrap w:val="0"/>
            <w:vAlign w:val="top"/>
          </w:tcPr>
          <w:p w14:paraId="797C7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 w14:paraId="5A9D1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30" w:type="dxa"/>
            <w:vMerge w:val="continue"/>
            <w:noWrap w:val="0"/>
            <w:vAlign w:val="center"/>
          </w:tcPr>
          <w:p w14:paraId="4FD05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</w:tc>
        <w:tc>
          <w:tcPr>
            <w:tcW w:w="9385" w:type="dxa"/>
            <w:noWrap w:val="0"/>
            <w:vAlign w:val="center"/>
          </w:tcPr>
          <w:p w14:paraId="592EE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服务对象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是否有私接电线，是否在房间内使用高功率电器</w:t>
            </w:r>
          </w:p>
        </w:tc>
        <w:tc>
          <w:tcPr>
            <w:tcW w:w="2535" w:type="dxa"/>
            <w:noWrap w:val="0"/>
            <w:vAlign w:val="top"/>
          </w:tcPr>
          <w:p w14:paraId="74BA7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65" w:type="dxa"/>
            <w:noWrap w:val="0"/>
            <w:vAlign w:val="top"/>
          </w:tcPr>
          <w:p w14:paraId="739CF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 w14:paraId="7DD5F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30" w:type="dxa"/>
            <w:vMerge w:val="restart"/>
            <w:noWrap w:val="0"/>
            <w:vAlign w:val="center"/>
          </w:tcPr>
          <w:p w14:paraId="014B8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eastAsia="zh-CN"/>
              </w:rPr>
              <w:t>食品安全</w:t>
            </w:r>
          </w:p>
        </w:tc>
        <w:tc>
          <w:tcPr>
            <w:tcW w:w="9385" w:type="dxa"/>
            <w:noWrap w:val="0"/>
            <w:vAlign w:val="center"/>
          </w:tcPr>
          <w:p w14:paraId="21264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“明厨亮灶”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情况</w:t>
            </w:r>
          </w:p>
        </w:tc>
        <w:tc>
          <w:tcPr>
            <w:tcW w:w="2535" w:type="dxa"/>
            <w:noWrap w:val="0"/>
            <w:vAlign w:val="top"/>
          </w:tcPr>
          <w:p w14:paraId="476C5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65" w:type="dxa"/>
            <w:noWrap w:val="0"/>
            <w:vAlign w:val="top"/>
          </w:tcPr>
          <w:p w14:paraId="3B049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 w14:paraId="60807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30" w:type="dxa"/>
            <w:vMerge w:val="continue"/>
            <w:noWrap w:val="0"/>
            <w:vAlign w:val="center"/>
          </w:tcPr>
          <w:p w14:paraId="1FD68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</w:tc>
        <w:tc>
          <w:tcPr>
            <w:tcW w:w="9385" w:type="dxa"/>
            <w:noWrap w:val="0"/>
            <w:vAlign w:val="center"/>
          </w:tcPr>
          <w:p w14:paraId="42986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厨房、冰箱、冰柜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卫生情况，食品存放情况。</w:t>
            </w:r>
          </w:p>
        </w:tc>
        <w:tc>
          <w:tcPr>
            <w:tcW w:w="2535" w:type="dxa"/>
            <w:noWrap w:val="0"/>
            <w:vAlign w:val="top"/>
          </w:tcPr>
          <w:p w14:paraId="06C1E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65" w:type="dxa"/>
            <w:noWrap w:val="0"/>
            <w:vAlign w:val="top"/>
          </w:tcPr>
          <w:p w14:paraId="077A4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 w14:paraId="1E234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30" w:type="dxa"/>
            <w:vMerge w:val="continue"/>
            <w:noWrap w:val="0"/>
            <w:vAlign w:val="center"/>
          </w:tcPr>
          <w:p w14:paraId="6CE01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</w:tc>
        <w:tc>
          <w:tcPr>
            <w:tcW w:w="9385" w:type="dxa"/>
            <w:noWrap w:val="0"/>
            <w:vAlign w:val="center"/>
          </w:tcPr>
          <w:p w14:paraId="42130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餐饮服务人员持有效健康证明上岗，身着洁净的工作服，佩戴口罩和工作帽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情况</w:t>
            </w:r>
          </w:p>
        </w:tc>
        <w:tc>
          <w:tcPr>
            <w:tcW w:w="2535" w:type="dxa"/>
            <w:noWrap w:val="0"/>
            <w:vAlign w:val="top"/>
          </w:tcPr>
          <w:p w14:paraId="30BDD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65" w:type="dxa"/>
            <w:noWrap w:val="0"/>
            <w:vAlign w:val="top"/>
          </w:tcPr>
          <w:p w14:paraId="4D81F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 w14:paraId="6FE3D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30" w:type="dxa"/>
            <w:vMerge w:val="continue"/>
            <w:noWrap w:val="0"/>
            <w:vAlign w:val="center"/>
          </w:tcPr>
          <w:p w14:paraId="77B2A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</w:tc>
        <w:tc>
          <w:tcPr>
            <w:tcW w:w="9385" w:type="dxa"/>
            <w:noWrap w:val="0"/>
            <w:vAlign w:val="center"/>
          </w:tcPr>
          <w:p w14:paraId="5C3DC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食品进行留样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和记录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情况</w:t>
            </w:r>
          </w:p>
        </w:tc>
        <w:tc>
          <w:tcPr>
            <w:tcW w:w="2535" w:type="dxa"/>
            <w:noWrap w:val="0"/>
            <w:vAlign w:val="top"/>
          </w:tcPr>
          <w:p w14:paraId="4A32C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65" w:type="dxa"/>
            <w:noWrap w:val="0"/>
            <w:vAlign w:val="top"/>
          </w:tcPr>
          <w:p w14:paraId="50AF2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 w14:paraId="49F53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30" w:type="dxa"/>
            <w:vMerge w:val="restart"/>
            <w:noWrap w:val="0"/>
            <w:vAlign w:val="center"/>
          </w:tcPr>
          <w:p w14:paraId="4D5C3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房屋安全</w:t>
            </w:r>
          </w:p>
        </w:tc>
        <w:tc>
          <w:tcPr>
            <w:tcW w:w="9385" w:type="dxa"/>
            <w:noWrap w:val="0"/>
            <w:vAlign w:val="center"/>
          </w:tcPr>
          <w:p w14:paraId="1EE47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房屋结构、质量、安全性能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情况</w:t>
            </w:r>
          </w:p>
        </w:tc>
        <w:tc>
          <w:tcPr>
            <w:tcW w:w="2535" w:type="dxa"/>
            <w:noWrap w:val="0"/>
            <w:vAlign w:val="top"/>
          </w:tcPr>
          <w:p w14:paraId="70CA1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65" w:type="dxa"/>
            <w:noWrap w:val="0"/>
            <w:vAlign w:val="top"/>
          </w:tcPr>
          <w:p w14:paraId="700A3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 w14:paraId="6315E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30" w:type="dxa"/>
            <w:vMerge w:val="continue"/>
            <w:noWrap w:val="0"/>
            <w:vAlign w:val="center"/>
          </w:tcPr>
          <w:p w14:paraId="37A16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</w:tc>
        <w:tc>
          <w:tcPr>
            <w:tcW w:w="9385" w:type="dxa"/>
            <w:noWrap w:val="0"/>
            <w:vAlign w:val="center"/>
          </w:tcPr>
          <w:p w14:paraId="470E9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违章建筑情况、在建项目施工安全情况</w:t>
            </w:r>
          </w:p>
        </w:tc>
        <w:tc>
          <w:tcPr>
            <w:tcW w:w="2535" w:type="dxa"/>
            <w:noWrap w:val="0"/>
            <w:vAlign w:val="top"/>
          </w:tcPr>
          <w:p w14:paraId="03B6D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65" w:type="dxa"/>
            <w:noWrap w:val="0"/>
            <w:vAlign w:val="top"/>
          </w:tcPr>
          <w:p w14:paraId="13527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 w14:paraId="6AEBA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730" w:type="dxa"/>
            <w:vMerge w:val="restart"/>
            <w:noWrap w:val="0"/>
            <w:vAlign w:val="center"/>
          </w:tcPr>
          <w:p w14:paraId="280A6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疫情防控</w:t>
            </w:r>
          </w:p>
        </w:tc>
        <w:tc>
          <w:tcPr>
            <w:tcW w:w="9385" w:type="dxa"/>
            <w:noWrap w:val="0"/>
            <w:vAlign w:val="center"/>
          </w:tcPr>
          <w:p w14:paraId="5A5EB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制订疫情防控应急预案，建立体温检测、疫苗接种等各类台账情况，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8"/>
                <w:sz w:val="32"/>
                <w:szCs w:val="32"/>
                <w:lang w:eastAsia="zh-CN"/>
              </w:rPr>
              <w:t>随时做好“常态”与“应急”转换准备工作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8"/>
                <w:sz w:val="32"/>
                <w:szCs w:val="32"/>
                <w:lang w:val="en-US" w:eastAsia="zh-CN"/>
              </w:rPr>
              <w:t>开展情况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8"/>
                <w:sz w:val="32"/>
                <w:szCs w:val="32"/>
                <w:lang w:eastAsia="zh-CN"/>
              </w:rPr>
              <w:t>，防疫物资配备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8"/>
                <w:sz w:val="32"/>
                <w:szCs w:val="32"/>
                <w:lang w:val="en-US" w:eastAsia="zh-CN"/>
              </w:rPr>
              <w:t>情况</w:t>
            </w:r>
          </w:p>
        </w:tc>
        <w:tc>
          <w:tcPr>
            <w:tcW w:w="2535" w:type="dxa"/>
            <w:noWrap w:val="0"/>
            <w:vAlign w:val="top"/>
          </w:tcPr>
          <w:p w14:paraId="158E8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65" w:type="dxa"/>
            <w:noWrap w:val="0"/>
            <w:vAlign w:val="top"/>
          </w:tcPr>
          <w:p w14:paraId="156BD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 w14:paraId="228D2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730" w:type="dxa"/>
            <w:vMerge w:val="continue"/>
            <w:noWrap w:val="0"/>
            <w:vAlign w:val="center"/>
          </w:tcPr>
          <w:p w14:paraId="02111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</w:tc>
        <w:tc>
          <w:tcPr>
            <w:tcW w:w="9385" w:type="dxa"/>
            <w:noWrap w:val="0"/>
            <w:vAlign w:val="center"/>
          </w:tcPr>
          <w:p w14:paraId="1A54E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8"/>
                <w:sz w:val="32"/>
                <w:szCs w:val="32"/>
                <w:lang w:eastAsia="zh-CN"/>
              </w:rPr>
              <w:t>健康监测、定期消毒，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8"/>
                <w:sz w:val="32"/>
                <w:szCs w:val="32"/>
                <w:lang w:val="en-US" w:eastAsia="zh-CN"/>
              </w:rPr>
              <w:t>来访人员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8"/>
                <w:sz w:val="32"/>
                <w:szCs w:val="32"/>
                <w:lang w:eastAsia="zh-CN"/>
              </w:rPr>
              <w:t>进行登记、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8"/>
                <w:sz w:val="32"/>
                <w:szCs w:val="32"/>
                <w:lang w:val="en-US" w:eastAsia="zh-CN"/>
              </w:rPr>
              <w:t>人员己服务对象体温监测记录情况</w:t>
            </w:r>
          </w:p>
        </w:tc>
        <w:tc>
          <w:tcPr>
            <w:tcW w:w="2535" w:type="dxa"/>
            <w:noWrap w:val="0"/>
            <w:vAlign w:val="top"/>
          </w:tcPr>
          <w:p w14:paraId="3E649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65" w:type="dxa"/>
            <w:noWrap w:val="0"/>
            <w:vAlign w:val="top"/>
          </w:tcPr>
          <w:p w14:paraId="199DF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 w14:paraId="393DF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30" w:type="dxa"/>
            <w:vMerge w:val="continue"/>
            <w:noWrap w:val="0"/>
            <w:vAlign w:val="center"/>
          </w:tcPr>
          <w:p w14:paraId="3FEC1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</w:tc>
        <w:tc>
          <w:tcPr>
            <w:tcW w:w="9385" w:type="dxa"/>
            <w:noWrap w:val="0"/>
            <w:vAlign w:val="center"/>
          </w:tcPr>
          <w:p w14:paraId="0BD42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8"/>
                <w:sz w:val="32"/>
                <w:szCs w:val="32"/>
                <w:lang w:eastAsia="zh-CN"/>
              </w:rPr>
              <w:t>疫苗接种情况</w:t>
            </w:r>
          </w:p>
        </w:tc>
        <w:tc>
          <w:tcPr>
            <w:tcW w:w="2535" w:type="dxa"/>
            <w:noWrap w:val="0"/>
            <w:vAlign w:val="top"/>
          </w:tcPr>
          <w:p w14:paraId="56D66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65" w:type="dxa"/>
            <w:noWrap w:val="0"/>
            <w:vAlign w:val="top"/>
          </w:tcPr>
          <w:p w14:paraId="29E8D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 w14:paraId="0A235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30" w:type="dxa"/>
            <w:noWrap w:val="0"/>
            <w:vAlign w:val="center"/>
          </w:tcPr>
          <w:p w14:paraId="3BA9D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eastAsia="zh-CN"/>
              </w:rPr>
              <w:t>其他问题</w:t>
            </w:r>
          </w:p>
        </w:tc>
        <w:tc>
          <w:tcPr>
            <w:tcW w:w="9385" w:type="dxa"/>
            <w:noWrap w:val="0"/>
            <w:vAlign w:val="center"/>
          </w:tcPr>
          <w:p w14:paraId="43A6B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35" w:type="dxa"/>
            <w:noWrap w:val="0"/>
            <w:vAlign w:val="top"/>
          </w:tcPr>
          <w:p w14:paraId="7D9F1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65" w:type="dxa"/>
            <w:noWrap w:val="0"/>
            <w:vAlign w:val="top"/>
          </w:tcPr>
          <w:p w14:paraId="051FA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</w:tr>
    </w:tbl>
    <w:p w14:paraId="1807717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40" w:lineRule="exact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lang w:val="en-US" w:eastAsia="zh-CN" w:bidi="ar-SA"/>
        </w:rPr>
        <w:t>机构名称：</w:t>
      </w:r>
    </w:p>
    <w:p w14:paraId="3A9B657A">
      <w:pPr>
        <w:pStyle w:val="7"/>
        <w:spacing w:before="0" w:beforeLines="0" w:beforeAutospacing="0" w:after="0" w:afterLines="0" w:afterAutospacing="0" w:line="579" w:lineRule="exact"/>
        <w:jc w:val="both"/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现场参与检查人员签字：                                检查时间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：</w:t>
      </w:r>
    </w:p>
    <w:p w14:paraId="4AAC1E78">
      <w:pPr>
        <w:pStyle w:val="7"/>
        <w:spacing w:before="0" w:beforeLines="0" w:beforeAutospacing="0" w:after="0" w:afterLines="0" w:afterAutospacing="0" w:line="579" w:lineRule="exact"/>
        <w:ind w:firstLine="480"/>
        <w:jc w:val="both"/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</w:pPr>
    </w:p>
    <w:p w14:paraId="359E7FBB">
      <w:pPr>
        <w:pStyle w:val="7"/>
        <w:spacing w:before="0" w:beforeLines="0" w:beforeAutospacing="0" w:after="0" w:afterLines="0" w:afterAutospacing="0" w:line="579" w:lineRule="exact"/>
        <w:ind w:firstLine="480"/>
        <w:jc w:val="both"/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</w:pPr>
    </w:p>
    <w:p w14:paraId="50C7D6C6">
      <w:pPr>
        <w:pStyle w:val="7"/>
        <w:spacing w:before="0" w:beforeLines="0" w:beforeAutospacing="0" w:after="0" w:afterLines="0" w:afterAutospacing="0" w:line="579" w:lineRule="exact"/>
        <w:ind w:firstLine="480"/>
        <w:jc w:val="both"/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</w:pPr>
    </w:p>
    <w:p w14:paraId="4E1E6B1E">
      <w:pPr>
        <w:pStyle w:val="7"/>
        <w:spacing w:before="0" w:beforeLines="0" w:beforeAutospacing="0" w:after="0" w:afterLines="0" w:afterAutospacing="0" w:line="579" w:lineRule="exact"/>
        <w:jc w:val="both"/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</w:pPr>
    </w:p>
    <w:sectPr>
      <w:headerReference r:id="rId7" w:type="default"/>
      <w:footerReference r:id="rId9" w:type="default"/>
      <w:headerReference r:id="rId8" w:type="even"/>
      <w:footerReference r:id="rId10" w:type="even"/>
      <w:pgSz w:w="16838" w:h="11906" w:orient="landscape"/>
      <w:pgMar w:top="1587" w:right="2098" w:bottom="1474" w:left="1985" w:header="1134" w:footer="1134" w:gutter="0"/>
      <w:cols w:space="0" w:num="1"/>
      <w:rtlGutter w:val="0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993D6">
    <w:pPr>
      <w:pStyle w:val="5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  <w:p w14:paraId="5289ADE2">
    <w:pPr>
      <w:pStyle w:val="5"/>
      <w:ind w:right="320" w:rightChars="100" w:firstLine="360"/>
      <w:jc w:val="right"/>
      <w:rPr>
        <w:rFonts w:ascii="宋体" w:hAnsi="宋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2E65C">
    <w:pPr>
      <w:pStyle w:val="5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 w14:paraId="24BD7512">
    <w:pPr>
      <w:pStyle w:val="5"/>
      <w:ind w:left="320" w:leftChars="100" w:right="360" w:firstLine="360"/>
      <w:rPr>
        <w:rFonts w:ascii="宋体" w:hAnsi="宋体"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BD18D">
    <w:pPr>
      <w:pStyle w:val="5"/>
      <w:wordWrap w:val="0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—</w:t>
    </w:r>
    <w:sdt>
      <w:sdtPr>
        <w:rPr>
          <w:rFonts w:asciiTheme="minorEastAsia" w:hAnsiTheme="minorEastAsia" w:eastAsiaTheme="minorEastAsia"/>
          <w:sz w:val="28"/>
          <w:szCs w:val="28"/>
        </w:rPr>
        <w:id w:val="6400940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 w:eastAsiaTheme="minorEastAsia"/>
        <w:sz w:val="28"/>
        <w:szCs w:val="28"/>
      </w:rPr>
      <w:t xml:space="preserve">—  </w:t>
    </w:r>
  </w:p>
  <w:p w14:paraId="7411A408"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2ABC2">
    <w:pPr>
      <w:pStyle w:val="5"/>
      <w:ind w:firstLine="280" w:firstLineChars="100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—</w:t>
    </w:r>
    <w:sdt>
      <w:sdtPr>
        <w:rPr>
          <w:rFonts w:asciiTheme="minorEastAsia" w:hAnsiTheme="minorEastAsia" w:eastAsiaTheme="minorEastAsia"/>
          <w:sz w:val="28"/>
          <w:szCs w:val="28"/>
        </w:rPr>
        <w:id w:val="6400952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 w:eastAsiaTheme="minorEastAsia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229F2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F3942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21FD5">
    <w:pPr>
      <w:pStyle w:val="6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AD5D8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1F"/>
    <w:rsid w:val="00032F33"/>
    <w:rsid w:val="00051261"/>
    <w:rsid w:val="00053E46"/>
    <w:rsid w:val="00060FC8"/>
    <w:rsid w:val="000B7B16"/>
    <w:rsid w:val="000D018A"/>
    <w:rsid w:val="000E76B1"/>
    <w:rsid w:val="000F60BC"/>
    <w:rsid w:val="001013E7"/>
    <w:rsid w:val="00103493"/>
    <w:rsid w:val="00155643"/>
    <w:rsid w:val="001557DF"/>
    <w:rsid w:val="001A7D0E"/>
    <w:rsid w:val="001C1C85"/>
    <w:rsid w:val="001D16EB"/>
    <w:rsid w:val="001E6D38"/>
    <w:rsid w:val="002042D4"/>
    <w:rsid w:val="0021002B"/>
    <w:rsid w:val="00214E9D"/>
    <w:rsid w:val="00222301"/>
    <w:rsid w:val="002240A2"/>
    <w:rsid w:val="00225AFA"/>
    <w:rsid w:val="002411A5"/>
    <w:rsid w:val="00254370"/>
    <w:rsid w:val="00276E4C"/>
    <w:rsid w:val="00293A1A"/>
    <w:rsid w:val="002F728D"/>
    <w:rsid w:val="00331A33"/>
    <w:rsid w:val="003562DE"/>
    <w:rsid w:val="00384BE1"/>
    <w:rsid w:val="003A14B6"/>
    <w:rsid w:val="003D2C75"/>
    <w:rsid w:val="003F6B83"/>
    <w:rsid w:val="004831A7"/>
    <w:rsid w:val="004B7EDE"/>
    <w:rsid w:val="005376C2"/>
    <w:rsid w:val="00546283"/>
    <w:rsid w:val="0058277B"/>
    <w:rsid w:val="005907ED"/>
    <w:rsid w:val="005A2B57"/>
    <w:rsid w:val="006448E8"/>
    <w:rsid w:val="006607E5"/>
    <w:rsid w:val="00664F5B"/>
    <w:rsid w:val="006848C7"/>
    <w:rsid w:val="00692881"/>
    <w:rsid w:val="006D12D0"/>
    <w:rsid w:val="007109A6"/>
    <w:rsid w:val="00732450"/>
    <w:rsid w:val="00763C20"/>
    <w:rsid w:val="007C1642"/>
    <w:rsid w:val="007D2DA6"/>
    <w:rsid w:val="00834D82"/>
    <w:rsid w:val="00874D31"/>
    <w:rsid w:val="00880867"/>
    <w:rsid w:val="008808F3"/>
    <w:rsid w:val="0089435B"/>
    <w:rsid w:val="008B0AFE"/>
    <w:rsid w:val="00933F1F"/>
    <w:rsid w:val="0098189A"/>
    <w:rsid w:val="00997029"/>
    <w:rsid w:val="009B6A74"/>
    <w:rsid w:val="00AD213E"/>
    <w:rsid w:val="00AD31DA"/>
    <w:rsid w:val="00AE3FDB"/>
    <w:rsid w:val="00BC489B"/>
    <w:rsid w:val="00BF31E0"/>
    <w:rsid w:val="00C31D27"/>
    <w:rsid w:val="00C57745"/>
    <w:rsid w:val="00CA098C"/>
    <w:rsid w:val="00CA163F"/>
    <w:rsid w:val="00CA4552"/>
    <w:rsid w:val="00D22F0C"/>
    <w:rsid w:val="00D35110"/>
    <w:rsid w:val="00D50FD1"/>
    <w:rsid w:val="00DB3CCB"/>
    <w:rsid w:val="00DB4694"/>
    <w:rsid w:val="00DC1FD9"/>
    <w:rsid w:val="00DD30FD"/>
    <w:rsid w:val="00E4135A"/>
    <w:rsid w:val="00E47F55"/>
    <w:rsid w:val="00EA4921"/>
    <w:rsid w:val="00EB6689"/>
    <w:rsid w:val="00EE5751"/>
    <w:rsid w:val="00F0361C"/>
    <w:rsid w:val="00F36B2B"/>
    <w:rsid w:val="00F634DC"/>
    <w:rsid w:val="00FC55BF"/>
    <w:rsid w:val="00FE5D0E"/>
    <w:rsid w:val="03D6789A"/>
    <w:rsid w:val="13B71B62"/>
    <w:rsid w:val="20E87602"/>
    <w:rsid w:val="765F06E5"/>
    <w:rsid w:val="76C8F118"/>
    <w:rsid w:val="BDEF73BC"/>
    <w:rsid w:val="FFEB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  <w:rPr>
      <w:rFonts w:hint="default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2659</Words>
  <Characters>2676</Characters>
  <Lines>1</Lines>
  <Paragraphs>1</Paragraphs>
  <TotalTime>9</TotalTime>
  <ScaleCrop>false</ScaleCrop>
  <LinksUpToDate>false</LinksUpToDate>
  <CharactersWithSpaces>2785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2015-11-24T11:16:00Z</dcterms:created>
  <dc:creator>陈兰</dc:creator>
  <cp:lastModifiedBy>^_^欣然^_^</cp:lastModifiedBy>
  <cp:lastPrinted>2015-11-25T14:47:00Z</cp:lastPrinted>
  <dcterms:modified xsi:type="dcterms:W3CDTF">2024-12-02T02:49:42Z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2B7E2F44991F4128902CC0F2AC83387C</vt:lpwstr>
  </property>
</Properties>
</file>