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重庆市城口县示范幼儿园</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2023年度决算公开说明</w:t>
      </w:r>
    </w:p>
    <w:p>
      <w:pPr>
        <w:pStyle w:val="7"/>
        <w:keepNext w:val="0"/>
        <w:keepLines w:val="0"/>
        <w:pageBreakBefore w:val="0"/>
        <w:widowControl/>
        <w:kinsoku/>
        <w:wordWrap/>
        <w:overflowPunct/>
        <w:topLinePunct w:val="0"/>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sz w:val="44"/>
          <w:szCs w:val="44"/>
        </w:rPr>
      </w:pPr>
    </w:p>
    <w:p>
      <w:pPr>
        <w:pStyle w:val="7"/>
        <w:keepNext w:val="0"/>
        <w:keepLines w:val="0"/>
        <w:pageBreakBefore w:val="0"/>
        <w:widowControl/>
        <w:shd w:val="clear" w:color="auto" w:fill="FFFFFF"/>
        <w:kinsoku/>
        <w:wordWrap/>
        <w:overflowPunct/>
        <w:topLinePunct w:val="0"/>
        <w:autoSpaceDN/>
        <w:bidi w:val="0"/>
        <w:adjustRightInd/>
        <w:snapToGri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城口县示范幼儿园属于事业单位，其主要职能是从事</w:t>
      </w:r>
      <w:r>
        <w:rPr>
          <w:rFonts w:hint="eastAsia" w:ascii="Times New Roman" w:hAnsi="Times New Roman" w:eastAsia="方正仿宋_GBK" w:cs="Times New Roman"/>
          <w:b w:val="0"/>
          <w:bCs w:val="0"/>
          <w:sz w:val="32"/>
          <w:szCs w:val="32"/>
          <w:lang w:val="en-US" w:eastAsia="zh-CN" w:bidi="ar-SA"/>
        </w:rPr>
        <w:t>3-6</w:t>
      </w:r>
      <w:r>
        <w:rPr>
          <w:rFonts w:hint="eastAsia" w:ascii="方正仿宋_GBK" w:hAnsi="方正仿宋_GBK" w:eastAsia="方正仿宋_GBK" w:cs="方正仿宋_GBK"/>
          <w:b w:val="0"/>
          <w:bCs w:val="0"/>
          <w:sz w:val="32"/>
          <w:szCs w:val="32"/>
        </w:rPr>
        <w:t>岁幼儿教育教学。现实行集团化办园，现有土城校区、北大街校区、高观校区、坪坝校区、北屏校区。</w:t>
      </w:r>
    </w:p>
    <w:p>
      <w:pPr>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（二）机构设置</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textAlignment w:val="auto"/>
        <w:rPr>
          <w:rStyle w:val="11"/>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rPr>
        <w:t xml:space="preserve">    机构数为</w:t>
      </w: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，当年无变动。年末实有在职职工数</w:t>
      </w:r>
      <w:r>
        <w:rPr>
          <w:rFonts w:hint="eastAsia" w:ascii="Times New Roman" w:hAnsi="Times New Roman" w:eastAsia="方正仿宋_GBK" w:cs="Times New Roman"/>
          <w:b w:val="0"/>
          <w:bCs w:val="0"/>
          <w:sz w:val="32"/>
          <w:szCs w:val="32"/>
        </w:rPr>
        <w:t>68</w:t>
      </w:r>
      <w:r>
        <w:rPr>
          <w:rFonts w:hint="eastAsia" w:ascii="方正仿宋_GBK" w:hAnsi="方正仿宋_GBK" w:eastAsia="方正仿宋_GBK" w:cs="方正仿宋_GBK"/>
          <w:b w:val="0"/>
          <w:bCs w:val="0"/>
          <w:sz w:val="32"/>
          <w:szCs w:val="32"/>
        </w:rPr>
        <w:t xml:space="preserve">人。            </w:t>
      </w:r>
      <w:r>
        <w:rPr>
          <w:rStyle w:val="11"/>
          <w:rFonts w:hint="eastAsia" w:ascii="方正仿宋_GBK" w:hAnsi="方正仿宋_GBK" w:eastAsia="方正仿宋_GBK" w:cs="方正仿宋_GBK"/>
          <w:b w:val="0"/>
          <w:bCs w:val="0"/>
          <w:sz w:val="32"/>
          <w:szCs w:val="32"/>
          <w:shd w:val="clear" w:color="auto" w:fill="FFFFFF"/>
        </w:rPr>
        <w:t xml:space="preserve">     </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textAlignment w:val="auto"/>
        <w:rPr>
          <w:rFonts w:hint="eastAsia" w:ascii="Times New Roman" w:hAnsi="Times New Roman" w:eastAsia="方正黑体_GBK"/>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Fonts w:hint="eastAsia" w:ascii="Times New Roman" w:hAnsi="Times New Roman" w:eastAsia="方正黑体_GBK"/>
          <w:sz w:val="32"/>
          <w:szCs w:val="32"/>
        </w:rPr>
        <w:t>二、单位决算情况说明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3"/>
        <w:textAlignment w:val="auto"/>
        <w:rPr>
          <w:rFonts w:hint="eastAsia" w:ascii="方正仿宋_GBK" w:hAnsi="方正仿宋_GBK" w:eastAsia="方正仿宋_GBK" w:cs="方正仿宋_GBK"/>
          <w:b w:val="0"/>
          <w:bCs w:val="0"/>
          <w:sz w:val="32"/>
          <w:szCs w:val="32"/>
          <w:shd w:val="clear" w:color="auto" w:fill="FFFFFF"/>
        </w:rPr>
      </w:pPr>
      <w:r>
        <w:rPr>
          <w:rFonts w:hint="eastAsia" w:ascii="Times New Roman" w:hAnsi="Times New Roman" w:eastAsia="方正楷体_GBK" w:cs="Times New Roman"/>
          <w:sz w:val="32"/>
          <w:szCs w:val="32"/>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default" w:ascii="Times New Roman" w:hAnsi="Times New Roman" w:eastAsia="方正仿宋_GBK" w:cs="Times New Roman"/>
          <w:b w:val="0"/>
          <w:bCs w:val="0"/>
          <w:sz w:val="32"/>
          <w:szCs w:val="32"/>
          <w:shd w:val="clear" w:color="auto" w:fill="FFFFFF"/>
        </w:rPr>
        <w:t>1.</w:t>
      </w:r>
      <w:r>
        <w:rPr>
          <w:rStyle w:val="11"/>
          <w:rFonts w:hint="eastAsia" w:ascii="方正仿宋_GBK" w:hAnsi="方正仿宋_GBK" w:eastAsia="方正仿宋_GBK" w:cs="方正仿宋_GBK"/>
          <w:b w:val="0"/>
          <w:bCs w:val="0"/>
          <w:sz w:val="32"/>
          <w:szCs w:val="32"/>
          <w:shd w:val="clear" w:color="auto" w:fill="FFFFFF"/>
        </w:rPr>
        <w:t>总体情况</w:t>
      </w:r>
      <w:r>
        <w:rPr>
          <w:rStyle w:val="11"/>
          <w:rFonts w:hint="eastAsia" w:ascii="Times New Roman" w:hAnsi="Times New Roman" w:eastAsia="方正仿宋_GBK" w:cs="Times New Roman"/>
          <w:b w:val="0"/>
          <w:bCs w:val="0"/>
          <w:sz w:val="32"/>
          <w:szCs w:val="32"/>
          <w:shd w:val="clear" w:color="auto" w:fill="FFFFFF"/>
        </w:rPr>
        <w:t>。2023年度收入总计3581.78万元，支出总计3581.78万元。收支较上年决算数增加499.50万元，增长16.21%，主要原因是财政收入增加，项目收入增加。</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收入情况。2023年度收入合计3243.46万元，较上年决算数增加770.77万元，增长31.17%，主要原因是人员经费增加，事业收入增加。其中：财政拨款收入1976.11万元，占60.93%；事业收入959.54万元，占29.58%；经营收入0.00万元，占0.00%；其他收入307.81万元，占9.49%。此外，使用非财政拨款结余和专用结余0.00万元，年初结转和结余338.32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3.支出情况。2023年度支出合计3092.24万元，较上年决算数增加775.88万元，增长33.50%，主要原因是人员经费增加，项目资金增加。其中：基本支出2813.45万元，占90.98%；项目支出278.79万元，占9.02%；经营支出0.00万元，占0.00%。此外，结余分配0.00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4.结转结余情况。2023年度年末结转和结余489.54万元，较上年决算数减少276.38万元，下降36.08%，主要原因是支出增加，结余减少。</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（二）财政拨款收入支出决算总体情况说明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2023年度财政拨款收、支总计1976.11万元。与2022年相比，财政拨款收、支总计各增加518.64万元，增长35.58%。主要原因是人员经费增加，项目资金增加。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（三）一般公共预算财政拨款收入支出决算情况说明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1.收入情况。2023年度一般公共预算财政拨款收入1976.11万元，较上年决算数增加518.69万元，增长35.59%。主要原因是人员经费增加，项目资金增加。较年初预算数增加78.85万元，增长4.16%。主要原因是人员经费增加。此外，年初财政拨款结转和结余0.00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2.支出情况。2023年度一般公共预算财政拨款支出1976.11万元，较上年决算数增加518.69万元，增长35.59%。主要原因是人员经费增加，项目资金增加。较年初预算数增加78.85万元，增长4.16%。主要原因是人员经费增加。</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3.结转结余情况。2023年度年末一般公共预算财政拨款结转和结余0.00万元，较上年决算数减少0.05万元，下降100.00%，主要原因是财政收回了以前年度的结余资金。</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4.比较情况。本单位2023年度一般公共预算财政拨款支出主要用于以下几个方面：</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（1）一般公共服务支出14.09万元，占0.71%，较年初预算数增加7.02万元，增长99.29%，主要原因是福利费进入了一般公共服务支出。</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（2）教育支出1599.06万元，占80.92%，较年初预算数增加103.79万元，增长6.94%，主要原因是人员经费增加。</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（3）社会保障与就业支出246.42万元，占12.47%，较年初预算数减少5.71万元，下降2.26%，主要原因是人员减少。</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（4）卫生健康支出38.66万元，占1.96%，较年初预算数减少26.25万元，下降40.44%，主要原因是人员减少。</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（5）住房保障支出77.89万元，占3.94%，较年初预算数无增减。</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（四）一般公共预算财政拨款基本支出决算情况说明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 2023年度一般公共财政拨款基本支出1697.32万元。其中：人员经费1565.80万元，较上年决算数增加378.09万元，增长31.83%，主要原因是人员经费增加，项目资金增加。人员经费用途主要包括发放超额绩效。公用经费131.52万元，较上年决算数减少27.15万元，下降17.11%，主要原因是幼儿人数减少，公用经费相应减少。公用经费用途主要包括单位日常运行。</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（五）政府性基金预算收支决算情况说明</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Style w:val="11"/>
          <w:rFonts w:hint="eastAsia" w:ascii="Times New Roman" w:hAnsi="Times New Roman" w:eastAsia="方正仿宋_GBK" w:cs="Times New Roman"/>
          <w:b w:val="0"/>
          <w:bCs w:val="0"/>
          <w:sz w:val="32"/>
          <w:szCs w:val="32"/>
          <w:shd w:val="clear" w:color="auto" w:fill="FFFFFF"/>
          <w:lang w:val="en-US" w:eastAsia="zh-CN" w:bidi="ar-SA"/>
        </w:rPr>
      </w:pPr>
      <w:r>
        <w:rPr>
          <w:rStyle w:val="11"/>
          <w:rFonts w:hint="eastAsia" w:ascii="Times New Roman" w:hAnsi="Times New Roman" w:eastAsia="方正仿宋_GBK" w:cs="Times New Roman"/>
          <w:b w:val="0"/>
          <w:bCs w:val="0"/>
          <w:sz w:val="32"/>
          <w:szCs w:val="32"/>
          <w:shd w:val="clear" w:color="auto" w:fill="FFFFFF"/>
          <w:lang w:val="en-US" w:eastAsia="zh-CN" w:bidi="ar-SA"/>
        </w:rPr>
        <w:t>本单位2023年度无政府性基金预算财政拨款收支。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（六）国有资本经营预算财政拨款支出决算情况说明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1"/>
          <w:rFonts w:hint="eastAsia" w:ascii="Times New Roman" w:hAnsi="Times New Roman" w:eastAsia="方正仿宋_GBK" w:cs="Times New Roman"/>
          <w:b w:val="0"/>
          <w:bCs w:val="0"/>
          <w:sz w:val="32"/>
          <w:szCs w:val="32"/>
          <w:shd w:val="clear" w:color="auto" w:fill="FFFFFF"/>
          <w:lang w:val="en-US" w:eastAsia="zh-CN" w:bidi="ar-SA"/>
        </w:rPr>
        <w:t>本单位 2023年度无国有资本经营预算财政支出。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Fonts w:hint="eastAsia" w:ascii="Times New Roman" w:hAnsi="Times New Roman" w:eastAsia="方正黑体_GBK"/>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Fonts w:hint="eastAsia" w:ascii="Times New Roman" w:hAnsi="Times New Roman" w:eastAsia="方正黑体_GBK"/>
          <w:sz w:val="32"/>
          <w:szCs w:val="32"/>
        </w:rPr>
        <w:t xml:space="preserve"> 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1"/>
          <w:rFonts w:hint="eastAsia" w:ascii="Times New Roman" w:hAnsi="Times New Roman" w:eastAsia="方正仿宋_GBK" w:cs="Times New Roman"/>
          <w:b w:val="0"/>
          <w:bCs w:val="0"/>
          <w:sz w:val="32"/>
          <w:szCs w:val="32"/>
          <w:shd w:val="clear" w:color="auto" w:fill="FFFFFF"/>
          <w:lang w:val="en-US" w:eastAsia="zh-CN" w:bidi="ar-SA"/>
        </w:rPr>
        <w:t>2023年度“三公”经费支出共计0.45万元，较年初预算数减少1.55万元，下降77.50%，主要原因是公务接待减少。较上年支出数减少1.50万元，下降76.92%，主要原因是主要原因一是认真贯彻落实中央八项规定精神和厉行节约要求，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大幅下降。</w:t>
      </w:r>
    </w:p>
    <w:p>
      <w:pPr>
        <w:pStyle w:val="7"/>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（二）“三公”经费分项支出情况</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2023年度本单位因公出国（境）费用0.00万元。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公务</w:t>
      </w:r>
      <w:r>
        <w:rPr>
          <w:rStyle w:val="11"/>
          <w:rFonts w:hint="eastAsia" w:ascii="Times New Roman" w:hAnsi="Times New Roman" w:eastAsia="方正仿宋_GBK" w:cs="Times New Roman"/>
          <w:b w:val="0"/>
          <w:bCs w:val="0"/>
          <w:sz w:val="32"/>
          <w:szCs w:val="32"/>
          <w:shd w:val="clear" w:color="auto" w:fill="FFFFFF"/>
          <w:lang w:eastAsia="zh-CN"/>
        </w:rPr>
        <w:t>用</w:t>
      </w:r>
      <w:r>
        <w:rPr>
          <w:rStyle w:val="11"/>
          <w:rFonts w:hint="eastAsia" w:ascii="Times New Roman" w:hAnsi="Times New Roman" w:eastAsia="方正仿宋_GBK" w:cs="Times New Roman"/>
          <w:b w:val="0"/>
          <w:bCs w:val="0"/>
          <w:sz w:val="32"/>
          <w:szCs w:val="32"/>
          <w:shd w:val="clear" w:color="auto" w:fill="FFFFFF"/>
        </w:rPr>
        <w:t>车购置费0.00万元。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公务</w:t>
      </w:r>
      <w:r>
        <w:rPr>
          <w:rStyle w:val="11"/>
          <w:rFonts w:hint="eastAsia" w:ascii="Times New Roman" w:hAnsi="Times New Roman" w:eastAsia="方正仿宋_GBK" w:cs="Times New Roman"/>
          <w:b w:val="0"/>
          <w:bCs w:val="0"/>
          <w:sz w:val="32"/>
          <w:szCs w:val="32"/>
          <w:shd w:val="clear" w:color="auto" w:fill="FFFFFF"/>
          <w:lang w:eastAsia="zh-CN"/>
        </w:rPr>
        <w:t>用</w:t>
      </w:r>
      <w:r>
        <w:rPr>
          <w:rStyle w:val="11"/>
          <w:rFonts w:hint="eastAsia" w:ascii="Times New Roman" w:hAnsi="Times New Roman" w:eastAsia="方正仿宋_GBK" w:cs="Times New Roman"/>
          <w:b w:val="0"/>
          <w:bCs w:val="0"/>
          <w:sz w:val="32"/>
          <w:szCs w:val="32"/>
          <w:shd w:val="clear" w:color="auto" w:fill="FFFFFF"/>
        </w:rPr>
        <w:t>车运行维护费0.00万元。</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公务接待费0.45万元，主要用于接待我园联系工作的人员发生的费用。费用支出较年初预算数减少1.55万元，下降77.50%，主要原因是在年初预算的基础上减少了一些不必要的接待。较上年支出数减少1.50万元，下降76.92%，主要原因是严格执行中央八项</w:t>
      </w:r>
      <w:r>
        <w:rPr>
          <w:rStyle w:val="11"/>
          <w:rFonts w:hint="eastAsia" w:ascii="Times New Roman" w:hAnsi="Times New Roman" w:eastAsia="方正仿宋_GBK" w:cs="Times New Roman"/>
          <w:b w:val="0"/>
          <w:bCs w:val="0"/>
          <w:sz w:val="32"/>
          <w:szCs w:val="32"/>
          <w:shd w:val="clear" w:color="auto" w:fill="FFFFFF"/>
          <w:lang w:eastAsia="zh-CN"/>
        </w:rPr>
        <w:t>规定精神</w:t>
      </w:r>
      <w:r>
        <w:rPr>
          <w:rStyle w:val="11"/>
          <w:rFonts w:hint="eastAsia" w:ascii="Times New Roman" w:hAnsi="Times New Roman" w:eastAsia="方正仿宋_GBK" w:cs="Times New Roman"/>
          <w:b w:val="0"/>
          <w:bCs w:val="0"/>
          <w:sz w:val="32"/>
          <w:szCs w:val="32"/>
          <w:shd w:val="clear" w:color="auto" w:fill="FFFFFF"/>
        </w:rPr>
        <w:t>，力争“三公”经费只减不增。</w:t>
      </w:r>
    </w:p>
    <w:p>
      <w:pPr>
        <w:pStyle w:val="7"/>
        <w:snapToGrid w:val="0"/>
        <w:spacing w:before="0" w:beforeAutospacing="0" w:after="0" w:afterAutospacing="0" w:line="579" w:lineRule="exact"/>
        <w:ind w:firstLine="640" w:firstLineChars="200"/>
        <w:jc w:val="both"/>
        <w:rPr>
          <w:rFonts w:hint="eastAsia" w:ascii="Times New Roman" w:hAnsi="Times New Roman" w:eastAsia="方正楷体_GBK"/>
          <w:sz w:val="32"/>
          <w:szCs w:val="32"/>
        </w:rPr>
      </w:pPr>
      <w:r>
        <w:rPr>
          <w:rFonts w:hint="eastAsia" w:ascii="Times New Roman" w:hAnsi="Times New Roman" w:eastAsia="方正楷体_GBK"/>
          <w:sz w:val="32"/>
          <w:szCs w:val="32"/>
        </w:rPr>
        <w:t>（三）“三公”经费实物量情况</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2023年度本单位因公出国（境）共计0个团组，0人；公务用车购置0辆，公务</w:t>
      </w:r>
      <w:r>
        <w:rPr>
          <w:rStyle w:val="11"/>
          <w:rFonts w:hint="eastAsia" w:ascii="Times New Roman" w:hAnsi="Times New Roman" w:eastAsia="方正仿宋_GBK" w:cs="Times New Roman"/>
          <w:b w:val="0"/>
          <w:bCs w:val="0"/>
          <w:sz w:val="32"/>
          <w:szCs w:val="32"/>
          <w:shd w:val="clear" w:color="auto" w:fill="FFFFFF"/>
          <w:lang w:eastAsia="zh-CN"/>
        </w:rPr>
        <w:t>用</w:t>
      </w:r>
      <w:bookmarkStart w:id="0" w:name="_GoBack"/>
      <w:bookmarkEnd w:id="0"/>
      <w:r>
        <w:rPr>
          <w:rStyle w:val="11"/>
          <w:rFonts w:hint="eastAsia" w:ascii="Times New Roman" w:hAnsi="Times New Roman" w:eastAsia="方正仿宋_GBK" w:cs="Times New Roman"/>
          <w:b w:val="0"/>
          <w:bCs w:val="0"/>
          <w:sz w:val="32"/>
          <w:szCs w:val="32"/>
          <w:shd w:val="clear" w:color="auto" w:fill="FFFFFF"/>
        </w:rPr>
        <w:t>车保有量为0辆；国内公务接待5批次100人，其中：国内外事接待0批次，0人；国（境）外公务接待0批次，0人。2023年本单位人均接待费44.56元，车均购置费0万元，车均维护费0万元。</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Fonts w:hint="eastAsia" w:ascii="Times New Roman" w:hAnsi="Times New Roman" w:eastAsia="方正黑体_GBK"/>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Fonts w:hint="eastAsia" w:ascii="Times New Roman" w:hAnsi="Times New Roman" w:eastAsia="方正黑体_GBK"/>
          <w:sz w:val="32"/>
          <w:szCs w:val="32"/>
        </w:rPr>
        <w:t xml:space="preserve"> 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（一）财政拨款会议费和培训费情况说明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val="0"/>
          <w:sz w:val="32"/>
          <w:szCs w:val="32"/>
          <w:shd w:val="clear" w:color="auto" w:fill="FFFFFF"/>
          <w:lang w:val="en-US" w:eastAsia="zh-CN" w:bidi="ar-SA"/>
        </w:rPr>
      </w:pPr>
      <w:r>
        <w:rPr>
          <w:rStyle w:val="11"/>
          <w:rFonts w:hint="eastAsia" w:ascii="Times New Roman" w:hAnsi="Times New Roman" w:eastAsia="方正仿宋_GBK" w:cs="Times New Roman"/>
          <w:b w:val="0"/>
          <w:bCs w:val="0"/>
          <w:sz w:val="32"/>
          <w:szCs w:val="32"/>
          <w:shd w:val="clear" w:color="auto" w:fill="FFFFFF"/>
          <w:lang w:val="en-US" w:eastAsia="zh-CN" w:bidi="ar-SA"/>
        </w:rPr>
        <w:t>本年度会议费支出0.00万元，较上年决算数减少5.00万元，下降100.00%，主要原因是年初预算时没有编制预算。本年度培训费支出3.00万元，较上年决算数减少12.71万元，下降80.90%，主要原因是网上培训的方式增多，节约了培训费用。</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（二）机关运行经费情况说明</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按照部门决算列报口径，我单位不在机关运行经费统计范围之内。</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Style w:val="11"/>
          <w:rFonts w:hint="eastAsia" w:ascii="Times New Roman" w:hAnsi="Times New Roman" w:eastAsia="方正仿宋_GBK" w:cs="Times New Roman"/>
          <w:b w:val="0"/>
          <w:bCs w:val="0"/>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（四）政府采购支出情况说明</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rPr>
      </w:pPr>
      <w:r>
        <w:rPr>
          <w:rStyle w:val="11"/>
          <w:rFonts w:hint="eastAsia" w:ascii="Times New Roman" w:hAnsi="Times New Roman" w:eastAsia="方正仿宋_GBK" w:cs="Times New Roman"/>
          <w:b w:val="0"/>
          <w:bCs w:val="0"/>
          <w:sz w:val="32"/>
          <w:szCs w:val="32"/>
          <w:shd w:val="clear" w:color="auto" w:fill="FFFFFF"/>
        </w:rPr>
        <w:t>2023年度本单位政府采购支出总额131.22万元，其中：政府采购货物支出131.22万元、政府采购工程支出0.00万元、政府采购服务支出0.00万元。授予中小企业合同金额131.22万元，占政府采购支出总额的100.00%，其中：授予小微企业合同金额130.79万元，占政府采购支出总额的99.67 %。主要用于</w:t>
      </w:r>
      <w:r>
        <w:rPr>
          <w:rStyle w:val="11"/>
          <w:rFonts w:hint="eastAsia" w:ascii="Times New Roman" w:hAnsi="Times New Roman" w:eastAsia="方正仿宋_GBK" w:cs="Times New Roman"/>
          <w:b w:val="0"/>
          <w:bCs w:val="0"/>
          <w:sz w:val="32"/>
          <w:szCs w:val="32"/>
          <w:highlight w:val="none"/>
          <w:shd w:val="clear" w:color="auto" w:fill="FFFFFF"/>
        </w:rPr>
        <w:t>采购</w:t>
      </w:r>
      <w:r>
        <w:rPr>
          <w:rStyle w:val="11"/>
          <w:rFonts w:hint="eastAsia" w:ascii="Times New Roman" w:hAnsi="Times New Roman" w:eastAsia="方正仿宋_GBK" w:cs="Times New Roman"/>
          <w:b w:val="0"/>
          <w:bCs w:val="0"/>
          <w:sz w:val="32"/>
          <w:szCs w:val="32"/>
          <w:shd w:val="clear" w:color="auto" w:fill="FFFFFF"/>
        </w:rPr>
        <w:t>幼儿课程教材，教辅资料，办公用品等。</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textAlignment w:val="auto"/>
        <w:rPr>
          <w:rFonts w:hint="eastAsia" w:ascii="Times New Roman" w:hAnsi="Times New Roman" w:eastAsia="方正黑体_GBK"/>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Fonts w:hint="eastAsia" w:ascii="Times New Roman" w:hAnsi="Times New Roman" w:eastAsia="方正黑体_GBK"/>
          <w:sz w:val="32"/>
          <w:szCs w:val="32"/>
        </w:rPr>
        <w:t>五、预算绩效管理情况说明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lang w:val="en-US" w:eastAsia="zh-CN" w:bidi="ar-SA"/>
        </w:rPr>
      </w:pPr>
      <w:r>
        <w:rPr>
          <w:rStyle w:val="11"/>
          <w:rFonts w:hint="eastAsia" w:ascii="Times New Roman" w:hAnsi="Times New Roman" w:eastAsia="方正仿宋_GBK" w:cs="Times New Roman"/>
          <w:b w:val="0"/>
          <w:bCs w:val="0"/>
          <w:sz w:val="32"/>
          <w:szCs w:val="32"/>
          <w:shd w:val="clear" w:color="auto" w:fill="FFFFFF"/>
          <w:lang w:val="en-US" w:eastAsia="zh-CN" w:bidi="ar-SA"/>
        </w:rPr>
        <w:t>根据预算绩效管理要求，我单位对部门整体和4个二级项目开展了绩效自评，涉及财政拨款项目支出资金267.108万元。</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我单位未组织开展绩效评价。</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县</w:t>
      </w:r>
      <w:r>
        <w:rPr>
          <w:rFonts w:hint="eastAsia" w:ascii="方正仿宋_GBK" w:hAnsi="方正仿宋_GBK" w:eastAsia="方正仿宋_GBK" w:cs="方正仿宋_GBK"/>
          <w:b w:val="0"/>
          <w:bCs w:val="0"/>
          <w:sz w:val="32"/>
          <w:szCs w:val="32"/>
          <w:shd w:val="clear" w:color="auto" w:fill="FFFFFF"/>
        </w:rPr>
        <w:t>财政局未委托第三方对我单位开展绩效评价。</w:t>
      </w:r>
    </w:p>
    <w:p>
      <w:pPr>
        <w:pStyle w:val="7"/>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专业名词解释</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（二）事业收入：</w:t>
      </w:r>
      <w:r>
        <w:rPr>
          <w:rFonts w:hint="eastAsia" w:ascii="方正仿宋_GBK" w:hAnsi="方正仿宋_GBK"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（三）经营收入：</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（四）其他收入：</w:t>
      </w:r>
      <w:r>
        <w:rPr>
          <w:rFonts w:hint="eastAsia" w:ascii="方正仿宋_GBK" w:hAnsi="方正仿宋_GBK" w:eastAsia="方正仿宋_GBK" w:cs="方正仿宋_GBK"/>
          <w:b w:val="0"/>
          <w:bCs w:val="0"/>
          <w:sz w:val="32"/>
          <w:szCs w:val="32"/>
          <w:shd w:val="clear" w:color="auto" w:fill="FFFFFF"/>
        </w:rPr>
        <w:t>指单位取得的除“财政拨款收入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（五）使用非财政拨款结余：</w:t>
      </w:r>
      <w:r>
        <w:rPr>
          <w:rFonts w:hint="eastAsia" w:ascii="方正仿宋_GBK" w:hAnsi="方正仿宋_GBK" w:eastAsia="方正仿宋_GBK" w:cs="方正仿宋_GBK"/>
          <w:b w:val="0"/>
          <w:bCs w:val="0"/>
          <w:sz w:val="32"/>
          <w:szCs w:val="32"/>
          <w:shd w:val="clear" w:color="auto" w:fill="FFFFFF"/>
        </w:rPr>
        <w:t>指单位在当年的“财政拨款收入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事业收入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经营收入</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rPr>
        <w:t>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（六）年初结转和结余：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（七）结余分配：</w:t>
      </w:r>
      <w:r>
        <w:rPr>
          <w:rFonts w:hint="eastAsia"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（八）年末结转和结余：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（九）基本支出：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w:t>
      </w:r>
      <w:r>
        <w:rPr>
          <w:rFonts w:hint="eastAsia" w:ascii="方正仿宋_GBK" w:hAnsi="方正仿宋_GBK" w:eastAsia="方正仿宋_GBK" w:cs="方正仿宋_GBK"/>
          <w:b w:val="0"/>
          <w:bCs w:val="0"/>
          <w:sz w:val="32"/>
          <w:szCs w:val="32"/>
          <w:highlight w:val="none"/>
          <w:shd w:val="clear" w:color="auto" w:fill="FFFFFF"/>
        </w:rPr>
        <w:t>发生的人员</w:t>
      </w:r>
      <w:r>
        <w:rPr>
          <w:rFonts w:hint="eastAsia" w:ascii="方正仿宋_GBK" w:hAnsi="方正仿宋_GBK" w:eastAsia="方正仿宋_GBK" w:cs="方正仿宋_GBK"/>
          <w:b w:val="0"/>
          <w:bCs w:val="0"/>
          <w:sz w:val="32"/>
          <w:szCs w:val="32"/>
          <w:shd w:val="clear" w:color="auto" w:fill="FFFFFF"/>
        </w:rPr>
        <w:t>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（十）项目支出：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（十一）经营支出：</w:t>
      </w:r>
      <w:r>
        <w:rPr>
          <w:rFonts w:hint="eastAsia" w:ascii="方正仿宋_GBK" w:hAnsi="方正仿宋_GBK" w:eastAsia="方正仿宋_GBK" w:cs="方正仿宋_GBK"/>
          <w:b w:val="0"/>
          <w:bCs w:val="0"/>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Style w:val="11"/>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Times New Roman" w:hAnsi="Times New Roman" w:eastAsia="方正楷体_GBK"/>
          <w:sz w:val="32"/>
          <w:szCs w:val="32"/>
        </w:rPr>
        <w:t>（十二）“三公”经费：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Fonts w:hint="eastAsia" w:ascii="Times New Roman" w:hAnsi="Times New Roman" w:eastAsia="方正楷体_GBK"/>
          <w:sz w:val="32"/>
          <w:szCs w:val="32"/>
        </w:rPr>
        <w:t>（十三）机关运行经费：</w:t>
      </w:r>
      <w:r>
        <w:rPr>
          <w:rFonts w:hint="eastAsia" w:ascii="方正仿宋_GBK" w:hAnsi="方正仿宋_GBK" w:eastAsia="方正仿宋_GBK" w:cs="方正仿宋_GBK"/>
          <w:b w:val="0"/>
          <w:bCs w:val="0"/>
          <w:sz w:val="32"/>
          <w:szCs w:val="32"/>
          <w:shd w:val="clear" w:color="auto" w:fill="FFFFFF"/>
        </w:rPr>
        <w:t>为保障行政单位（含</w:t>
      </w:r>
      <w:r>
        <w:rPr>
          <w:rFonts w:hint="eastAsia" w:ascii="方正仿宋_GBK" w:hAnsi="方正仿宋_GBK" w:eastAsia="方正仿宋_GBK" w:cs="方正仿宋_GBK"/>
          <w:b w:val="0"/>
          <w:bCs w:val="0"/>
          <w:sz w:val="32"/>
          <w:szCs w:val="32"/>
          <w:highlight w:val="none"/>
          <w:shd w:val="clear" w:color="auto" w:fill="FFFFFF"/>
        </w:rPr>
        <w:t>参照公务员法管理</w:t>
      </w:r>
      <w:r>
        <w:rPr>
          <w:rFonts w:hint="eastAsia" w:ascii="方正仿宋_GBK" w:hAnsi="方正仿宋_GBK" w:eastAsia="方正仿宋_GBK" w:cs="方正仿宋_GBK"/>
          <w:b w:val="0"/>
          <w:bCs w:val="0"/>
          <w:sz w:val="32"/>
          <w:szCs w:val="32"/>
          <w:shd w:val="clear" w:color="auto" w:fill="FFFFFF"/>
        </w:rPr>
        <w:t>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b w:val="0"/>
          <w:bCs w:val="0"/>
          <w:sz w:val="32"/>
          <w:szCs w:val="32"/>
        </w:rPr>
      </w:pPr>
      <w:r>
        <w:rPr>
          <w:rStyle w:val="11"/>
          <w:rFonts w:hint="eastAsia" w:ascii="方正仿宋_GBK" w:hAnsi="方正仿宋_GBK" w:eastAsia="方正仿宋_GBK" w:cs="方正仿宋_GBK"/>
          <w:b w:val="0"/>
          <w:bCs w:val="0"/>
          <w:sz w:val="32"/>
          <w:szCs w:val="32"/>
          <w:shd w:val="clear" w:color="auto" w:fill="FFFFFF"/>
        </w:rPr>
        <w:t xml:space="preserve">    </w:t>
      </w:r>
      <w:r>
        <w:rPr>
          <w:rFonts w:hint="eastAsia" w:ascii="Times New Roman" w:hAnsi="Times New Roman" w:eastAsia="方正楷体_GBK"/>
          <w:sz w:val="32"/>
          <w:szCs w:val="32"/>
        </w:rPr>
        <w:t>（十四）工资福利支出（支出经济分类科目类级）：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（十五）商品和服务支出（支出经济分类科目类级）：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（十六）对个人和家庭的补助（支出经济分类科目类级）：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楷体_GBK"/>
          <w:sz w:val="32"/>
          <w:szCs w:val="32"/>
        </w:rPr>
        <w:t>（十七）其他资本性支出（支出经济分类科目类级）：</w:t>
      </w:r>
      <w:r>
        <w:rPr>
          <w:rFonts w:hint="eastAsia"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Style w:val="11"/>
          <w:rFonts w:hint="eastAsia" w:ascii="方正仿宋_GBK" w:hAnsi="方正仿宋_GBK" w:eastAsia="方正仿宋_GBK" w:cs="方正仿宋_GBK"/>
          <w:b w:val="0"/>
          <w:bCs w:val="0"/>
          <w:sz w:val="32"/>
          <w:szCs w:val="32"/>
          <w:shd w:val="clear" w:color="auto" w:fill="FFFFFF"/>
        </w:rPr>
      </w:pPr>
      <w:r>
        <w:rPr>
          <w:rFonts w:hint="eastAsia" w:ascii="Times New Roman" w:hAnsi="Times New Roman" w:eastAsia="方正黑体_GBK"/>
          <w:sz w:val="32"/>
          <w:szCs w:val="32"/>
        </w:rPr>
        <w:t>七、决算公开联系方式及信息反馈渠道</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Style w:val="11"/>
          <w:rFonts w:hint="eastAsia" w:ascii="Times New Roman" w:hAnsi="Times New Roman" w:eastAsia="方正仿宋_GBK" w:cs="Times New Roman"/>
          <w:b w:val="0"/>
          <w:bCs w:val="0"/>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rPr>
        <w:t>本单位决算公开信息反馈和联系方式：李华</w:t>
      </w:r>
      <w:r>
        <w:rPr>
          <w:rFonts w:hint="eastAsia" w:ascii="方正仿宋_GBK" w:hAnsi="方正仿宋_GBK" w:eastAsia="方正仿宋_GBK" w:cs="方正仿宋_GBK"/>
          <w:b w:val="0"/>
          <w:bCs w:val="0"/>
          <w:sz w:val="32"/>
          <w:szCs w:val="32"/>
          <w:shd w:val="clear" w:color="auto" w:fill="FFFFFF"/>
          <w:lang w:eastAsia="zh-CN"/>
        </w:rPr>
        <w:t>：</w:t>
      </w:r>
      <w:r>
        <w:rPr>
          <w:rStyle w:val="11"/>
          <w:rFonts w:hint="eastAsia" w:ascii="Times New Roman" w:hAnsi="Times New Roman" w:eastAsia="方正仿宋_GBK" w:cs="Times New Roman"/>
          <w:b w:val="0"/>
          <w:bCs w:val="0"/>
          <w:sz w:val="32"/>
          <w:szCs w:val="32"/>
          <w:shd w:val="clear" w:color="auto" w:fill="FFFFFF"/>
          <w:lang w:val="en-US" w:eastAsia="zh-CN" w:bidi="ar-SA"/>
        </w:rPr>
        <w:t>023-59223829</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1"/>
          <w:rFonts w:hint="eastAsia" w:ascii="Times New Roman" w:hAnsi="Times New Roman" w:eastAsia="方正仿宋_GBK" w:cs="Times New Roman"/>
          <w:b w:val="0"/>
          <w:bCs w:val="0"/>
          <w:sz w:val="32"/>
          <w:szCs w:val="32"/>
          <w:shd w:val="clear" w:color="auto" w:fill="FFFFFF"/>
          <w:lang w:val="en-US" w:eastAsia="zh-CN" w:bidi="ar-SA"/>
        </w:rPr>
      </w:pP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1"/>
          <w:rFonts w:hint="eastAsia" w:ascii="Times New Roman" w:hAnsi="Times New Roman" w:eastAsia="方正仿宋_GBK" w:cs="Times New Roman"/>
          <w:b w:val="0"/>
          <w:bCs w:val="0"/>
          <w:sz w:val="32"/>
          <w:szCs w:val="32"/>
          <w:shd w:val="clear" w:color="auto" w:fill="FFFFFF"/>
          <w:lang w:val="en-US" w:eastAsia="zh-CN" w:bidi="ar-SA"/>
        </w:rPr>
      </w:pP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1"/>
          <w:rFonts w:hint="default" w:ascii="Times New Roman" w:hAnsi="Times New Roman" w:eastAsia="方正仿宋_GBK" w:cs="Times New Roman"/>
          <w:b w:val="0"/>
          <w:bCs w:val="0"/>
          <w:sz w:val="32"/>
          <w:szCs w:val="32"/>
          <w:shd w:val="clear" w:color="auto" w:fill="FFFFFF"/>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Style w:val="11"/>
          <w:rFonts w:hint="eastAsia" w:ascii="Times New Roman" w:hAnsi="Times New Roman" w:eastAsia="方正仿宋_GBK" w:cs="Times New Roman"/>
          <w:b w:val="0"/>
          <w:bCs w:val="0"/>
          <w:sz w:val="32"/>
          <w:szCs w:val="32"/>
          <w:shd w:val="clear" w:color="auto" w:fill="FFFFFF"/>
          <w:lang w:val="en-US" w:eastAsia="zh-CN" w:bidi="ar-SA"/>
        </w:rPr>
        <w:t>（主动公开）</w:t>
      </w: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重庆市城口县示范幼儿园</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1,976.11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959.54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2,715.19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307.81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246.42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38.66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77.89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3,243.46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3,092.24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338.32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489.54</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3,581.78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3,581.78</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重庆市城口县示范幼儿园</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3,243.46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1,976.11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959.54</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307.81</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2,866.40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1,599.06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959.54</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307.81</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2,866.40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1,599.06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959.54</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307.81</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2,866.40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1,599.06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959.54</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307.81</w:t>
            </w: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重庆市城口县示范幼儿园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3,092.24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2,813.45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278.79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2,436.40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278.79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2,715.19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2,436.40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278.79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2,715.19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2,436.40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278.79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246.42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重庆市城口县示范幼儿园</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1,599.06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1,599.06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246.42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重庆市城口县示范幼儿园</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1,976.11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1,697.32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278.79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1,599.06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1,320.27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278.79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1,599.06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1,320.27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278.79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1,599.06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1,320.27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278.79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246.42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103.85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90.64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90.64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38.66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77.89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重庆市城口县示范幼儿园</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1,468.14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131.52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363.25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w:t>
            </w:r>
            <w:r>
              <w:rPr>
                <w:rFonts w:cs="宋体"/>
                <w:color w:val="000000"/>
                <w:sz w:val="18"/>
                <w:szCs w:val="18"/>
                <w:highlight w:val="none"/>
              </w:rPr>
              <w:t>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1,565.80</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131.52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重庆市城口县示范幼儿园</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重庆市城口县示范幼儿园</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重庆市城口县示范幼儿园</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w:t>
            </w:r>
            <w:r>
              <w:rPr>
                <w:rFonts w:cs="宋体"/>
                <w:color w:val="000000"/>
                <w:sz w:val="16"/>
                <w:szCs w:val="16"/>
                <w:highlight w:val="none"/>
              </w:rPr>
              <w:t>参照公务员法管理</w:t>
            </w:r>
            <w:r>
              <w:rPr>
                <w:rFonts w:cs="宋体"/>
                <w:color w:val="000000"/>
                <w:sz w:val="16"/>
                <w:szCs w:val="16"/>
              </w:rPr>
              <w:t>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131.22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131.22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131.22</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130.79</w:t>
            </w: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w:t>
      </w:r>
      <w:r>
        <w:rPr>
          <w:rFonts w:cs="宋体"/>
          <w:sz w:val="20"/>
          <w:szCs w:val="20"/>
          <w:highlight w:val="none"/>
        </w:rPr>
        <w:t>预算数</w:t>
      </w:r>
      <w:r>
        <w:rPr>
          <w:rFonts w:cs="宋体"/>
          <w:sz w:val="20"/>
          <w:szCs w:val="20"/>
        </w:rPr>
        <w:t>为“三公”经费全年预算数，反映按规定程序调整后的</w:t>
      </w:r>
      <w:r>
        <w:rPr>
          <w:rFonts w:cs="宋体"/>
          <w:sz w:val="20"/>
          <w:szCs w:val="20"/>
          <w:highlight w:val="none"/>
        </w:rPr>
        <w:t>预算数</w:t>
      </w:r>
      <w:r>
        <w:rPr>
          <w:rFonts w:cs="宋体"/>
          <w:sz w:val="20"/>
          <w:szCs w:val="20"/>
        </w:rPr>
        <w:t>；决算数为包括本年度财政拨款和以前年度结转资金安排的实际支出。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E030D"/>
    <w:multiLevelType w:val="singleLevel"/>
    <w:tmpl w:val="7C6E030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318EF"/>
    <w:rsid w:val="001708B8"/>
    <w:rsid w:val="001A0DC6"/>
    <w:rsid w:val="001D3BB7"/>
    <w:rsid w:val="00205F24"/>
    <w:rsid w:val="002B254B"/>
    <w:rsid w:val="003603D2"/>
    <w:rsid w:val="00393389"/>
    <w:rsid w:val="00466C9B"/>
    <w:rsid w:val="00550ABE"/>
    <w:rsid w:val="006F17C5"/>
    <w:rsid w:val="00770383"/>
    <w:rsid w:val="007819D4"/>
    <w:rsid w:val="00793EFA"/>
    <w:rsid w:val="007B419D"/>
    <w:rsid w:val="007B7C4B"/>
    <w:rsid w:val="007D3D39"/>
    <w:rsid w:val="00994AF7"/>
    <w:rsid w:val="009B67B8"/>
    <w:rsid w:val="009D2B67"/>
    <w:rsid w:val="00A566F9"/>
    <w:rsid w:val="00AE5591"/>
    <w:rsid w:val="00AF2751"/>
    <w:rsid w:val="00B03CCD"/>
    <w:rsid w:val="00B35D83"/>
    <w:rsid w:val="00BE2B89"/>
    <w:rsid w:val="00C10E9E"/>
    <w:rsid w:val="00C20C3E"/>
    <w:rsid w:val="00CA4962"/>
    <w:rsid w:val="00CF2ACF"/>
    <w:rsid w:val="00DB7341"/>
    <w:rsid w:val="00F2009B"/>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1249E"/>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970F21"/>
    <w:rsid w:val="5AD134D8"/>
    <w:rsid w:val="5C263CE4"/>
    <w:rsid w:val="5C5D2777"/>
    <w:rsid w:val="5CF66BF3"/>
    <w:rsid w:val="5D290C69"/>
    <w:rsid w:val="5F2D4A41"/>
    <w:rsid w:val="5FBA3F42"/>
    <w:rsid w:val="60C74F6C"/>
    <w:rsid w:val="61025A59"/>
    <w:rsid w:val="613D5BBC"/>
    <w:rsid w:val="61536C39"/>
    <w:rsid w:val="62944DD7"/>
    <w:rsid w:val="6319381F"/>
    <w:rsid w:val="63C25DC5"/>
    <w:rsid w:val="63C62057"/>
    <w:rsid w:val="64571EF5"/>
    <w:rsid w:val="64FB113D"/>
    <w:rsid w:val="656152C6"/>
    <w:rsid w:val="6587477F"/>
    <w:rsid w:val="658C3A08"/>
    <w:rsid w:val="658D12D2"/>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0E304D"/>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7FC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5"/>
    <w:basedOn w:val="1"/>
    <w:next w:val="1"/>
    <w:link w:val="17"/>
    <w:qFormat/>
    <w:uiPriority w:val="0"/>
    <w:pPr>
      <w:spacing w:before="100" w:beforeAutospacing="1" w:after="100" w:afterAutospacing="1"/>
      <w:outlineLvl w:val="4"/>
    </w:pPr>
    <w:rPr>
      <w:rFonts w:hint="default" w:cs="宋体"/>
      <w:b/>
      <w:bCs/>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标题 5 Char"/>
    <w:basedOn w:val="10"/>
    <w:link w:val="2"/>
    <w:qFormat/>
    <w:uiPriority w:val="0"/>
    <w:rPr>
      <w:rFonts w:ascii="宋体" w:hAnsi="宋体" w:cs="宋体"/>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4861</Words>
  <Characters>5793</Characters>
  <Lines>92</Lines>
  <Paragraphs>25</Paragraphs>
  <TotalTime>320</TotalTime>
  <ScaleCrop>false</ScaleCrop>
  <LinksUpToDate>false</LinksUpToDate>
  <CharactersWithSpaces>6082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ckuos</cp:lastModifiedBy>
  <dcterms:modified xsi:type="dcterms:W3CDTF">2024-11-26T20:39:55Z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