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重庆市城口县坪坝初级中学</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2023年度决算公开说明</w:t>
      </w:r>
    </w:p>
    <w:p>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jc w:val="center"/>
        <w:textAlignment w:val="auto"/>
        <w:rPr>
          <w:rFonts w:hint="eastAsia" w:ascii="Times New Roman" w:hAnsi="Times New Roman" w:eastAsia="方正小标宋_GBK"/>
          <w:sz w:val="44"/>
          <w:szCs w:val="44"/>
        </w:r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7"/>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城口县坪坝初级中学是经城口县编制委员会批准成立的，在县教育委员会领导下的一所中学，实施初中教育。</w:t>
      </w:r>
    </w:p>
    <w:p>
      <w:pPr>
        <w:pStyle w:val="7"/>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我校属于独立编制结构，独立核算机构。</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sz w:val="32"/>
          <w:szCs w:val="32"/>
        </w:rPr>
        <w:t>二、单位决算情况说明</w:t>
      </w:r>
    </w:p>
    <w:p>
      <w:pPr>
        <w:pStyle w:val="12"/>
        <w:keepNext w:val="0"/>
        <w:keepLines w:val="0"/>
        <w:pageBreakBefore w:val="0"/>
        <w:widowControl/>
        <w:kinsoku/>
        <w:wordWrap/>
        <w:overflowPunct/>
        <w:topLinePunct w:val="0"/>
        <w:autoSpaceDE w:val="0"/>
        <w:autoSpaceDN/>
        <w:bidi w:val="0"/>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r>
        <w:rPr>
          <w:rStyle w:val="11"/>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1.</w:t>
      </w:r>
      <w:r>
        <w:rPr>
          <w:rStyle w:val="11"/>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总体情况。</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2023年度收入总计1959.31万元，支出总计1959.31万元。收支较上年决算数增加248.40万元，增长14.52%，主要原因是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2.收入情况。2023年度收入合计1904.19万元，较上年决算数增加193.28万元，增长11.30%，主要原因是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其中：财政拨款收入1794.05万元，占94.22%；事业收入0.00万元，占0.00%；经营收入0.00万元，占0.00%；其他收入110.14万元，占5.78%。此外，使用非财政拨款结余和专用结余0.00万元，年初结转和结余55.12万元。</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3.支出情况。2023年度支出合计1894.96万元，较上年决算数增加239.17万元，增长14.44%，主要原因是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。其中：基本支出1708.30万元，占90.15%；项目支出186.66万元，占9.85%；经营支出0.00万元，占0.00%。此外，结余分配0.00万元。</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4.结转结余情况。2023年度年末结转和结余64.35万元，较上年决算数增加9.23万元，增长16.75%，主要原因是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其他收入结余未实现支出</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2023年度财政拨款收、支总计1794.05万元。与2022年相比，财政拨款收、支总计各增加196.27万元，增长12.28%。主要原因是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1.收入情况。2023年度一般公共预算财政拨款收入1794.05万元，较上年决算数增加196.27万元，增长12.28%。主要原因是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。较年初预算数减少5.14万元，下降0.29%。主要原因是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学生人数减少，预算减少</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。此外，年初财政拨款结转和结余0.00万元。</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2.支出情况。2023年度一般公共预算财政拨款支出1794.05万元，较上年决算数增加196.27万元，增长12.28%。主要原因是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。较年初预算数减少5.14万元，下降0.29%。主要原因是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学生人数减少，预算减少。</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3.结转结余情况。2023年度年末一般公共预算财政拨款结转和结余0.00万元，较上年决算数无增减</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 xml:space="preserve"> 。</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4.比较情况。本单位2023年度一般公共预算财政拨款支出主要用于以下几个方面：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（1）一般公共服务支出31.23万元，占1.74%，较年初预算数增加24.93万元，增长395.71%，主要原因是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日常公用经费开支增加。</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2</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）教育支出1446.98万元，占80.65%，较年初预算数减少28.10万元，下降1.90%，主要原因是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预发本年度超额绩效。</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3</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）社会保障与就业支出184.10万元，占10.26%，较年初预算数减少1.97万元，下降1.06%，主要原因是在编人员减少。</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4</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）卫生健康支出60.85万元，占3.39%，较年初预算数无增减。</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5</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）住房保障支出70.89万元，占3.95%，较年初预算数无增减。</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2"/>
        <w:keepNext w:val="0"/>
        <w:keepLines w:val="0"/>
        <w:pageBreakBefore w:val="0"/>
        <w:widowControl/>
        <w:kinsoku/>
        <w:wordWrap/>
        <w:overflowPunct/>
        <w:topLinePunct w:val="0"/>
        <w:autoSpaceDN/>
        <w:bidi w:val="0"/>
        <w:adjustRightInd w:val="0"/>
        <w:snapToGrid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 </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t>2023年度一般公共财政拨款基本支出1607.39万元。其中：人员经费1485.35万元，较上年决算数增加307.66万元，增长26.12%，主要原因是人员结构调整。经费用途主要包括基本工资、津贴补贴、绩效工资、社会保障缴费及退休健康休养费等。公用经费122.04万元，较上年决算数减少0.30万元，下降0.25%，主要原因是学生人数减少，预算公用经费减少。公用经费用途主要包括办公费、水电费、差旅费、维修费等。</w:t>
      </w:r>
    </w:p>
    <w:p>
      <w:pPr>
        <w:pStyle w:val="12"/>
        <w:keepNext w:val="0"/>
        <w:keepLines w:val="0"/>
        <w:pageBreakBefore w:val="0"/>
        <w:widowControl/>
        <w:kinsoku/>
        <w:wordWrap/>
        <w:overflowPunct/>
        <w:topLinePunct w:val="0"/>
        <w:autoSpaceDE w:val="0"/>
        <w:autoSpaceDN/>
        <w:bidi w:val="0"/>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t>本部门2022年度无政府性基金预算财政拨款收支。</w:t>
      </w:r>
    </w:p>
    <w:p>
      <w:pPr>
        <w:pStyle w:val="12"/>
        <w:keepNext w:val="0"/>
        <w:keepLines w:val="0"/>
        <w:pageBreakBefore w:val="0"/>
        <w:widowControl/>
        <w:kinsoku/>
        <w:wordWrap/>
        <w:overflowPunct/>
        <w:topLinePunct w:val="0"/>
        <w:autoSpaceDE w:val="0"/>
        <w:autoSpaceDN/>
        <w:bidi w:val="0"/>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2"/>
        <w:keepNext w:val="0"/>
        <w:keepLines w:val="0"/>
        <w:pageBreakBefore w:val="0"/>
        <w:widowControl/>
        <w:kinsoku/>
        <w:wordWrap/>
        <w:overflowPunct/>
        <w:topLinePunct w:val="0"/>
        <w:autoSpaceDN/>
        <w:bidi w:val="0"/>
        <w:adjustRightInd w:val="0"/>
        <w:snapToGrid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t>本部门2022年度无国有资本经营预算财政拨款支出。</w:t>
      </w:r>
    </w:p>
    <w:p>
      <w:pPr>
        <w:pStyle w:val="7"/>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三、“三公”经费情况说明</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2023年度“三公”经费支出共计0.50万元，较年初预算数无增减</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较上年支出数增加0.32万元，增长177.78%，主要原因是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公务接待较上年增加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 </w:t>
      </w:r>
      <w:r>
        <w:rPr>
          <w:rFonts w:hint="default" w:ascii="Times New Roman" w:hAnsi="Times New Roman" w:eastAsia="方正仿宋_GBK" w:cs="Times New Roman"/>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年度未发生因公出国（境）费用。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年度未发生公务用车购置费。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Times New Roman" w:hAnsi="Times New Roman" w:eastAsia="方正仿宋_GBK" w:cs="Times New Roman"/>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年度未发生公务用车运行维护费。</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公务接待费</w:t>
      </w:r>
      <w:bookmarkStart w:id="0" w:name="_GoBack"/>
      <w:bookmarkEnd w:id="0"/>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0.50万元，主要用于</w:t>
      </w:r>
      <w:r>
        <w:rPr>
          <w:rStyle w:val="11"/>
          <w:rFonts w:hint="eastAsia" w:ascii="Times New Roman" w:hAnsi="Times New Roman" w:eastAsia="方正仿宋_GBK" w:cs="Times New Roman"/>
          <w:b w:val="0"/>
          <w:bCs w:val="0"/>
          <w:color w:val="000000" w:themeColor="text1"/>
          <w:sz w:val="32"/>
          <w:szCs w:val="32"/>
          <w:highlight w:val="none"/>
          <w:shd w:val="clear" w:color="auto" w:fill="FFFFFF"/>
          <w14:textFill>
            <w14:solidFill>
              <w14:schemeClr w14:val="tx1"/>
            </w14:solidFill>
          </w14:textFill>
        </w:rPr>
        <w:t>接待</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学校之间教育教学交流活动</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较上年支出数增加0.32万元，增长177.78%，主要原因是</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教育教学交流活动增加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 </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2023年度本单位因公出国（境）共计0个团组，0人；公务用车购置0辆，公务</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用</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车保有量为0辆；国内公务接待10批次80人，其中：国内外事接待0批次，0人；国（境）外公务接待0批次，0人。2023年本单位人均接待费62.50元，车均购置费0万元，车均维护费0万元。</w:t>
      </w:r>
    </w:p>
    <w:p>
      <w:pPr>
        <w:pStyle w:val="7"/>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本年度会议费支出6.50万元，较上年决算数增加2.78万元，增长74.73%，主要原因是会议活动预算</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增加</w:t>
      </w: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。本年度培训费支出3.52万元，较上年决算数减少1.51万元，下降30.02%，主要原因是教师培训相对减少，费用支出减少。</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13"/>
        <w:keepNext w:val="0"/>
        <w:keepLines w:val="0"/>
        <w:pageBreakBefore w:val="0"/>
        <w:widowControl/>
        <w:shd w:val="clear" w:color="auto" w:fill="FFFFFF"/>
        <w:kinsoku/>
        <w:wordWrap/>
        <w:overflowPunct/>
        <w:topLinePunct w:val="0"/>
        <w:autoSpaceDE w:val="0"/>
        <w:autoSpaceDN/>
        <w:bidi w:val="0"/>
        <w:adjustRightInd w:val="0"/>
        <w:snapToGrid w:val="0"/>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widowControl/>
        <w:kinsoku/>
        <w:wordWrap/>
        <w:overflowPunct/>
        <w:topLinePunct w:val="0"/>
        <w:autoSpaceDE w:val="0"/>
        <w:autoSpaceDN/>
        <w:bidi w:val="0"/>
        <w:spacing w:beforeAutospacing="0" w:afterAutospacing="0" w:line="600" w:lineRule="exact"/>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2023年度本单位政府采购支出总额9.19万元，其中：政府采购货物支出9.19万元、政府采购工程支出0.00万元、政府采购服务支出0.00万元。授予中小企业合同金额9.19万元，占政府采购支出总额的100.00%，其中：授予小微企业合同金额9.19万元，占政府采购支出总额的100.00 %。主要用于采购</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路灯、电动伸缩门、饮水设备、办公桌椅。</w:t>
      </w:r>
    </w:p>
    <w:p>
      <w:pPr>
        <w:pStyle w:val="7"/>
        <w:snapToGrid w:val="0"/>
        <w:spacing w:before="0" w:beforeAutospacing="0" w:after="0" w:afterAutospacing="0" w:line="579" w:lineRule="exact"/>
        <w:ind w:firstLine="640" w:firstLineChars="200"/>
        <w:jc w:val="both"/>
        <w:rPr>
          <w:rFonts w:hint="eastAsia"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eastAsia" w:ascii="Times New Roman" w:hAnsi="Times New Roman" w:eastAsia="方正黑体_GBK"/>
          <w:sz w:val="32"/>
          <w:szCs w:val="32"/>
        </w:rPr>
        <w:t>预算绩效管理情况说明</w:t>
      </w:r>
    </w:p>
    <w:p>
      <w:pPr>
        <w:pStyle w:val="7"/>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lang w:eastAsia="zh-CN"/>
        </w:rPr>
      </w:pPr>
      <w:r>
        <w:rPr>
          <w:rFonts w:hint="eastAsia" w:ascii="Times New Roman" w:hAnsi="Times New Roman" w:eastAsia="方正楷体_GBK"/>
          <w:sz w:val="32"/>
          <w:szCs w:val="32"/>
          <w:lang w:eastAsia="zh-CN"/>
        </w:rPr>
        <w:t>（一）单位自评情况</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jc w:val="left"/>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pP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根据预算绩效管理要求，我单位对五个二级项目开展了绩效自评，</w:t>
      </w:r>
      <w:r>
        <w:rPr>
          <w:rStyle w:val="11"/>
          <w:rFonts w:hint="eastAsia" w:ascii="Times New Roman" w:hAnsi="Times New Roman" w:eastAsia="方正仿宋_GBK" w:cs="Times New Roman"/>
          <w:b w:val="0"/>
          <w:bCs w:val="0"/>
          <w:color w:val="000000" w:themeColor="text1"/>
          <w:sz w:val="32"/>
          <w:szCs w:val="32"/>
          <w:highlight w:val="none"/>
          <w:shd w:val="clear" w:color="auto" w:fill="FFFFFF"/>
          <w:lang w:eastAsia="zh-CN"/>
          <w14:textFill>
            <w14:solidFill>
              <w14:schemeClr w14:val="tx1"/>
            </w14:solidFill>
          </w14:textFill>
        </w:rPr>
        <w:t>涉及</w:t>
      </w:r>
      <w:r>
        <w:rPr>
          <w:rStyle w:val="11"/>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财政拨款项目资金</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152.56万元。</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（二）单位绩效评价情况</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我单位未组织开展绩效评价。</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（三）财政绩效评价情况</w:t>
      </w:r>
    </w:p>
    <w:p>
      <w:pPr>
        <w:pStyle w:val="7"/>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jc w:val="left"/>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b w:val="0"/>
          <w:bCs w:val="0"/>
          <w:sz w:val="32"/>
          <w:szCs w:val="32"/>
          <w:lang w:eastAsia="zh-CN"/>
        </w:rPr>
        <w:t>县</w:t>
      </w:r>
      <w:r>
        <w:rPr>
          <w:rFonts w:hint="eastAsia" w:ascii="方正仿宋_GBK" w:hAnsi="方正仿宋_GBK" w:eastAsia="方正仿宋_GBK" w:cs="方正仿宋_GBK"/>
          <w:b w:val="0"/>
          <w:bCs w:val="0"/>
          <w:sz w:val="32"/>
          <w:szCs w:val="32"/>
        </w:rPr>
        <w:t>财政局未委托第三方对我单位开展绩效评价。</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指单位取得的除“财政拨款收入</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事业收入</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指单位在当年的“财政拨款收入</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事业收入</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经营收入</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指为保障机构正常运转、完成日常工作任务而</w:t>
      </w:r>
      <w:r>
        <w:rPr>
          <w:rFonts w:hint="eastAsia" w:ascii="方正仿宋_GBK" w:hAnsi="方正仿宋_GBK" w:eastAsia="方正仿宋_GBK" w:cs="方正仿宋_GBK"/>
          <w:b w:val="0"/>
          <w:bCs w:val="0"/>
          <w:color w:val="000000" w:themeColor="text1"/>
          <w:sz w:val="32"/>
          <w:szCs w:val="32"/>
          <w:highlight w:val="none"/>
          <w:shd w:val="clear" w:color="auto" w:fill="FFFFFF"/>
          <w14:textFill>
            <w14:solidFill>
              <w14:schemeClr w14:val="tx1"/>
            </w14:solidFill>
          </w14:textFill>
        </w:rPr>
        <w:t>发生的人员</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为保障行政单位（含</w:t>
      </w:r>
      <w:r>
        <w:rPr>
          <w:rFonts w:hint="eastAsia" w:ascii="方正仿宋_GBK" w:hAnsi="方正仿宋_GBK" w:eastAsia="方正仿宋_GBK" w:cs="方正仿宋_GBK"/>
          <w:b w:val="0"/>
          <w:bCs w:val="0"/>
          <w:color w:val="000000" w:themeColor="text1"/>
          <w:sz w:val="32"/>
          <w:szCs w:val="32"/>
          <w:highlight w:val="none"/>
          <w:shd w:val="clear" w:color="auto" w:fill="FFFFFF"/>
          <w14:textFill>
            <w14:solidFill>
              <w14:schemeClr w14:val="tx1"/>
            </w14:solidFill>
          </w14:textFill>
        </w:rPr>
        <w:t>参照公务员法管理</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反映用于对个人和家庭的补助支出。</w:t>
      </w:r>
    </w:p>
    <w:p>
      <w:pPr>
        <w:pStyle w:val="7"/>
        <w:keepNext w:val="0"/>
        <w:keepLines w:val="0"/>
        <w:pageBreakBefore w:val="0"/>
        <w:widowControl/>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12"/>
        <w:keepNext w:val="0"/>
        <w:keepLines w:val="0"/>
        <w:pageBreakBefore w:val="0"/>
        <w:widowControl/>
        <w:kinsoku/>
        <w:wordWrap/>
        <w:overflowPunct/>
        <w:topLinePunct w:val="0"/>
        <w:autoSpaceDE w:val="0"/>
        <w:autoSpaceDN/>
        <w:bidi w:val="0"/>
        <w:spacing w:beforeAutospacing="0" w:afterAutospacing="0" w:line="600" w:lineRule="exact"/>
        <w:ind w:firstLine="640" w:firstLineChars="200"/>
        <w:textAlignment w:val="auto"/>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本单位决算公开信息反馈和联系方式：</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李兴洲：</w:t>
      </w:r>
      <w:r>
        <w:rPr>
          <w:rStyle w:val="11"/>
          <w:rFonts w:hint="eastAsia" w:ascii="Times New Roman" w:hAnsi="Times New Roman" w:eastAsia="方正仿宋_GBK" w:cs="Times New Roman"/>
          <w:b w:val="0"/>
          <w:bCs w:val="0"/>
          <w:color w:val="000000" w:themeColor="text1"/>
          <w:sz w:val="32"/>
          <w:szCs w:val="32"/>
          <w:shd w:val="clear" w:color="auto" w:fill="FFFFFF"/>
          <w:lang w:val="en-US" w:eastAsia="zh-CN" w:bidi="ar-SA"/>
          <w14:textFill>
            <w14:solidFill>
              <w14:schemeClr w14:val="tx1"/>
            </w14:solidFill>
          </w14:textFill>
        </w:rPr>
        <w:t>15310502050</w:t>
      </w:r>
    </w:p>
    <w:p>
      <w:pPr>
        <w:keepNext w:val="0"/>
        <w:keepLines w:val="0"/>
        <w:pageBreakBefore w:val="0"/>
        <w:widowControl/>
        <w:kinsoku/>
        <w:wordWrap/>
        <w:overflowPunct/>
        <w:topLinePunct w:val="0"/>
        <w:autoSpaceDN/>
        <w:bidi w:val="0"/>
        <w:spacing w:beforeAutospacing="0" w:afterAutospacing="0" w:line="600" w:lineRule="exact"/>
        <w:textAlignment w:val="auto"/>
        <w:rPr>
          <w:rFonts w:hint="eastAsia" w:ascii="方正仿宋_GBK" w:hAnsi="方正仿宋_GBK" w:eastAsia="方正仿宋_GBK" w:cs="方正仿宋_GBK"/>
          <w:b w:val="0"/>
          <w:bCs w:val="0"/>
          <w:sz w:val="32"/>
          <w:szCs w:val="32"/>
        </w:rPr>
      </w:pPr>
    </w:p>
    <w:p>
      <w:pPr>
        <w:pStyle w:val="2"/>
        <w:rPr>
          <w:rFonts w:hint="eastAsia" w:ascii="方正仿宋_GBK" w:hAnsi="方正仿宋_GBK" w:eastAsia="方正仿宋_GBK" w:cs="方正仿宋_GBK"/>
          <w:b w:val="0"/>
          <w:bCs w:val="0"/>
          <w:sz w:val="32"/>
          <w:szCs w:val="32"/>
        </w:rPr>
      </w:pPr>
    </w:p>
    <w:p>
      <w:pPr>
        <w:pStyle w:val="3"/>
        <w:rPr>
          <w:rFonts w:hint="eastAsia" w:ascii="方正仿宋_GBK" w:hAnsi="方正仿宋_GBK" w:eastAsia="方正仿宋_GBK" w:cs="方正仿宋_GBK"/>
          <w:b w:val="0"/>
          <w:bCs w:val="0"/>
          <w:sz w:val="32"/>
          <w:szCs w:val="32"/>
        </w:rPr>
      </w:pPr>
    </w:p>
    <w:p>
      <w:pPr>
        <w:pStyle w:val="3"/>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主动公开）</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265"/>
        </w:tabs>
        <w:bidi w:val="0"/>
        <w:jc w:val="left"/>
        <w:rPr>
          <w:rFonts w:hint="eastAsia" w:eastAsia="宋体"/>
          <w:lang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lang w:eastAsia="zh-CN"/>
        </w:rPr>
        <w:tab/>
      </w:r>
    </w:p>
    <w:p>
      <w:pPr>
        <w:rPr>
          <w:rFonts w:hint="default" w:cs="宋体"/>
          <w:color w:val="000000" w:themeColor="text1"/>
          <w:sz w:val="21"/>
          <w:szCs w:val="21"/>
          <w14:textFill>
            <w14:solidFill>
              <w14:schemeClr w14:val="tx1"/>
            </w14:solidFill>
          </w14:textFill>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14:textFill>
                  <w14:solidFill>
                    <w14:schemeClr w14:val="tx1"/>
                  </w14:solidFill>
                </w14:textFill>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themeColor="text1"/>
                <w:sz w:val="20"/>
                <w:szCs w:val="20"/>
                <w14:textFill>
                  <w14:solidFill>
                    <w14:schemeClr w14:val="tx1"/>
                  </w14:solidFill>
                </w14:textFill>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14:textFill>
                  <w14:solidFill>
                    <w14:schemeClr w14:val="tx1"/>
                  </w14:solidFill>
                </w14:textFill>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2"/>
                <w:szCs w:val="22"/>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重庆市城口县坪坝初级中学</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2"/>
                <w:szCs w:val="22"/>
                <w14:textFill>
                  <w14:solidFill>
                    <w14:schemeClr w14:val="tx1"/>
                  </w14:solidFill>
                </w14:textFill>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1,794.05</w:t>
            </w: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31.23</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1,547.89</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110.14</w:t>
            </w: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184.10</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60.85</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1,904.19</w:t>
            </w: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1,894.96</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55.12</w:t>
            </w: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64.35</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1,959.31</w:t>
            </w:r>
            <w:r>
              <w:rPr>
                <w:color w:val="000000" w:themeColor="text1"/>
                <w:sz w:val="20"/>
                <w:u w:color="auto"/>
                <w14:textFill>
                  <w14:solidFill>
                    <w14:schemeClr w14:val="tx1"/>
                  </w14:solidFill>
                </w14:textFill>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1,959.31</w:t>
            </w:r>
            <w:r>
              <w:rPr>
                <w:color w:val="000000" w:themeColor="text1"/>
                <w:sz w:val="20"/>
                <w:u w:color="auto"/>
                <w14:textFill>
                  <w14:solidFill>
                    <w14:schemeClr w14:val="tx1"/>
                  </w14:solidFill>
                </w14:textFill>
              </w:rPr>
              <w:t xml:space="preserve"> </w:t>
            </w:r>
          </w:p>
        </w:tc>
      </w:tr>
    </w:tbl>
    <w:p>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重庆市城口县坪坝初级中学</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1,904.19</w:t>
            </w:r>
            <w:r>
              <w:rPr>
                <w:b/>
                <w:color w:val="000000" w:themeColor="text1"/>
                <w:sz w:val="20"/>
                <w:u w:color="auto"/>
                <w14:textFill>
                  <w14:solidFill>
                    <w14:schemeClr w14:val="tx1"/>
                  </w14:solidFill>
                </w14:textFill>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1,794.05</w:t>
            </w:r>
            <w:r>
              <w:rPr>
                <w:b/>
                <w:color w:val="000000" w:themeColor="text1"/>
                <w:sz w:val="20"/>
                <w:u w:color="auto"/>
                <w14:textFill>
                  <w14:solidFill>
                    <w14:schemeClr w14:val="tx1"/>
                  </w14:solidFill>
                </w14:textFill>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110.14</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31.23</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31.23</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24.93</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24.93</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24.93</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24.93</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1,557.12</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1,446.98</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110.14</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1,557.12</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1,446.98</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110.14</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1,555.81</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1,445.67</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110.14</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ind w:left="600" w:hanging="600" w:hangingChars="300"/>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备注：1.本表反映单位本年度取得的各项收入情况。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 xml:space="preserve">重庆市城口县坪坝初级中学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1,894.96</w:t>
            </w:r>
            <w:r>
              <w:rPr>
                <w:b/>
                <w:color w:val="000000" w:themeColor="text1"/>
                <w:sz w:val="20"/>
                <w:u w:color="auto"/>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1,708.30</w:t>
            </w:r>
            <w:r>
              <w:rPr>
                <w:b/>
                <w:color w:val="000000" w:themeColor="text1"/>
                <w:sz w:val="20"/>
                <w:u w:color="auto"/>
                <w14:textFill>
                  <w14:solidFill>
                    <w14:schemeClr w14:val="tx1"/>
                  </w14:solidFill>
                </w14:textFill>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186.66</w:t>
            </w:r>
            <w:r>
              <w:rPr>
                <w:b/>
                <w:color w:val="000000" w:themeColor="text1"/>
                <w:sz w:val="20"/>
                <w:u w:color="auto"/>
                <w14:textFill>
                  <w14:solidFill>
                    <w14:schemeClr w14:val="tx1"/>
                  </w14:solidFill>
                </w14:textFill>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31.23</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14.63</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16.59</w:t>
            </w:r>
            <w:r>
              <w:rPr>
                <w:b/>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24.93</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8.34</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16.59</w:t>
            </w:r>
            <w:r>
              <w:rPr>
                <w:b/>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24.93</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8.34</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16.59</w:t>
            </w: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1,547.89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1,377.82</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170.07</w:t>
            </w:r>
            <w:r>
              <w:rPr>
                <w:b/>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1,547.89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1,377.82</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170.07</w:t>
            </w:r>
            <w:r>
              <w:rPr>
                <w:b/>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1,546.58</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1,377.82</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168.76</w:t>
            </w: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备注：1.本表反映单位本年度各项支出情况。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p>
      <w:pPr>
        <w:rPr>
          <w:rFonts w:hint="default" w:cs="宋体"/>
          <w:color w:val="000000" w:themeColor="text1"/>
          <w:sz w:val="21"/>
          <w:szCs w:val="21"/>
          <w14:textFill>
            <w14:solidFill>
              <w14:schemeClr w14:val="tx1"/>
            </w14:solidFill>
          </w14:textFill>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31.23</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31.23</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1,446.98</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1,446.98</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184.10</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184.10</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60.85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60.85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70.89</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70.89</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1,794.05</w:t>
            </w:r>
            <w:r>
              <w:rPr>
                <w:color w:val="000000" w:themeColor="text1"/>
                <w:sz w:val="18"/>
                <w:u w:color="auto"/>
                <w14:textFill>
                  <w14:solidFill>
                    <w14:schemeClr w14:val="tx1"/>
                  </w14:solidFill>
                </w14:textFill>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bl>
    <w:p>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1,794.05</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1,607.39</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186.66</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31.23</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14.63</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16.59</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6.30</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6.30</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24.93</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8.34</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16.59</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24.93</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8.34</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16.59</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1,446.98</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1,276.91</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170.07</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1,446.98</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1,276.91</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170.07</w:t>
            </w: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1.31</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1,445.67</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1,276.91</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168.76</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184.10</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94.69</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47.26</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42.15</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60.85</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59.08</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1.77</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70.89</w:t>
            </w:r>
            <w:r>
              <w:rPr>
                <w:b/>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70.89</w:t>
            </w:r>
            <w:r>
              <w:rPr>
                <w:color w:val="000000" w:themeColor="text1"/>
                <w:sz w:val="20"/>
                <w:u w:color="auto"/>
                <w14:textFill>
                  <w14:solidFill>
                    <w14:schemeClr w14:val="tx1"/>
                  </w14:solidFill>
                </w14:textFill>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ind w:firstLine="630" w:firstLineChars="3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1,441.39</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122.04</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301.24</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54.65</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92.31</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2.00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774.13</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2.00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94.69</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3.89</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47.26</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6.00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50.22</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1.00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10.63</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2.15</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70.89</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4.93</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0.50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43.97</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6.50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3.52</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0.50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41.82</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6.03</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2.15</w:t>
            </w: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22.09</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6.30</w:t>
            </w: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经常性</w:t>
            </w:r>
            <w:r>
              <w:rPr>
                <w:rFonts w:cs="宋体"/>
                <w:color w:val="000000" w:themeColor="text1"/>
                <w:sz w:val="18"/>
                <w:szCs w:val="18"/>
                <w:highlight w:val="none"/>
                <w14:textFill>
                  <w14:solidFill>
                    <w14:schemeClr w14:val="tx1"/>
                  </w14:solidFill>
                </w14:textFill>
              </w:rPr>
              <w:t>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资本性</w:t>
            </w:r>
            <w:r>
              <w:rPr>
                <w:rFonts w:cs="宋体"/>
                <w:color w:val="000000" w:themeColor="text1"/>
                <w:sz w:val="18"/>
                <w:szCs w:val="18"/>
                <w:highlight w:val="none"/>
                <w14:textFill>
                  <w14:solidFill>
                    <w14:schemeClr w14:val="tx1"/>
                  </w14:solidFill>
                </w14:textFill>
              </w:rPr>
              <w:t>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1,485.35</w:t>
            </w:r>
            <w:r>
              <w:rPr>
                <w:color w:val="000000" w:themeColor="text1"/>
                <w:sz w:val="18"/>
                <w:u w:color="auto"/>
                <w14:textFill>
                  <w14:solidFill>
                    <w14:schemeClr w14:val="tx1"/>
                  </w14:solidFill>
                </w14:textFill>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122.04</w:t>
            </w:r>
            <w:r>
              <w:rPr>
                <w:color w:val="000000" w:themeColor="text1"/>
                <w:sz w:val="18"/>
                <w:u w:color="auto"/>
                <w14:textFill>
                  <w14:solidFill>
                    <w14:schemeClr w14:val="tx1"/>
                  </w14:solidFill>
                </w14:textFill>
              </w:rPr>
              <w:t xml:space="preserve"> </w:t>
            </w:r>
          </w:p>
        </w:tc>
      </w:tr>
    </w:tbl>
    <w:p>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备注：1.本表反映单位本年度一般公共预算财政拨款基本支出明细情况。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备注：本表反映单位本年度政府性基金预算财政拨款收入支出及结转和结余情况。本单位无政府性基金收支，故本表无数据。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themeColor="text1"/>
                <w:sz w:val="20"/>
                <w:szCs w:val="20"/>
                <w14:textFill>
                  <w14:solidFill>
                    <w14:schemeClr w14:val="tx1"/>
                  </w14:solidFill>
                </w14:textFill>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hint="default" w:cs="宋体"/>
          <w:color w:val="000000" w:themeColor="text1"/>
          <w:sz w:val="21"/>
          <w:szCs w:val="21"/>
          <w14:textFill>
            <w14:solidFill>
              <w14:schemeClr w14:val="tx1"/>
            </w14:solidFill>
          </w14:textFill>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themeColor="text1"/>
                <w:sz w:val="20"/>
                <w:szCs w:val="20"/>
                <w14:textFill>
                  <w14:solidFill>
                    <w14:schemeClr w14:val="tx1"/>
                  </w14:solidFill>
                </w14:textFill>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14:textFill>
                  <w14:solidFill>
                    <w14:schemeClr w14:val="tx1"/>
                  </w14:solidFill>
                </w14:textFill>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重庆市城口县坪坝初级中学</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14:textFill>
                  <w14:solidFill>
                    <w14:schemeClr w14:val="tx1"/>
                  </w14:solidFill>
                </w14:textFill>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highlight w:val="none"/>
                <w14:textFill>
                  <w14:solidFill>
                    <w14:schemeClr w14:val="tx1"/>
                  </w14:solidFill>
                </w14:textFill>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0.50</w:t>
            </w: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0.50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w:t>
            </w:r>
            <w:r>
              <w:rPr>
                <w:rFonts w:cs="宋体"/>
                <w:color w:val="000000" w:themeColor="text1"/>
                <w:sz w:val="16"/>
                <w:szCs w:val="16"/>
                <w:highlight w:val="none"/>
                <w14:textFill>
                  <w14:solidFill>
                    <w14:schemeClr w14:val="tx1"/>
                  </w14:solidFill>
                </w14:textFill>
              </w:rPr>
              <w:t>参照公务员法管理</w:t>
            </w:r>
            <w:r>
              <w:rPr>
                <w:rFonts w:cs="宋体"/>
                <w:color w:val="000000" w:themeColor="text1"/>
                <w:sz w:val="16"/>
                <w:szCs w:val="16"/>
                <w14:textFill>
                  <w14:solidFill>
                    <w14:schemeClr w14:val="tx1"/>
                  </w14:solidFill>
                </w14:textFill>
              </w:rPr>
              <w:t>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0.50</w:t>
            </w:r>
            <w:r>
              <w:rPr>
                <w:color w:val="000000" w:themeColor="text1"/>
                <w:sz w:val="16"/>
                <w:u w:color="auto"/>
                <w14:textFill>
                  <w14:solidFill>
                    <w14:schemeClr w14:val="tx1"/>
                  </w14:solidFill>
                </w14:textFill>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0.50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0.50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10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9.19</w:t>
            </w: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9.19</w:t>
            </w: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80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9.19</w:t>
            </w: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9.19</w:t>
            </w: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6.50</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6"/>
                <w:szCs w:val="16"/>
                <w14:textFill>
                  <w14:solidFill>
                    <w14:schemeClr w14:val="tx1"/>
                  </w14:solidFill>
                </w14:textFill>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themeColor="text1"/>
                <w:sz w:val="16"/>
                <w:szCs w:val="16"/>
                <w14:textFill>
                  <w14:solidFill>
                    <w14:schemeClr w14:val="tx1"/>
                  </w14:solidFill>
                </w14:textFill>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3.52</w:t>
            </w:r>
            <w:r>
              <w:rPr>
                <w:color w:val="000000" w:themeColor="text1"/>
                <w:sz w:val="16"/>
                <w:u w:color="auto"/>
                <w14:textFill>
                  <w14:solidFill>
                    <w14:schemeClr w14:val="tx1"/>
                  </w14:solidFill>
                </w14:textFill>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6"/>
                <w:szCs w:val="16"/>
                <w14:textFill>
                  <w14:solidFill>
                    <w14:schemeClr w14:val="tx1"/>
                  </w14:solidFill>
                </w14:textFill>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themeColor="text1"/>
                <w:sz w:val="16"/>
                <w:szCs w:val="16"/>
                <w14:textFill>
                  <w14:solidFill>
                    <w14:schemeClr w14:val="tx1"/>
                  </w14:solidFill>
                </w14:textFill>
              </w:rPr>
            </w:pP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备注：1.本表反映单位本年度财政拨款“三公”经费支出预决算情况。其中，</w:t>
      </w:r>
      <w:r>
        <w:rPr>
          <w:rFonts w:cs="宋体"/>
          <w:color w:val="000000" w:themeColor="text1"/>
          <w:sz w:val="20"/>
          <w:szCs w:val="20"/>
          <w:highlight w:val="none"/>
          <w14:textFill>
            <w14:solidFill>
              <w14:schemeClr w14:val="tx1"/>
            </w14:solidFill>
          </w14:textFill>
        </w:rPr>
        <w:t>预算数</w:t>
      </w:r>
      <w:r>
        <w:rPr>
          <w:rFonts w:cs="宋体"/>
          <w:color w:val="000000" w:themeColor="text1"/>
          <w:sz w:val="20"/>
          <w:szCs w:val="20"/>
          <w14:textFill>
            <w14:solidFill>
              <w14:schemeClr w14:val="tx1"/>
            </w14:solidFill>
          </w14:textFill>
        </w:rPr>
        <w:t>为“三公”经费全年预算数，反映按规定程序调整后的</w:t>
      </w:r>
      <w:r>
        <w:rPr>
          <w:rFonts w:cs="宋体"/>
          <w:color w:val="000000" w:themeColor="text1"/>
          <w:sz w:val="20"/>
          <w:szCs w:val="20"/>
          <w:highlight w:val="none"/>
          <w14:textFill>
            <w14:solidFill>
              <w14:schemeClr w14:val="tx1"/>
            </w14:solidFill>
          </w14:textFill>
        </w:rPr>
        <w:t>预算数</w:t>
      </w:r>
      <w:r>
        <w:rPr>
          <w:rFonts w:cs="宋体"/>
          <w:color w:val="000000" w:themeColor="text1"/>
          <w:sz w:val="20"/>
          <w:szCs w:val="20"/>
          <w14:textFill>
            <w14:solidFill>
              <w14:schemeClr w14:val="tx1"/>
            </w14:solidFill>
          </w14:textFill>
        </w:rPr>
        <w:t>；决算数为包括本年度财政拨款和以前年度结转资金安排的实际支出。</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jFhODc2MjllZDcwOWEwMTliZDhmNzZlODA0NzA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F63AFE"/>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DF6673"/>
    <w:rsid w:val="1CF163A7"/>
    <w:rsid w:val="1D014A01"/>
    <w:rsid w:val="1D022362"/>
    <w:rsid w:val="1D1B04B0"/>
    <w:rsid w:val="1D8F1E47"/>
    <w:rsid w:val="1DA52501"/>
    <w:rsid w:val="1DBD6767"/>
    <w:rsid w:val="1DC52125"/>
    <w:rsid w:val="1DC80676"/>
    <w:rsid w:val="1DD26311"/>
    <w:rsid w:val="1E374ACB"/>
    <w:rsid w:val="1E59FAD5"/>
    <w:rsid w:val="1ECF0A66"/>
    <w:rsid w:val="1EF67CA4"/>
    <w:rsid w:val="1F020D3A"/>
    <w:rsid w:val="1F2C5189"/>
    <w:rsid w:val="1F4B0B02"/>
    <w:rsid w:val="1FBB35CD"/>
    <w:rsid w:val="1FCD26AF"/>
    <w:rsid w:val="20274469"/>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410C8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96136"/>
    <w:rsid w:val="383C3F15"/>
    <w:rsid w:val="38BE4696"/>
    <w:rsid w:val="3939115E"/>
    <w:rsid w:val="39B82A39"/>
    <w:rsid w:val="39C42CA8"/>
    <w:rsid w:val="39DC4FD6"/>
    <w:rsid w:val="39F03D7A"/>
    <w:rsid w:val="39F33306"/>
    <w:rsid w:val="3A2C1C67"/>
    <w:rsid w:val="3A443B62"/>
    <w:rsid w:val="3ADD7F09"/>
    <w:rsid w:val="3B1705E5"/>
    <w:rsid w:val="3B18334B"/>
    <w:rsid w:val="3B36794F"/>
    <w:rsid w:val="3B6F6EE0"/>
    <w:rsid w:val="3BEE0229"/>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AA1051"/>
    <w:rsid w:val="5842572D"/>
    <w:rsid w:val="5A3B59D6"/>
    <w:rsid w:val="5AD134D8"/>
    <w:rsid w:val="5C263CE4"/>
    <w:rsid w:val="5C5D2777"/>
    <w:rsid w:val="5CF66BF3"/>
    <w:rsid w:val="5D290C69"/>
    <w:rsid w:val="5DED7EC6"/>
    <w:rsid w:val="5F2D4A41"/>
    <w:rsid w:val="60C74F6C"/>
    <w:rsid w:val="61025A59"/>
    <w:rsid w:val="613D5BBC"/>
    <w:rsid w:val="61536C39"/>
    <w:rsid w:val="621F4A72"/>
    <w:rsid w:val="622609C3"/>
    <w:rsid w:val="62944DD7"/>
    <w:rsid w:val="6319381F"/>
    <w:rsid w:val="63C25DC5"/>
    <w:rsid w:val="63C62057"/>
    <w:rsid w:val="64571EF5"/>
    <w:rsid w:val="64FB113D"/>
    <w:rsid w:val="656152C6"/>
    <w:rsid w:val="6587477F"/>
    <w:rsid w:val="658C3A08"/>
    <w:rsid w:val="65C031CA"/>
    <w:rsid w:val="65CE6852"/>
    <w:rsid w:val="65D047B9"/>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6C3B3D"/>
    <w:rsid w:val="74EB2AC5"/>
    <w:rsid w:val="74F6547D"/>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50D36"/>
    <w:rsid w:val="7D7406BB"/>
    <w:rsid w:val="7DE94331"/>
    <w:rsid w:val="7F446A19"/>
    <w:rsid w:val="7F7452B9"/>
    <w:rsid w:val="DFFF8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7742</Words>
  <Characters>9874</Characters>
  <Lines>190</Lines>
  <Paragraphs>53</Paragraphs>
  <TotalTime>5</TotalTime>
  <ScaleCrop>false</ScaleCrop>
  <LinksUpToDate>false</LinksUpToDate>
  <CharactersWithSpaces>10981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2024-11-26T20:38:36Z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