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ascii="方正小标宋_GBK" w:eastAsia="方正小标宋_GBK"/>
          <w:kern w:val="0"/>
          <w:sz w:val="44"/>
          <w:szCs w:val="44"/>
        </w:rPr>
      </w:pPr>
      <w:r>
        <w:rPr>
          <w:rFonts w:hint="eastAsia" w:ascii="方正小标宋_GBK" w:eastAsia="方正小标宋_GBK"/>
          <w:sz w:val="44"/>
          <w:szCs w:val="44"/>
        </w:rPr>
        <w:t>重庆市城口县沿河乡中心小学</w:t>
      </w:r>
    </w:p>
    <w:p>
      <w:pPr>
        <w:autoSpaceDE w:val="0"/>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ascii="方正小标宋_GBK" w:eastAsia="方正小标宋_GBK"/>
          <w:sz w:val="44"/>
          <w:szCs w:val="44"/>
        </w:rPr>
        <w:t>2</w:t>
      </w:r>
      <w:r>
        <w:rPr>
          <w:rFonts w:hint="eastAsia" w:ascii="方正小标宋_GBK" w:eastAsia="方正小标宋_GBK"/>
          <w:sz w:val="44"/>
          <w:szCs w:val="44"/>
        </w:rPr>
        <w:t>年度部门决算情况说明</w:t>
      </w:r>
    </w:p>
    <w:p>
      <w:pPr>
        <w:autoSpaceDE w:val="0"/>
        <w:spacing w:line="560" w:lineRule="exact"/>
        <w:jc w:val="center"/>
        <w:rPr>
          <w:rFonts w:ascii="方正小标宋_GBK" w:eastAsia="方正小标宋_GBK"/>
          <w:sz w:val="44"/>
          <w:szCs w:val="44"/>
        </w:rPr>
      </w:pPr>
    </w:p>
    <w:p>
      <w:pPr>
        <w:widowControl/>
        <w:numPr>
          <w:ilvl w:val="0"/>
          <w:numId w:val="1"/>
        </w:numPr>
        <w:autoSpaceDE w:val="0"/>
        <w:spacing w:line="579"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部门基本情况</w:t>
      </w:r>
    </w:p>
    <w:p>
      <w:pPr>
        <w:widowControl/>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（一）职能职责</w:t>
      </w:r>
    </w:p>
    <w:p>
      <w:pPr>
        <w:autoSpaceDE w:val="0"/>
        <w:spacing w:line="579" w:lineRule="exact"/>
        <w:ind w:firstLine="640" w:firstLineChars="200"/>
        <w:rPr>
          <w:rFonts w:ascii="方正仿宋_GBK" w:hAnsi="宋体" w:eastAsia="方正仿宋_GBK" w:cs="宋体"/>
          <w:kern w:val="0"/>
          <w:sz w:val="32"/>
          <w:szCs w:val="32"/>
        </w:rPr>
      </w:pPr>
      <w:r>
        <w:rPr>
          <w:rFonts w:ascii="Times New Roman" w:hAnsi="Times New Roman" w:eastAsia="方正仿宋_GBK" w:cs="Times New Roman"/>
          <w:kern w:val="0"/>
          <w:sz w:val="32"/>
          <w:szCs w:val="32"/>
        </w:rPr>
        <w:t>1</w:t>
      </w:r>
      <w:r>
        <w:rPr>
          <w:rFonts w:hint="eastAsia" w:ascii="方正仿宋_GBK" w:hAnsi="宋体" w:eastAsia="方正仿宋_GBK" w:cs="宋体"/>
          <w:kern w:val="0"/>
          <w:sz w:val="32"/>
          <w:szCs w:val="32"/>
        </w:rPr>
        <w:t>.宣传贯彻执行党和国家的教育方针、政策、法律法规等，坚持依法治教、依法治学，贯彻执行县教委的行政规章制度。</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2.配合县、乡人民政府制定符合党的教育方针和国家教育法律法规以及本校实际的教育发展规划和学校布局调整规划，并抓好组织实施和落实工作。</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3.巩固提高“均衡教育”工作成果和整体水平，配合各级人民政府依法动员、组织适龄儿童少年入学，严格控制辍学。</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4.组织开展本校的教育教学科研和教育教学改革，科研兴教，科研兴校。负责对本校教育教学业务的具体管理和教育教学及教研教改工作，全力推进素质教育实施。</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5.按照干部和教师的职数、编制和管理权限，负责本校教师人事管理、继续教育、考核考评等工作。</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6.负责本校财务和基建管理，筹措资金，改善办学条件等工作。</w:t>
      </w:r>
    </w:p>
    <w:p>
      <w:pPr>
        <w:autoSpaceDE w:val="0"/>
        <w:spacing w:line="579" w:lineRule="exact"/>
        <w:ind w:firstLine="640" w:firstLineChars="200"/>
        <w:rPr>
          <w:rFonts w:ascii="方正仿宋_GBK" w:hAnsi="宋体" w:eastAsia="方正仿宋_GBK" w:cs="宋体"/>
          <w:kern w:val="0"/>
          <w:sz w:val="32"/>
          <w:szCs w:val="32"/>
        </w:rPr>
      </w:pPr>
      <w:r>
        <w:rPr>
          <w:rFonts w:hint="eastAsia" w:ascii="Times New Roman" w:hAnsi="Times New Roman" w:eastAsia="方正仿宋_GBK" w:cs="Times New Roman"/>
          <w:kern w:val="0"/>
          <w:sz w:val="32"/>
          <w:szCs w:val="32"/>
        </w:rPr>
        <w:t>7.指导、管理、检查、评价本校的教育教学工作，提高办学质量和办学效益。按照义务教育课程计划，开齐课程，开足课时，认真实施中小学的教育教学管理，全面推</w:t>
      </w:r>
      <w:r>
        <w:rPr>
          <w:rFonts w:hint="eastAsia" w:ascii="方正仿宋_GBK" w:hAnsi="宋体" w:eastAsia="方正仿宋_GBK" w:cs="宋体"/>
          <w:kern w:val="0"/>
          <w:sz w:val="32"/>
          <w:szCs w:val="32"/>
        </w:rPr>
        <w:t>进素质教育，全面提高教育教学质量。</w:t>
      </w:r>
    </w:p>
    <w:p>
      <w:pPr>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（二）机构设置</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1.独立编制机构数1个。</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2.独立核算机构数1个。</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3.财政补助拨款事业单位1个。</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4.单位编制人数34人。实有职工34人，其中：在职34人，退休14人。</w:t>
      </w:r>
    </w:p>
    <w:p>
      <w:pPr>
        <w:widowControl/>
        <w:autoSpaceDE w:val="0"/>
        <w:spacing w:line="579"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二、部门决算情况说明</w:t>
      </w:r>
    </w:p>
    <w:p>
      <w:pPr>
        <w:widowControl/>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（一）收入支出决算总体情况说明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1.总体情况。2022年度收入总计742.82万元，支出总计742.82万元。收支较上年决算数减少245.84万元,下降24.9%，主要原因是人员减少 。</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收入情况。2022年度收入合计740.32万元，较上年决算数减少139.27万元，下降15.8%，主要原因是人员减少。其中：财政拨款收入638.58万元，占86.3%；事业收入8.22万元，占1.1%；经营收入0.00万元，占0%；其他收入93.52万元，占12.6%。此外，使用非财政拨款结余0.00万元，年初结转和结余2.50万元。</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支出情况。2022年度支出合计723.81万元，较上年决算减少262.35万元，下降26.6%，主要原因是人员减少。其中：基本支出591.51万元，占81.7%；项目支出132.30万元，占18.3%；经营支出0.00万元，占0%。此外，结余分配0.00万元。</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4.结转结余情况。2022年度年末结转和结余19.01万元，较上年决算数增加16.51万元，增长660.4%，主要原因是本年度项目经费有部分没有支付。</w:t>
      </w:r>
    </w:p>
    <w:p>
      <w:pPr>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（二）财政拨款收入支出决算总体情况说明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2022年度财政拨款收、支总计641.08万元。与2021年相比，财政拨款收、支总计各减少173.01万元，下降21.3%。主要原因是项目支出减少。</w:t>
      </w:r>
    </w:p>
    <w:p>
      <w:pPr>
        <w:numPr>
          <w:ilvl w:val="0"/>
          <w:numId w:val="2"/>
        </w:numPr>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一般公共预算财政拨款收入支出决算情况说明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收入情况。2022年度一般公共预算财政拨款收入638.58万元，较上年决算数减少170.30万元，下降21.1%。主要原因是项目拨款减少。较年初预算数增加10.46万元，增长1.7%。主要原因是人员待遇、学生资助等有预算调整。此外，年初财政拨款结转和结余0.00万元。</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2.支出情况。2022年度一般公共预算财政拨款支出638.58万元，较上年决算数减少171.51万元，下降21.2%。主要原因是项目支出减少。较年初预算数增加10.46万元，增长1.7%。主要原因</w:t>
      </w:r>
      <w:bookmarkStart w:id="0" w:name="_GoBack"/>
      <w:bookmarkEnd w:id="0"/>
      <w:r>
        <w:rPr>
          <w:rFonts w:hint="eastAsia" w:ascii="Times New Roman" w:hAnsi="Times New Roman" w:eastAsia="方正仿宋_GBK" w:cs="Times New Roman"/>
          <w:kern w:val="0"/>
          <w:sz w:val="32"/>
          <w:szCs w:val="32"/>
        </w:rPr>
        <w:t>是人员待遇、学生资助等有预算调整。</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3.结转结余情况。2022年度年末一般公共预算财政拨款结转和结余0.00万元，较上年决算数增加0.00万元，增长%，主要原因是项目经费及时支出。</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4.比较情况。本部门2022年度一般公共预算财政拨款支出主要用于以下几个方面： </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（1）一般公共服务支出2.37万元，占0.4%，较年初预算数增加0.00万元，增长0%，主要原因是未做调整预算。</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（2）教育支出606.82万元，占95%，较年初预算数增加147.35，增长32.1%，主要原因是人员待遇、学生资助等有预算调整。</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（3）住房保障支出29.39万元，占4.6%，较年初预算数增加0.00万元，增长0%，主要原因是未做调整预算。</w:t>
      </w:r>
    </w:p>
    <w:p>
      <w:pPr>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一般公共预算财政拨款基本支出508.10万元。其中：人员经费446.27万元，较上年决算数减少204.99万元，下降31.5%，主要原因是人员减少。人员经费用途主要包括基本工资、津贴补贴、绩效工资、社会保障缴费等。公用经费61.83万元，较上年决算数减少4.92万元，下降7.4%，主要原因是人员待遇、学生资助等有预算调整。公用经费用途主要包括办公费、水费、电费、邮电费、差旅费、维修费、培训费、工会费等。</w:t>
      </w:r>
    </w:p>
    <w:p>
      <w:pPr>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（五）政府性基金预算收支决算情况说明。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政府性基金预算财政拨款年初结转结余2.50万元，年末结转结余0.68万元。本年收入0.00万元，较上年决算数减少1.50万元，下降100%，主要原因是本部门2022年度无政府性基金预算财政拨款。本年支出1.82万元，较上年决算数增加0.32万元，增长21.3%，主要原因是乡村少年宫运行经费增加。</w:t>
      </w:r>
    </w:p>
    <w:p>
      <w:pPr>
        <w:autoSpaceDE w:val="0"/>
        <w:spacing w:line="579" w:lineRule="exact"/>
        <w:ind w:left="420" w:leftChars="200"/>
        <w:rPr>
          <w:rFonts w:ascii="方正仿宋_GBK" w:eastAsia="方正仿宋_GBK"/>
          <w:sz w:val="32"/>
          <w:szCs w:val="32"/>
        </w:rPr>
      </w:pPr>
      <w:r>
        <w:rPr>
          <w:rFonts w:hint="eastAsia" w:ascii="方正楷体_GBK" w:eastAsia="方正楷体_GBK"/>
          <w:sz w:val="32"/>
          <w:szCs w:val="32"/>
        </w:rPr>
        <w:t>（六）国有资本经营预算财政拨款支出决算情况说明。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本部门2022年度无国有资本经营预算财政拨款支出。</w:t>
      </w:r>
    </w:p>
    <w:p>
      <w:pPr>
        <w:widowControl/>
        <w:autoSpaceDE w:val="0"/>
        <w:spacing w:line="579" w:lineRule="exact"/>
        <w:ind w:left="420" w:left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三、“三公”经费情况说明</w:t>
      </w:r>
    </w:p>
    <w:p>
      <w:pPr>
        <w:widowControl/>
        <w:numPr>
          <w:ilvl w:val="0"/>
          <w:numId w:val="3"/>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“三公”经费支出总体情况说明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2022年度“三公”经费支出共计0.00万元，较年初预算数增加0.00万元，增长%，主要原因是本单位2022年度未发生支出。较上年支出数减少2.65万元，下降100%，主要原因是本单位2022年度未发生支出。</w:t>
      </w:r>
    </w:p>
    <w:p>
      <w:pPr>
        <w:widowControl/>
        <w:autoSpaceDE w:val="0"/>
        <w:spacing w:line="579" w:lineRule="exact"/>
        <w:ind w:firstLine="640" w:firstLineChars="200"/>
        <w:rPr>
          <w:rFonts w:ascii="方正楷体_GBK" w:eastAsia="方正楷体_GBK"/>
          <w:sz w:val="32"/>
          <w:szCs w:val="32"/>
        </w:rPr>
      </w:pPr>
      <w:r>
        <w:rPr>
          <w:rFonts w:hint="eastAsia" w:ascii="方正楷体_GBK" w:eastAsia="方正楷体_GBK"/>
          <w:sz w:val="32"/>
          <w:szCs w:val="32"/>
        </w:rPr>
        <w:t>（二）“三公”经费分项支出情况</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2022年度本部门无因公出国（境）费用。</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2022年度本部门无公务车购置费。</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2022年度本部门无公务车运行维护费。</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2022年度本部门无公务接待费。</w:t>
      </w:r>
    </w:p>
    <w:p>
      <w:pPr>
        <w:numPr>
          <w:ilvl w:val="0"/>
          <w:numId w:val="3"/>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“三公”经费实物量情况</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widowControl/>
        <w:autoSpaceDE w:val="0"/>
        <w:spacing w:line="579" w:lineRule="exact"/>
        <w:ind w:left="420" w:left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四、其他需要说明的事项</w:t>
      </w:r>
    </w:p>
    <w:p>
      <w:pPr>
        <w:widowControl/>
        <w:numPr>
          <w:ilvl w:val="0"/>
          <w:numId w:val="4"/>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财政拨款会议费和培训费情况说明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本年度会议费支出0.66万元，较上年决算数减少0.44万元，下降40%，主要原因是活动减少。本年度培训费支出4.58万元，较上年决算数增加3.60万元，增长367.3%，主要原因是培训增加。</w:t>
      </w:r>
    </w:p>
    <w:p>
      <w:pPr>
        <w:widowControl/>
        <w:numPr>
          <w:ilvl w:val="0"/>
          <w:numId w:val="4"/>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机关运行经费支出情况说明</w:t>
      </w:r>
    </w:p>
    <w:p>
      <w:pPr>
        <w:widowControl/>
        <w:autoSpaceDE w:val="0"/>
        <w:spacing w:line="579" w:lineRule="exact"/>
        <w:ind w:left="420" w:leftChars="200"/>
        <w:rPr>
          <w:rFonts w:ascii="方正仿宋_GBK" w:eastAsia="方正仿宋_GBK"/>
          <w:sz w:val="32"/>
          <w:szCs w:val="32"/>
        </w:rPr>
      </w:pPr>
      <w:r>
        <w:rPr>
          <w:rFonts w:hint="eastAsia" w:ascii="方正仿宋_GBK" w:eastAsia="方正仿宋_GBK"/>
          <w:sz w:val="32"/>
          <w:szCs w:val="32"/>
        </w:rPr>
        <w:t>按照部门决算列报口径，</w:t>
      </w:r>
      <w:r>
        <w:rPr>
          <w:rFonts w:hint="eastAsia" w:ascii="方正仿宋_GBK" w:eastAsia="方正仿宋_GBK"/>
          <w:bCs/>
          <w:sz w:val="32"/>
          <w:szCs w:val="32"/>
        </w:rPr>
        <w:t>我单位资产未纳入部门决算报表</w:t>
      </w:r>
      <w:r>
        <w:rPr>
          <w:rFonts w:hint="eastAsia" w:ascii="方正仿宋_GBK" w:eastAsia="方正仿宋_GBK"/>
          <w:sz w:val="32"/>
          <w:szCs w:val="32"/>
        </w:rPr>
        <w:t>。</w:t>
      </w:r>
    </w:p>
    <w:p>
      <w:pPr>
        <w:widowControl/>
        <w:numPr>
          <w:ilvl w:val="0"/>
          <w:numId w:val="4"/>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国有资产占用情况说明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按照部门决算列报口径，我单位资产未纳入部门决算报表。</w:t>
      </w:r>
    </w:p>
    <w:p>
      <w:pPr>
        <w:widowControl/>
        <w:numPr>
          <w:ilvl w:val="0"/>
          <w:numId w:val="4"/>
        </w:numPr>
        <w:autoSpaceDE w:val="0"/>
        <w:spacing w:line="579" w:lineRule="exact"/>
        <w:ind w:left="420" w:leftChars="200"/>
        <w:rPr>
          <w:rFonts w:ascii="方正楷体_GBK" w:eastAsia="方正楷体_GBK"/>
          <w:sz w:val="32"/>
          <w:szCs w:val="32"/>
        </w:rPr>
      </w:pPr>
      <w:r>
        <w:rPr>
          <w:rFonts w:hint="eastAsia" w:ascii="方正楷体_GBK" w:eastAsia="方正楷体_GBK"/>
          <w:sz w:val="32"/>
          <w:szCs w:val="32"/>
        </w:rPr>
        <w:t>政府采购支出说明</w:t>
      </w:r>
    </w:p>
    <w:p>
      <w:pPr>
        <w:autoSpaceDE w:val="0"/>
        <w:spacing w:line="579"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2022年度我单位未发生政府采购事项，无相关经费支出。</w:t>
      </w:r>
    </w:p>
    <w:p>
      <w:pPr>
        <w:pStyle w:val="8"/>
        <w:shd w:val="clear" w:color="auto" w:fill="FFFFFF"/>
        <w:autoSpaceDE w:val="0"/>
        <w:spacing w:beforeAutospacing="0" w:afterAutospacing="0"/>
        <w:ind w:firstLine="640" w:firstLineChars="200"/>
        <w:rPr>
          <w:rFonts w:ascii="Times New Roman" w:hAnsi="Times New Roman" w:eastAsia="方正黑体_GBK"/>
          <w:bCs/>
          <w:color w:val="000000"/>
          <w:sz w:val="32"/>
          <w:szCs w:val="32"/>
          <w:shd w:val="clear" w:color="auto" w:fill="FFFFFF"/>
        </w:rPr>
      </w:pPr>
      <w:r>
        <w:rPr>
          <w:rStyle w:val="9"/>
          <w:rFonts w:hint="eastAsia" w:ascii="方正黑体_GBK" w:hAnsi="方正黑体_GBK" w:eastAsia="方正黑体_GBK" w:cs="方正黑体_GBK"/>
          <w:b w:val="0"/>
          <w:bCs/>
          <w:color w:val="000000"/>
          <w:sz w:val="32"/>
          <w:szCs w:val="32"/>
          <w:shd w:val="clear" w:color="auto" w:fill="FFFFFF"/>
        </w:rPr>
        <w:t>五、预算绩效管理情况说明</w:t>
      </w:r>
    </w:p>
    <w:p>
      <w:pPr>
        <w:widowControl/>
        <w:autoSpaceDE w:val="0"/>
        <w:spacing w:line="579"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预算绩效管理情况只针对一级预算单位，本单位为二级预算单位，故预算绩效管理情况在此不反映。</w:t>
      </w:r>
    </w:p>
    <w:p>
      <w:pPr>
        <w:widowControl/>
        <w:autoSpaceDE w:val="0"/>
        <w:spacing w:line="579" w:lineRule="exact"/>
        <w:ind w:left="420" w:left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六、专业名词解释</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widowControl/>
        <w:autoSpaceDE w:val="0"/>
        <w:spacing w:line="579" w:lineRule="exact"/>
        <w:ind w:firstLine="640" w:firstLineChars="200"/>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widowControl/>
        <w:autoSpaceDE w:val="0"/>
        <w:spacing w:line="579" w:lineRule="exact"/>
        <w:ind w:firstLine="640" w:firstLineChars="200"/>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七、决算公开联系方式及信息反馈渠道</w:t>
      </w:r>
    </w:p>
    <w:p>
      <w:pPr>
        <w:widowControl/>
        <w:autoSpaceDE w:val="0"/>
        <w:spacing w:line="579"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本单位决算公开信息反馈和联系方式：</w:t>
      </w:r>
      <w:r>
        <w:rPr>
          <w:rFonts w:hint="eastAsia" w:ascii="Times New Roman" w:hAnsi="Times New Roman" w:eastAsia="方正仿宋_GBK" w:cs="Times New Roman"/>
          <w:kern w:val="0"/>
          <w:sz w:val="32"/>
          <w:szCs w:val="32"/>
        </w:rPr>
        <w:t>023-59291030。</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45C95"/>
    <w:multiLevelType w:val="singleLevel"/>
    <w:tmpl w:val="B5845C95"/>
    <w:lvl w:ilvl="0" w:tentative="0">
      <w:start w:val="3"/>
      <w:numFmt w:val="chineseCounting"/>
      <w:suff w:val="nothing"/>
      <w:lvlText w:val="（%1）"/>
      <w:lvlJc w:val="left"/>
      <w:rPr>
        <w:rFonts w:hint="eastAsia"/>
      </w:rPr>
    </w:lvl>
  </w:abstractNum>
  <w:abstractNum w:abstractNumId="1">
    <w:nsid w:val="BE6541EC"/>
    <w:multiLevelType w:val="singleLevel"/>
    <w:tmpl w:val="BE6541EC"/>
    <w:lvl w:ilvl="0" w:tentative="0">
      <w:start w:val="1"/>
      <w:numFmt w:val="chineseCounting"/>
      <w:suff w:val="nothing"/>
      <w:lvlText w:val="%1、"/>
      <w:lvlJc w:val="left"/>
      <w:rPr>
        <w:rFonts w:hint="eastAsia"/>
      </w:rPr>
    </w:lvl>
  </w:abstractNum>
  <w:abstractNum w:abstractNumId="2">
    <w:nsid w:val="DB613BE2"/>
    <w:multiLevelType w:val="singleLevel"/>
    <w:tmpl w:val="DB613BE2"/>
    <w:lvl w:ilvl="0" w:tentative="0">
      <w:start w:val="1"/>
      <w:numFmt w:val="chineseCounting"/>
      <w:suff w:val="nothing"/>
      <w:lvlText w:val="（%1）"/>
      <w:lvlJc w:val="left"/>
      <w:rPr>
        <w:rFonts w:hint="eastAsia"/>
      </w:rPr>
    </w:lvl>
  </w:abstractNum>
  <w:abstractNum w:abstractNumId="3">
    <w:nsid w:val="64C1EDFD"/>
    <w:multiLevelType w:val="singleLevel"/>
    <w:tmpl w:val="64C1EDFD"/>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18"/>
    <w:rsid w:val="000D4E42"/>
    <w:rsid w:val="00132632"/>
    <w:rsid w:val="002401F8"/>
    <w:rsid w:val="003528FA"/>
    <w:rsid w:val="003B69B9"/>
    <w:rsid w:val="003E2D6F"/>
    <w:rsid w:val="00532D18"/>
    <w:rsid w:val="0075193A"/>
    <w:rsid w:val="007A3C3F"/>
    <w:rsid w:val="009C4A82"/>
    <w:rsid w:val="00AD21C7"/>
    <w:rsid w:val="00C750F9"/>
    <w:rsid w:val="00CB3AD2"/>
    <w:rsid w:val="00F3555D"/>
    <w:rsid w:val="00FB2CF7"/>
    <w:rsid w:val="02EC5F4F"/>
    <w:rsid w:val="537D7AB5"/>
    <w:rsid w:val="5C9755B7"/>
    <w:rsid w:val="6E5D35AD"/>
    <w:rsid w:val="7CD8517A"/>
    <w:rsid w:val="E7AFF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1 Char"/>
    <w:basedOn w:val="5"/>
    <w:link w:val="2"/>
    <w:qFormat/>
    <w:uiPriority w:val="9"/>
    <w:rPr>
      <w:b/>
      <w:bCs/>
      <w:kern w:val="44"/>
      <w:sz w:val="44"/>
      <w:szCs w:val="44"/>
    </w:rPr>
  </w:style>
  <w:style w:type="paragraph" w:customStyle="1" w:styleId="8">
    <w:name w:val="普通(网站) Char"/>
    <w:basedOn w:val="1"/>
    <w:qFormat/>
    <w:uiPriority w:val="0"/>
    <w:pPr>
      <w:spacing w:beforeAutospacing="1" w:afterAutospacing="1"/>
    </w:pPr>
  </w:style>
  <w:style w:type="character" w:customStyle="1" w:styleId="9">
    <w:name w:val="16"/>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667</Words>
  <Characters>3802</Characters>
  <Lines>31</Lines>
  <Paragraphs>8</Paragraphs>
  <TotalTime>6</TotalTime>
  <ScaleCrop>false</ScaleCrop>
  <LinksUpToDate>false</LinksUpToDate>
  <CharactersWithSpaces>4461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2023-10-25T16:03:00Z</dcterms:created>
  <dc:creator>Administrator</dc:creator>
  <cp:lastModifiedBy>ckuos</cp:lastModifiedBy>
  <dcterms:modified xsi:type="dcterms:W3CDTF">2023-11-22T14:05:42Z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300157628_embed</vt:lpwstr>
  </property>
  <property fmtid="{D5CDD505-2E9C-101B-9397-08002B2CF9AE}" pid="3" name="KSOProductBuildVer">
    <vt:lpwstr>2052-11.8.2.10183</vt:lpwstr>
  </property>
</Properties>
</file>