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小标宋_GBK"/>
          <w:sz w:val="44"/>
          <w:szCs w:val="44"/>
        </w:rPr>
      </w:pPr>
    </w:p>
    <w:p>
      <w:pPr>
        <w:autoSpaceDE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城口县修齐镇第二中心小学</w:t>
      </w:r>
    </w:p>
    <w:p>
      <w:pPr>
        <w:autoSpaceDE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2022年度部门决算公开说明</w:t>
      </w:r>
    </w:p>
    <w:p>
      <w:pPr>
        <w:spacing w:line="600" w:lineRule="exact"/>
        <w:ind w:firstLine="525"/>
        <w:jc w:val="left"/>
        <w:rPr>
          <w:rFonts w:ascii="方正仿宋_GBK" w:hAnsi="方正仿宋_GBK" w:eastAsia="方正仿宋_GBK" w:cs="方正仿宋_GBK"/>
          <w:sz w:val="32"/>
          <w:szCs w:val="32"/>
        </w:rPr>
      </w:pPr>
    </w:p>
    <w:p>
      <w:pPr>
        <w:spacing w:line="600" w:lineRule="exact"/>
        <w:ind w:firstLine="525"/>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一、部门基本情况</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ind w:firstLine="52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从事义务教育教学工作,组织教育教学、科学研究活动，保证教育教学质量。维护教职工利益，保障教职工合法权益，以教职工和学生的人生幸福和生命质量作为重点。</w:t>
      </w:r>
    </w:p>
    <w:p>
      <w:pPr>
        <w:spacing w:line="600" w:lineRule="exact"/>
        <w:ind w:firstLine="525"/>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（二）机构设置</w:t>
      </w:r>
    </w:p>
    <w:p>
      <w:pPr>
        <w:spacing w:line="600" w:lineRule="exact"/>
        <w:ind w:firstLine="525"/>
        <w:jc w:val="left"/>
        <w:rPr>
          <w:rFonts w:eastAsia="方正仿宋_GBK"/>
          <w:sz w:val="32"/>
          <w:szCs w:val="32"/>
        </w:rPr>
      </w:pPr>
      <w:r>
        <w:rPr>
          <w:rFonts w:hint="eastAsia" w:ascii="方正仿宋_GBK" w:hAnsi="方正仿宋_GBK" w:eastAsia="方正仿宋_GBK" w:cs="方正仿宋_GBK"/>
          <w:sz w:val="32"/>
          <w:szCs w:val="32"/>
        </w:rPr>
        <w:t>城口县修齐镇第二中心小学是独立法人机构，为经费独立核算单位（不存在下属单位）。</w:t>
      </w:r>
      <w:r>
        <w:rPr>
          <w:rFonts w:eastAsia="方正仿宋_GBK"/>
          <w:sz w:val="32"/>
          <w:szCs w:val="32"/>
        </w:rPr>
        <w:t>2021</w:t>
      </w:r>
      <w:r>
        <w:rPr>
          <w:rFonts w:hint="eastAsia" w:eastAsia="方正仿宋_GBK"/>
          <w:sz w:val="32"/>
          <w:szCs w:val="32"/>
        </w:rPr>
        <w:t>年末单位机构数1</w:t>
      </w:r>
      <w:r>
        <w:rPr>
          <w:rFonts w:hint="eastAsia" w:ascii="方正仿宋_GBK" w:hAnsi="方正仿宋_GBK" w:eastAsia="方正仿宋_GBK" w:cs="方正仿宋_GBK"/>
          <w:sz w:val="32"/>
          <w:szCs w:val="32"/>
        </w:rPr>
        <w:t>个，预算</w:t>
      </w:r>
      <w:r>
        <w:rPr>
          <w:rFonts w:hint="eastAsia" w:eastAsia="方正仿宋_GBK"/>
          <w:sz w:val="32"/>
          <w:szCs w:val="32"/>
        </w:rPr>
        <w:t>单位数1个。机构无变动。</w:t>
      </w:r>
    </w:p>
    <w:p>
      <w:pPr>
        <w:spacing w:line="600" w:lineRule="exact"/>
        <w:ind w:firstLine="525"/>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spacing w:line="600" w:lineRule="exact"/>
        <w:ind w:firstLine="525"/>
        <w:jc w:val="left"/>
        <w:rPr>
          <w:rFonts w:eastAsia="方正仿宋_GBK"/>
          <w:sz w:val="32"/>
          <w:szCs w:val="32"/>
        </w:rPr>
      </w:pPr>
      <w:r>
        <w:rPr>
          <w:rFonts w:hint="eastAsia" w:eastAsia="方正仿宋_GBK"/>
          <w:sz w:val="32"/>
          <w:szCs w:val="32"/>
        </w:rPr>
        <w:t>1.总体情况。2022年度收入总计768.86万元</w:t>
      </w:r>
      <w:r>
        <w:rPr>
          <w:rFonts w:hint="eastAsia" w:ascii="方正仿宋_GBK" w:hAnsi="方正仿宋_GBK" w:eastAsia="方正仿宋_GBK" w:cs="方正仿宋_GBK"/>
          <w:sz w:val="32"/>
          <w:szCs w:val="32"/>
        </w:rPr>
        <w:t>，支出总计</w:t>
      </w:r>
      <w:r>
        <w:rPr>
          <w:rFonts w:hint="eastAsia" w:eastAsia="方正仿宋_GBK"/>
          <w:sz w:val="32"/>
          <w:szCs w:val="32"/>
        </w:rPr>
        <w:t>768.86万元。收支较上年决算数减少164.40万元,下降17.6%，主要原因是项目减少，其他资本性收支减少。</w:t>
      </w:r>
    </w:p>
    <w:p>
      <w:pPr>
        <w:spacing w:line="600" w:lineRule="exact"/>
        <w:ind w:firstLine="525"/>
        <w:jc w:val="left"/>
        <w:rPr>
          <w:rFonts w:eastAsia="方正仿宋_GBK"/>
          <w:sz w:val="32"/>
          <w:szCs w:val="32"/>
        </w:rPr>
      </w:pPr>
      <w:r>
        <w:rPr>
          <w:rFonts w:hint="eastAsia" w:eastAsia="方正仿宋_GBK"/>
          <w:sz w:val="32"/>
          <w:szCs w:val="32"/>
        </w:rPr>
        <w:t>2.收入情况。2022年度收入合计560.92万元，较上年决算数减少124.17万元，下降18.1%，主要原因是项目减少，其他资本性收入减少。其中：财政拨款收入545.27万元，占97.2%；其他收入15.65万元，占2.8%。此外，年初结转和结余207.95万元。</w:t>
      </w:r>
    </w:p>
    <w:p>
      <w:pPr>
        <w:spacing w:line="600" w:lineRule="exact"/>
        <w:ind w:firstLine="525"/>
        <w:jc w:val="left"/>
        <w:rPr>
          <w:rFonts w:eastAsia="方正仿宋_GBK"/>
          <w:sz w:val="32"/>
          <w:szCs w:val="32"/>
        </w:rPr>
      </w:pPr>
      <w:r>
        <w:rPr>
          <w:rFonts w:hint="eastAsia" w:eastAsia="方正仿宋_GBK"/>
          <w:sz w:val="32"/>
          <w:szCs w:val="32"/>
        </w:rPr>
        <w:t>3.支出情况。2022年度支出合计551.74万元，较上年决算减少173.57万元，下降23.9%，主要原因是项目减少，相应支出减少。其中：基本支出456.99万元，占82.8%；项目支出94.75万元，占17.2%。此外，结余分配0.00万元。</w:t>
      </w:r>
    </w:p>
    <w:p>
      <w:pPr>
        <w:spacing w:line="600" w:lineRule="exact"/>
        <w:ind w:firstLine="525"/>
        <w:jc w:val="left"/>
        <w:rPr>
          <w:rFonts w:eastAsia="方正仿宋_GBK"/>
          <w:sz w:val="32"/>
          <w:szCs w:val="32"/>
        </w:rPr>
      </w:pPr>
      <w:r>
        <w:rPr>
          <w:rFonts w:hint="eastAsia" w:eastAsia="方正仿宋_GBK"/>
          <w:sz w:val="32"/>
          <w:szCs w:val="32"/>
        </w:rPr>
        <w:t>4.结转结余情况。2022年度年末结转和结余217.12万元，较上年决算数增加9.17万元，增长4.4%，主要原因是部分项目费用未及时支出。</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spacing w:line="600" w:lineRule="exact"/>
        <w:ind w:firstLine="525"/>
        <w:jc w:val="left"/>
        <w:rPr>
          <w:rFonts w:eastAsia="方正仿宋_GBK"/>
          <w:sz w:val="32"/>
          <w:szCs w:val="32"/>
        </w:rPr>
      </w:pPr>
      <w:r>
        <w:rPr>
          <w:rFonts w:hint="eastAsia" w:eastAsia="方正仿宋_GBK"/>
          <w:sz w:val="32"/>
          <w:szCs w:val="32"/>
        </w:rPr>
        <w:t>2022年度财政拨款收、支总计545.27万元。与2021年相比，财政拨款收、支总计各减少164.15万元，下降23.1%。主要原因是人员减少，相应人员经费、项目经费减少。</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spacing w:line="600" w:lineRule="exact"/>
        <w:ind w:firstLine="525"/>
        <w:jc w:val="left"/>
        <w:rPr>
          <w:rFonts w:eastAsia="方正仿宋_GBK"/>
          <w:sz w:val="32"/>
          <w:szCs w:val="32"/>
        </w:rPr>
      </w:pPr>
      <w:r>
        <w:rPr>
          <w:rFonts w:hint="eastAsia" w:eastAsia="方正仿宋_GBK"/>
          <w:sz w:val="32"/>
          <w:szCs w:val="32"/>
        </w:rPr>
        <w:t>1.收入情况。2022年度一般公共预算财政拨款收入545.27万元，较上年决算数减少126.32万元，下降18.8%。主要原因是项目收入减少。较年初预算数增加117.69万元，增长27.5%。主要原因是人员经费、项目经费调整预算。此外，年初财政拨款结转和结余0.00万元。</w:t>
      </w:r>
    </w:p>
    <w:p>
      <w:pPr>
        <w:spacing w:line="600" w:lineRule="exact"/>
        <w:ind w:firstLine="525"/>
        <w:jc w:val="left"/>
        <w:rPr>
          <w:rFonts w:eastAsia="方正仿宋_GBK"/>
          <w:sz w:val="32"/>
          <w:szCs w:val="32"/>
        </w:rPr>
      </w:pPr>
      <w:r>
        <w:rPr>
          <w:rFonts w:hint="eastAsia" w:eastAsia="方正仿宋_GBK"/>
          <w:sz w:val="32"/>
          <w:szCs w:val="32"/>
        </w:rPr>
        <w:t>2.支出情况。2022年度一般公共预算财政拨款支出545.27万元，较上年决算数减少164.15万元，下降23.1%。主要原因是2022年度工资有适度增长、绩效标准提高等。较年初预算数增加117.69万元，增长27.5%。主要原因是2022年度工资有适度增长、绩效标准提高等。</w:t>
      </w:r>
    </w:p>
    <w:p>
      <w:pPr>
        <w:spacing w:line="600" w:lineRule="exact"/>
        <w:ind w:firstLine="525"/>
        <w:jc w:val="left"/>
        <w:rPr>
          <w:rFonts w:eastAsia="方正仿宋_GBK"/>
          <w:sz w:val="32"/>
          <w:szCs w:val="32"/>
        </w:rPr>
      </w:pPr>
      <w:r>
        <w:rPr>
          <w:rFonts w:hint="eastAsia" w:eastAsia="方正仿宋_GBK"/>
          <w:sz w:val="32"/>
          <w:szCs w:val="32"/>
        </w:rPr>
        <w:t>3.结转结余情况。2022年度年末一般公共预算财政拨款结转和结余0.00万元，较上年决算数增加0.00万元。</w:t>
      </w:r>
    </w:p>
    <w:p>
      <w:pPr>
        <w:spacing w:line="600" w:lineRule="exact"/>
        <w:ind w:firstLine="525"/>
        <w:jc w:val="left"/>
        <w:rPr>
          <w:rFonts w:eastAsia="方正仿宋_GBK"/>
          <w:sz w:val="32"/>
          <w:szCs w:val="32"/>
        </w:rPr>
      </w:pPr>
      <w:r>
        <w:rPr>
          <w:rFonts w:hint="eastAsia" w:eastAsia="方正仿宋_GBK"/>
          <w:sz w:val="32"/>
          <w:szCs w:val="32"/>
        </w:rPr>
        <w:t>4.比较情况。本部门2022年度一般公共预算财政拨款支出主要用于以下几个方面：</w:t>
      </w:r>
    </w:p>
    <w:p>
      <w:pPr>
        <w:spacing w:line="600" w:lineRule="exact"/>
        <w:ind w:firstLine="525"/>
        <w:jc w:val="left"/>
        <w:rPr>
          <w:rFonts w:eastAsia="方正仿宋_GBK"/>
          <w:sz w:val="32"/>
          <w:szCs w:val="32"/>
        </w:rPr>
      </w:pPr>
      <w:r>
        <w:rPr>
          <w:rFonts w:hint="eastAsia" w:eastAsia="方正仿宋_GBK"/>
          <w:sz w:val="32"/>
          <w:szCs w:val="32"/>
        </w:rPr>
        <w:t>（1）一般公共服务支出1.82万元，占0.3%，较年初预算数增加0.00万元，增长0%，主要原因是未作预算调整。</w:t>
      </w:r>
    </w:p>
    <w:p>
      <w:pPr>
        <w:spacing w:line="600" w:lineRule="exact"/>
        <w:ind w:firstLine="525"/>
        <w:jc w:val="left"/>
        <w:rPr>
          <w:rFonts w:eastAsia="方正仿宋_GBK"/>
          <w:sz w:val="32"/>
          <w:szCs w:val="32"/>
        </w:rPr>
      </w:pPr>
      <w:r>
        <w:rPr>
          <w:rFonts w:hint="eastAsia" w:eastAsia="方正仿宋_GBK"/>
          <w:sz w:val="32"/>
          <w:szCs w:val="32"/>
        </w:rPr>
        <w:t>（2）教育支出470.27万元，占86.2%，较年初预算数增加157.46，增长50.3%，主要原因是项目支出等增加预算。</w:t>
      </w:r>
    </w:p>
    <w:p>
      <w:pPr>
        <w:spacing w:line="600" w:lineRule="exact"/>
        <w:ind w:firstLine="525"/>
        <w:jc w:val="left"/>
        <w:rPr>
          <w:rFonts w:eastAsia="方正仿宋_GBK"/>
          <w:sz w:val="32"/>
          <w:szCs w:val="32"/>
        </w:rPr>
      </w:pPr>
      <w:r>
        <w:rPr>
          <w:rFonts w:hint="eastAsia" w:eastAsia="方正仿宋_GBK"/>
          <w:sz w:val="32"/>
          <w:szCs w:val="32"/>
        </w:rPr>
        <w:t>（3）社会保障与就业支出36.14万元，占6.6%，较年初预算数减少35.70万元，下降49.7%，主要原因是人员减少等。</w:t>
      </w:r>
    </w:p>
    <w:p>
      <w:pPr>
        <w:spacing w:line="600" w:lineRule="exact"/>
        <w:ind w:firstLine="525"/>
        <w:jc w:val="left"/>
        <w:rPr>
          <w:rFonts w:eastAsia="方正仿宋_GBK"/>
          <w:sz w:val="32"/>
          <w:szCs w:val="32"/>
        </w:rPr>
      </w:pPr>
      <w:r>
        <w:rPr>
          <w:rFonts w:hint="eastAsia" w:eastAsia="方正仿宋_GBK"/>
          <w:sz w:val="32"/>
          <w:szCs w:val="32"/>
        </w:rPr>
        <w:t>（4）卫生健康支出14.92万元，占2.7%，较年初预算数减少4.06万元，下降21.4%，主要原因是人员减少等。</w:t>
      </w:r>
    </w:p>
    <w:p>
      <w:pPr>
        <w:spacing w:line="600" w:lineRule="exact"/>
        <w:ind w:firstLine="525"/>
        <w:jc w:val="left"/>
        <w:rPr>
          <w:rFonts w:eastAsia="方正仿宋_GBK"/>
          <w:sz w:val="32"/>
          <w:szCs w:val="32"/>
        </w:rPr>
      </w:pPr>
      <w:r>
        <w:rPr>
          <w:rFonts w:hint="eastAsia" w:eastAsia="方正仿宋_GBK"/>
          <w:sz w:val="32"/>
          <w:szCs w:val="32"/>
        </w:rPr>
        <w:t>（5）住房保障支出22.12万元，占4.1%，较年初预算数增加0.00万元，增长0%，主要原因是未作预算调整。</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spacing w:line="600" w:lineRule="exact"/>
        <w:ind w:firstLine="525"/>
        <w:jc w:val="left"/>
        <w:rPr>
          <w:rFonts w:eastAsia="方正仿宋_GBK"/>
          <w:sz w:val="32"/>
          <w:szCs w:val="32"/>
        </w:rPr>
      </w:pPr>
      <w:r>
        <w:rPr>
          <w:rFonts w:hint="eastAsia" w:eastAsia="方正仿宋_GBK"/>
          <w:sz w:val="32"/>
          <w:szCs w:val="32"/>
        </w:rPr>
        <w:t>2022年度一般公共预算财政拨款基本支出450.51万元。其中：人员经费403.93万元，较上年决算数减少84.57万元，下降17.3%，主要原因是人员减少。人员经费用途主要包括基本工资、津贴补贴、绩效工资、社会保障缴费等。公用经费46.58万元，较上年决算数减少2.93万元，下降5.9%，主要原因是</w:t>
      </w:r>
      <w:bookmarkStart w:id="0" w:name="_GoBack"/>
      <w:bookmarkEnd w:id="0"/>
      <w:r>
        <w:rPr>
          <w:rFonts w:hint="eastAsia" w:eastAsia="方正仿宋_GBK"/>
          <w:sz w:val="32"/>
          <w:szCs w:val="32"/>
        </w:rPr>
        <w:t>人员减少。公用经费用途主要包括办公费、水费、电费、邮电费、差旅费、维修费、培训费、工会费等。</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spacing w:line="600" w:lineRule="exact"/>
        <w:ind w:firstLine="525"/>
        <w:jc w:val="left"/>
        <w:rPr>
          <w:rFonts w:eastAsia="方正仿宋_GBK"/>
          <w:sz w:val="32"/>
          <w:szCs w:val="32"/>
        </w:rPr>
      </w:pPr>
      <w:r>
        <w:rPr>
          <w:rFonts w:hint="eastAsia" w:eastAsia="方正仿宋_GBK"/>
          <w:sz w:val="32"/>
          <w:szCs w:val="32"/>
        </w:rPr>
        <w:t>本部门2022年度无政府性基金预算财政拨款收支。</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spacing w:line="600" w:lineRule="exact"/>
        <w:ind w:firstLine="525"/>
        <w:jc w:val="left"/>
        <w:rPr>
          <w:rFonts w:eastAsia="方正仿宋_GBK"/>
          <w:sz w:val="32"/>
          <w:szCs w:val="32"/>
        </w:rPr>
      </w:pPr>
      <w:r>
        <w:rPr>
          <w:rFonts w:hint="eastAsia" w:eastAsia="方正仿宋_GBK"/>
          <w:sz w:val="32"/>
          <w:szCs w:val="32"/>
        </w:rPr>
        <w:t>本部门2022年度无国有资本经营预算财政拨款支出。</w:t>
      </w:r>
    </w:p>
    <w:p>
      <w:pPr>
        <w:spacing w:line="600" w:lineRule="exact"/>
        <w:ind w:firstLine="525"/>
        <w:jc w:val="left"/>
        <w:rPr>
          <w:rFonts w:eastAsia="方正仿宋_GBK"/>
          <w:sz w:val="32"/>
          <w:szCs w:val="32"/>
        </w:rPr>
      </w:pPr>
      <w:r>
        <w:rPr>
          <w:rFonts w:hint="eastAsia" w:ascii="方正黑体_GBK" w:hAnsi="方正黑体_GBK" w:eastAsia="方正黑体_GBK" w:cs="方正黑体_GBK"/>
          <w:sz w:val="32"/>
          <w:szCs w:val="32"/>
        </w:rPr>
        <w:t>三、“三公”经费情况说明</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spacing w:line="600" w:lineRule="exact"/>
        <w:ind w:firstLine="525"/>
        <w:jc w:val="left"/>
        <w:rPr>
          <w:rFonts w:eastAsia="方正仿宋_GBK"/>
          <w:sz w:val="32"/>
          <w:szCs w:val="32"/>
        </w:rPr>
      </w:pPr>
      <w:r>
        <w:rPr>
          <w:rFonts w:hint="eastAsia" w:eastAsia="方正仿宋_GBK"/>
          <w:sz w:val="32"/>
          <w:szCs w:val="32"/>
        </w:rPr>
        <w:t>2022年度“三公”经费支出共计0.00万元，较年初预算数增加0.00万元，增长0%，主要原因是未发生接待支出。较上年支出数持平。</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spacing w:line="600" w:lineRule="exact"/>
        <w:ind w:firstLine="525"/>
        <w:jc w:val="left"/>
        <w:rPr>
          <w:rFonts w:eastAsia="方正仿宋_GBK"/>
          <w:sz w:val="32"/>
          <w:szCs w:val="32"/>
        </w:rPr>
      </w:pPr>
      <w:r>
        <w:rPr>
          <w:rFonts w:hint="eastAsia" w:eastAsia="方正仿宋_GBK"/>
          <w:sz w:val="32"/>
          <w:szCs w:val="32"/>
        </w:rPr>
        <w:t>2022年度本部门因公出国（境）费用0.00万元，与上年持平。</w:t>
      </w:r>
    </w:p>
    <w:p>
      <w:pPr>
        <w:spacing w:line="600" w:lineRule="exact"/>
        <w:ind w:firstLine="525"/>
        <w:jc w:val="left"/>
        <w:rPr>
          <w:rFonts w:eastAsia="方正仿宋_GBK"/>
          <w:sz w:val="32"/>
          <w:szCs w:val="32"/>
        </w:rPr>
      </w:pPr>
      <w:r>
        <w:rPr>
          <w:rFonts w:hint="eastAsia" w:eastAsia="方正仿宋_GBK"/>
          <w:sz w:val="32"/>
          <w:szCs w:val="32"/>
        </w:rPr>
        <w:t>公务车购置费0.00万元，与上年持平。</w:t>
      </w:r>
    </w:p>
    <w:p>
      <w:pPr>
        <w:spacing w:line="600" w:lineRule="exact"/>
        <w:ind w:firstLine="525"/>
        <w:jc w:val="left"/>
        <w:rPr>
          <w:rFonts w:eastAsia="方正仿宋_GBK"/>
          <w:sz w:val="32"/>
          <w:szCs w:val="32"/>
        </w:rPr>
      </w:pPr>
      <w:r>
        <w:rPr>
          <w:rFonts w:hint="eastAsia" w:eastAsia="方正仿宋_GBK"/>
          <w:sz w:val="32"/>
          <w:szCs w:val="32"/>
        </w:rPr>
        <w:t>公务车运行维护费0.00万元，与上年持平。</w:t>
      </w:r>
    </w:p>
    <w:p>
      <w:pPr>
        <w:spacing w:line="600" w:lineRule="exact"/>
        <w:ind w:firstLine="525"/>
        <w:jc w:val="left"/>
        <w:rPr>
          <w:rFonts w:eastAsia="方正仿宋_GBK"/>
          <w:sz w:val="32"/>
          <w:szCs w:val="32"/>
        </w:rPr>
      </w:pPr>
      <w:r>
        <w:rPr>
          <w:rFonts w:hint="eastAsia" w:eastAsia="方正仿宋_GBK"/>
          <w:sz w:val="32"/>
          <w:szCs w:val="32"/>
        </w:rPr>
        <w:t>公务接待费0.00万元，与上年持平。</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spacing w:line="600" w:lineRule="exact"/>
        <w:ind w:firstLine="525"/>
        <w:jc w:val="left"/>
        <w:rPr>
          <w:rFonts w:eastAsia="方正仿宋_GBK"/>
          <w:sz w:val="32"/>
          <w:szCs w:val="32"/>
        </w:rPr>
      </w:pPr>
      <w:r>
        <w:rPr>
          <w:rFonts w:hint="eastAsia" w:eastAsia="方正仿宋_GBK"/>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spacing w:line="600" w:lineRule="exact"/>
        <w:ind w:firstLine="525"/>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spacing w:line="600" w:lineRule="exact"/>
        <w:ind w:firstLine="525"/>
        <w:jc w:val="left"/>
        <w:rPr>
          <w:rFonts w:eastAsia="方正仿宋_GBK"/>
          <w:sz w:val="32"/>
          <w:szCs w:val="32"/>
        </w:rPr>
      </w:pPr>
      <w:r>
        <w:rPr>
          <w:rFonts w:hint="eastAsia" w:eastAsia="方正仿宋_GBK"/>
          <w:sz w:val="32"/>
          <w:szCs w:val="32"/>
        </w:rPr>
        <w:t>本年度会议费支出0.00万元，较上年决算数增加0.00万元，增长0%，主要原因是未开展重要活动。本年度培训费支出2.00万元，较上年决算数增加1.20万元，增长150%，主要原因是培训人次及次数增加。</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（二）机关运行经费支出情况说明</w:t>
      </w:r>
    </w:p>
    <w:p>
      <w:pPr>
        <w:spacing w:line="600" w:lineRule="exact"/>
        <w:ind w:firstLine="525"/>
        <w:jc w:val="left"/>
        <w:rPr>
          <w:rFonts w:eastAsia="方正仿宋_GBK"/>
          <w:sz w:val="32"/>
          <w:szCs w:val="32"/>
        </w:rPr>
      </w:pPr>
      <w:r>
        <w:rPr>
          <w:rFonts w:hint="eastAsia" w:eastAsia="方正仿宋_GBK"/>
          <w:sz w:val="32"/>
          <w:szCs w:val="32"/>
        </w:rPr>
        <w:t>按照部门决算列报口径，我单位不在机关运行经费统计范围之内。</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（三）国有资产占用情况说明</w:t>
      </w:r>
    </w:p>
    <w:p>
      <w:pPr>
        <w:spacing w:line="600" w:lineRule="exact"/>
        <w:ind w:firstLine="525"/>
        <w:jc w:val="left"/>
        <w:rPr>
          <w:rFonts w:eastAsia="方正仿宋_GBK"/>
          <w:sz w:val="32"/>
          <w:szCs w:val="32"/>
        </w:rPr>
      </w:pPr>
      <w:r>
        <w:rPr>
          <w:rFonts w:hint="eastAsia" w:eastAsia="方正仿宋_GBK"/>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spacing w:line="600" w:lineRule="exact"/>
        <w:ind w:firstLine="5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（四）政府采购支出说明</w:t>
      </w:r>
    </w:p>
    <w:p>
      <w:pPr>
        <w:spacing w:line="600" w:lineRule="exact"/>
        <w:ind w:firstLine="525"/>
        <w:jc w:val="left"/>
        <w:rPr>
          <w:rFonts w:eastAsia="方正仿宋_GBK"/>
          <w:sz w:val="32"/>
          <w:szCs w:val="32"/>
        </w:rPr>
      </w:pPr>
      <w:r>
        <w:rPr>
          <w:rFonts w:hint="eastAsia" w:eastAsia="方正仿宋_GBK"/>
          <w:sz w:val="32"/>
          <w:szCs w:val="32"/>
        </w:rPr>
        <w:t>2022年度本部门政府采购支出总额18.77万元，其中：政府采购货物支出18.77万元、政府采购工程支出0.00万元、政府采购服务支出0.00万元。授予中小企业合同金额18.77万元，占政府采购支出总额的100%，其中：授予小微企业合同金额18.77万元，占政府采购支出总额的100%。主要用于采购篮球架、空调、冰箱等。</w:t>
      </w:r>
    </w:p>
    <w:p>
      <w:pPr>
        <w:spacing w:line="600" w:lineRule="exact"/>
        <w:ind w:firstLine="525"/>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spacing w:line="596"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预算绩效管理情况只针对一级预算单位，本单位为二级预算单位，故预算绩效管理情况在此不反映。</w:t>
      </w:r>
    </w:p>
    <w:p>
      <w:pPr>
        <w:spacing w:line="600" w:lineRule="exact"/>
        <w:ind w:firstLine="525"/>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（一）财政拨款收入：</w:t>
      </w:r>
      <w:r>
        <w:rPr>
          <w:rFonts w:hint="eastAsia" w:eastAsia="方正仿宋_GBK"/>
          <w:sz w:val="32"/>
          <w:szCs w:val="32"/>
        </w:rPr>
        <w:t>指本年度从本级财政部门取得的财政拨款，包括一般公共预算财政拨款和政府性基金预算财政拨款。</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（二）事业收入：</w:t>
      </w:r>
      <w:r>
        <w:rPr>
          <w:rFonts w:hint="eastAsia" w:eastAsia="方正仿宋_GBK"/>
          <w:sz w:val="32"/>
          <w:szCs w:val="32"/>
        </w:rPr>
        <w:t>指事业单位开展专业业务活动及其辅助活动取得的现金流入；事业单位收到的财政专户实际核拨的教育收费等资金在此反映。</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（三）经营收入：</w:t>
      </w:r>
      <w:r>
        <w:rPr>
          <w:rFonts w:hint="eastAsia" w:eastAsia="方正仿宋_GBK"/>
          <w:sz w:val="32"/>
          <w:szCs w:val="32"/>
        </w:rPr>
        <w:t>指事业单位在专业业务活动及其辅助活动之外开展非独立核算经营活动取得的现金流入。</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（四）其他收入：</w:t>
      </w:r>
      <w:r>
        <w:rPr>
          <w:rFonts w:hint="eastAsia"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（五）使用非财政拨款结余：</w:t>
      </w:r>
      <w:r>
        <w:rPr>
          <w:rFonts w:hint="eastAsia"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（六）年初结转和结余：</w:t>
      </w:r>
      <w:r>
        <w:rPr>
          <w:rFonts w:hint="eastAsia" w:eastAsia="方正仿宋_GBK"/>
          <w:sz w:val="32"/>
          <w:szCs w:val="32"/>
        </w:rPr>
        <w:t>指单位上年结转本年使用的基本支出结转、项目支出结转和结余、经营结余。</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（七）结余分配：</w:t>
      </w:r>
      <w:r>
        <w:rPr>
          <w:rFonts w:hint="eastAsia" w:eastAsia="方正仿宋_GBK"/>
          <w:sz w:val="32"/>
          <w:szCs w:val="32"/>
        </w:rPr>
        <w:t>指单位按照国家有关规定，缴纳所得税、提取专用基金、转入非财政拨款结余等当年结余的分配情况。</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（八）年末结转和结余：</w:t>
      </w:r>
      <w:r>
        <w:rPr>
          <w:rFonts w:hint="eastAsia" w:eastAsia="方正仿宋_GBK"/>
          <w:sz w:val="32"/>
          <w:szCs w:val="32"/>
        </w:rPr>
        <w:t>指单位结转下年的基本支出结转、项目支出结转和结余、经营结余。</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（九）基本支出：</w:t>
      </w:r>
      <w:r>
        <w:rPr>
          <w:rFonts w:hint="eastAsia"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（十）项目支出：</w:t>
      </w:r>
      <w:r>
        <w:rPr>
          <w:rFonts w:hint="eastAsia" w:eastAsia="方正仿宋_GBK"/>
          <w:sz w:val="32"/>
          <w:szCs w:val="32"/>
        </w:rPr>
        <w:t>指在基本支出之外为完成特定行政任务和事业发展目标所发生的支出。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（十一）经营支出：</w:t>
      </w:r>
      <w:r>
        <w:rPr>
          <w:rFonts w:hint="eastAsia" w:eastAsia="方正仿宋_GBK"/>
          <w:sz w:val="32"/>
          <w:szCs w:val="32"/>
        </w:rPr>
        <w:t>指事业单位在专业业务活动及其辅助活动之外开展非独立核算经营活动发生的支出。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（十二）“三公”经费：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（十三）机关运行经费：</w:t>
      </w:r>
      <w:r>
        <w:rPr>
          <w:rFonts w:hint="eastAsia"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eastAsia="方正仿宋_GBK"/>
          <w:sz w:val="32"/>
          <w:szCs w:val="32"/>
        </w:rPr>
        <w:t>反映单位开支的在职职工和编制外长期聘用人员的各类劳动报酬，以及为上述人员缴纳的各项社会保险费等。</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eastAsia="方正仿宋_GBK"/>
          <w:sz w:val="32"/>
          <w:szCs w:val="32"/>
        </w:rPr>
        <w:t>反映单位购买商品和服务的支出（不包括用于购置固定资产的支出、战略性和应急储备支出）。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eastAsia="方正仿宋_GBK"/>
          <w:sz w:val="32"/>
          <w:szCs w:val="32"/>
        </w:rPr>
        <w:t>反映用于对个人和家庭的补助支出。</w:t>
      </w:r>
    </w:p>
    <w:p>
      <w:pPr>
        <w:spacing w:line="600" w:lineRule="exact"/>
        <w:ind w:firstLine="525"/>
        <w:jc w:val="left"/>
        <w:rPr>
          <w:rFonts w:eastAsia="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525"/>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spacing w:line="600" w:lineRule="exact"/>
        <w:ind w:firstLine="525"/>
        <w:jc w:val="left"/>
        <w:rPr>
          <w:rFonts w:eastAsia="方正仿宋_GBK"/>
          <w:sz w:val="32"/>
          <w:szCs w:val="32"/>
        </w:rPr>
      </w:pPr>
      <w:r>
        <w:rPr>
          <w:rFonts w:hint="eastAsia" w:eastAsia="方正仿宋_GBK"/>
          <w:sz w:val="32"/>
          <w:szCs w:val="32"/>
        </w:rPr>
        <w:t>本单位决算公开信息反馈和联系方式：</w:t>
      </w:r>
    </w:p>
    <w:p>
      <w:pPr>
        <w:spacing w:line="600" w:lineRule="exact"/>
        <w:ind w:firstLine="525"/>
        <w:jc w:val="left"/>
        <w:rPr>
          <w:rFonts w:eastAsia="方正仿宋_GBK"/>
          <w:sz w:val="32"/>
          <w:szCs w:val="32"/>
        </w:rPr>
      </w:pPr>
      <w:r>
        <w:rPr>
          <w:rFonts w:hint="eastAsia" w:eastAsia="方正仿宋_GBK"/>
          <w:sz w:val="32"/>
          <w:szCs w:val="32"/>
        </w:rPr>
        <w:t>范明志   023-59265045</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20" w:lineRule="exact"/>
        <w:ind w:right="641"/>
        <w:rPr>
          <w:rFonts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646430"/>
    </w:sdtPr>
    <w:sdtEndPr>
      <w:rPr>
        <w:rFonts w:asciiTheme="minorEastAsia" w:hAnsiTheme="minorEastAsia" w:eastAsiaTheme="minorEastAsia"/>
        <w:sz w:val="28"/>
        <w:szCs w:val="28"/>
      </w:rPr>
    </w:sdtEndPr>
    <w:sdtContent>
      <w:p>
        <w:pPr>
          <w:pStyle w:val="1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717033"/>
    </w:sdtPr>
    <w:sdtEndPr>
      <w:rPr>
        <w:rFonts w:asciiTheme="minorEastAsia" w:hAnsiTheme="minorEastAsia" w:eastAsiaTheme="minorEastAsia"/>
        <w:sz w:val="28"/>
        <w:szCs w:val="28"/>
      </w:rPr>
    </w:sdtEndPr>
    <w:sdtContent>
      <w:p>
        <w:pPr>
          <w:pStyle w:val="1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ZmMxYzJlZTBkZWQwZTBkOWQ5OWUwMmIwZGE1NzIifQ=="/>
  </w:docVars>
  <w:rsids>
    <w:rsidRoot w:val="00A741F7"/>
    <w:rsid w:val="000925ED"/>
    <w:rsid w:val="000A49CD"/>
    <w:rsid w:val="000C1598"/>
    <w:rsid w:val="000D3900"/>
    <w:rsid w:val="00100DBE"/>
    <w:rsid w:val="001C39A9"/>
    <w:rsid w:val="002227BA"/>
    <w:rsid w:val="00273FFA"/>
    <w:rsid w:val="003A7E16"/>
    <w:rsid w:val="003D634C"/>
    <w:rsid w:val="00415D18"/>
    <w:rsid w:val="00471ADB"/>
    <w:rsid w:val="00482AA7"/>
    <w:rsid w:val="00496496"/>
    <w:rsid w:val="004B5F36"/>
    <w:rsid w:val="00531D2C"/>
    <w:rsid w:val="00683A25"/>
    <w:rsid w:val="006A59BC"/>
    <w:rsid w:val="006B3A80"/>
    <w:rsid w:val="007C2116"/>
    <w:rsid w:val="00862F1A"/>
    <w:rsid w:val="0087103B"/>
    <w:rsid w:val="008E62A8"/>
    <w:rsid w:val="009D1AFA"/>
    <w:rsid w:val="00A26EB4"/>
    <w:rsid w:val="00A741F7"/>
    <w:rsid w:val="00AC3AAF"/>
    <w:rsid w:val="00B77D02"/>
    <w:rsid w:val="00D563CD"/>
    <w:rsid w:val="00DB1404"/>
    <w:rsid w:val="014B68BB"/>
    <w:rsid w:val="016245C6"/>
    <w:rsid w:val="016E2F6B"/>
    <w:rsid w:val="018D0294"/>
    <w:rsid w:val="01AE4F23"/>
    <w:rsid w:val="01BE702C"/>
    <w:rsid w:val="020D43F8"/>
    <w:rsid w:val="02C80591"/>
    <w:rsid w:val="02FC1D72"/>
    <w:rsid w:val="03150EB3"/>
    <w:rsid w:val="031900F9"/>
    <w:rsid w:val="036A0551"/>
    <w:rsid w:val="03AC61E3"/>
    <w:rsid w:val="03EB7101"/>
    <w:rsid w:val="03F06149"/>
    <w:rsid w:val="04700DA8"/>
    <w:rsid w:val="048C29F7"/>
    <w:rsid w:val="05864BF1"/>
    <w:rsid w:val="05EC1E32"/>
    <w:rsid w:val="06110369"/>
    <w:rsid w:val="07332B3D"/>
    <w:rsid w:val="07AB20F7"/>
    <w:rsid w:val="07E2660A"/>
    <w:rsid w:val="083311CC"/>
    <w:rsid w:val="088D44A2"/>
    <w:rsid w:val="08931B28"/>
    <w:rsid w:val="089D01CA"/>
    <w:rsid w:val="08A90123"/>
    <w:rsid w:val="091B1E93"/>
    <w:rsid w:val="09286392"/>
    <w:rsid w:val="093224AA"/>
    <w:rsid w:val="094A3616"/>
    <w:rsid w:val="098723E1"/>
    <w:rsid w:val="09EE0BE4"/>
    <w:rsid w:val="0A7F7E83"/>
    <w:rsid w:val="0AF270F5"/>
    <w:rsid w:val="0B6567A1"/>
    <w:rsid w:val="0B89068D"/>
    <w:rsid w:val="0BDB1B1B"/>
    <w:rsid w:val="0C311BB2"/>
    <w:rsid w:val="0D2D17EC"/>
    <w:rsid w:val="0E680D42"/>
    <w:rsid w:val="0F453E99"/>
    <w:rsid w:val="0F7C5727"/>
    <w:rsid w:val="104045F7"/>
    <w:rsid w:val="104A24F4"/>
    <w:rsid w:val="1055392C"/>
    <w:rsid w:val="10A64913"/>
    <w:rsid w:val="11773DC8"/>
    <w:rsid w:val="11FC1ECD"/>
    <w:rsid w:val="12AF0E0C"/>
    <w:rsid w:val="12CA5219"/>
    <w:rsid w:val="12DF2796"/>
    <w:rsid w:val="132D4308"/>
    <w:rsid w:val="13477FB3"/>
    <w:rsid w:val="139E5904"/>
    <w:rsid w:val="13FB5157"/>
    <w:rsid w:val="141F1494"/>
    <w:rsid w:val="142B6A9A"/>
    <w:rsid w:val="14EC43D8"/>
    <w:rsid w:val="15407FAE"/>
    <w:rsid w:val="159B25AD"/>
    <w:rsid w:val="1617696C"/>
    <w:rsid w:val="167A73AB"/>
    <w:rsid w:val="16D37086"/>
    <w:rsid w:val="16DE4E64"/>
    <w:rsid w:val="170E1FD6"/>
    <w:rsid w:val="17C60010"/>
    <w:rsid w:val="18A02B1B"/>
    <w:rsid w:val="19152D61"/>
    <w:rsid w:val="19185113"/>
    <w:rsid w:val="1A5D3725"/>
    <w:rsid w:val="1A633F66"/>
    <w:rsid w:val="1A79495F"/>
    <w:rsid w:val="1AA82AC5"/>
    <w:rsid w:val="1B2A4C6D"/>
    <w:rsid w:val="1C044451"/>
    <w:rsid w:val="1C13053F"/>
    <w:rsid w:val="1CAA6F27"/>
    <w:rsid w:val="1CC22708"/>
    <w:rsid w:val="1D7B12C3"/>
    <w:rsid w:val="1D7F059E"/>
    <w:rsid w:val="1D8B2357"/>
    <w:rsid w:val="1DDA5BEE"/>
    <w:rsid w:val="1DFA31CF"/>
    <w:rsid w:val="1E664310"/>
    <w:rsid w:val="1EC93067"/>
    <w:rsid w:val="1F8E3603"/>
    <w:rsid w:val="211F650C"/>
    <w:rsid w:val="221823AD"/>
    <w:rsid w:val="229E3DC8"/>
    <w:rsid w:val="23272918"/>
    <w:rsid w:val="23B0101A"/>
    <w:rsid w:val="2450215D"/>
    <w:rsid w:val="2459441D"/>
    <w:rsid w:val="25D00710"/>
    <w:rsid w:val="263406A1"/>
    <w:rsid w:val="26E677C8"/>
    <w:rsid w:val="27237EB2"/>
    <w:rsid w:val="272900FB"/>
    <w:rsid w:val="277462D1"/>
    <w:rsid w:val="27AB4A57"/>
    <w:rsid w:val="27B85EE1"/>
    <w:rsid w:val="27C47B5B"/>
    <w:rsid w:val="27DA5743"/>
    <w:rsid w:val="27DD5EA5"/>
    <w:rsid w:val="287A3C58"/>
    <w:rsid w:val="28E103A5"/>
    <w:rsid w:val="290D33A6"/>
    <w:rsid w:val="297234C3"/>
    <w:rsid w:val="299E0B9D"/>
    <w:rsid w:val="29EE6148"/>
    <w:rsid w:val="29F6310B"/>
    <w:rsid w:val="2A613458"/>
    <w:rsid w:val="2A9A7776"/>
    <w:rsid w:val="2AD90D70"/>
    <w:rsid w:val="2ADB2B70"/>
    <w:rsid w:val="2B145E7A"/>
    <w:rsid w:val="2B767114"/>
    <w:rsid w:val="2B7811FC"/>
    <w:rsid w:val="2BA90579"/>
    <w:rsid w:val="2BEA7F2B"/>
    <w:rsid w:val="2C011462"/>
    <w:rsid w:val="2C8B2213"/>
    <w:rsid w:val="2CB74787"/>
    <w:rsid w:val="2CC240F1"/>
    <w:rsid w:val="2CED26E7"/>
    <w:rsid w:val="2D57705F"/>
    <w:rsid w:val="2E921798"/>
    <w:rsid w:val="2FDB716E"/>
    <w:rsid w:val="30576692"/>
    <w:rsid w:val="305D17EE"/>
    <w:rsid w:val="30AC6EA9"/>
    <w:rsid w:val="31593BE0"/>
    <w:rsid w:val="32292413"/>
    <w:rsid w:val="330252FE"/>
    <w:rsid w:val="330C4C9A"/>
    <w:rsid w:val="33C963DA"/>
    <w:rsid w:val="34200C02"/>
    <w:rsid w:val="346949A1"/>
    <w:rsid w:val="34B07DEF"/>
    <w:rsid w:val="34BF2BBB"/>
    <w:rsid w:val="351647A5"/>
    <w:rsid w:val="360A3DB2"/>
    <w:rsid w:val="36194015"/>
    <w:rsid w:val="36897924"/>
    <w:rsid w:val="36921977"/>
    <w:rsid w:val="36AE23B7"/>
    <w:rsid w:val="37F91BD7"/>
    <w:rsid w:val="386330BC"/>
    <w:rsid w:val="3880485A"/>
    <w:rsid w:val="38AB53F5"/>
    <w:rsid w:val="395A1104"/>
    <w:rsid w:val="39A539A0"/>
    <w:rsid w:val="3A6A4063"/>
    <w:rsid w:val="3B4A01D0"/>
    <w:rsid w:val="3B956BA3"/>
    <w:rsid w:val="3B9705B5"/>
    <w:rsid w:val="3B9A7EDD"/>
    <w:rsid w:val="3C114C29"/>
    <w:rsid w:val="3CC30DB7"/>
    <w:rsid w:val="3CDC62D4"/>
    <w:rsid w:val="3D8C7CFA"/>
    <w:rsid w:val="3E6E0D50"/>
    <w:rsid w:val="3EAA3001"/>
    <w:rsid w:val="3F0259AA"/>
    <w:rsid w:val="3F39369C"/>
    <w:rsid w:val="3F974070"/>
    <w:rsid w:val="404E573A"/>
    <w:rsid w:val="4057701C"/>
    <w:rsid w:val="40ED400F"/>
    <w:rsid w:val="41137DFA"/>
    <w:rsid w:val="41A27AEC"/>
    <w:rsid w:val="41A62D88"/>
    <w:rsid w:val="41E4592C"/>
    <w:rsid w:val="42117B88"/>
    <w:rsid w:val="435E5C94"/>
    <w:rsid w:val="43DA0B8F"/>
    <w:rsid w:val="43DC05FB"/>
    <w:rsid w:val="44B3475A"/>
    <w:rsid w:val="44E2735C"/>
    <w:rsid w:val="45777369"/>
    <w:rsid w:val="45BB5620"/>
    <w:rsid w:val="46B63370"/>
    <w:rsid w:val="46E960FD"/>
    <w:rsid w:val="477D4E7D"/>
    <w:rsid w:val="47BE53DD"/>
    <w:rsid w:val="482A5D6A"/>
    <w:rsid w:val="484E53A6"/>
    <w:rsid w:val="485F6737"/>
    <w:rsid w:val="48B30830"/>
    <w:rsid w:val="49C0725C"/>
    <w:rsid w:val="4A040CB3"/>
    <w:rsid w:val="4A67524A"/>
    <w:rsid w:val="4A8204BA"/>
    <w:rsid w:val="4AAB50DC"/>
    <w:rsid w:val="4AB31DCE"/>
    <w:rsid w:val="4ABF0D28"/>
    <w:rsid w:val="4B0F5E30"/>
    <w:rsid w:val="4B9C2D5F"/>
    <w:rsid w:val="4C7A0356"/>
    <w:rsid w:val="4DA816CB"/>
    <w:rsid w:val="4DCD7B23"/>
    <w:rsid w:val="4DF55447"/>
    <w:rsid w:val="4E27339D"/>
    <w:rsid w:val="4E5D283A"/>
    <w:rsid w:val="4E692BC3"/>
    <w:rsid w:val="4F656D6A"/>
    <w:rsid w:val="4FCD5628"/>
    <w:rsid w:val="506956EC"/>
    <w:rsid w:val="50D47F3A"/>
    <w:rsid w:val="50E27F05"/>
    <w:rsid w:val="52DD59F4"/>
    <w:rsid w:val="52FA5757"/>
    <w:rsid w:val="53647377"/>
    <w:rsid w:val="543A1E06"/>
    <w:rsid w:val="544E58B1"/>
    <w:rsid w:val="545C1D58"/>
    <w:rsid w:val="547042C1"/>
    <w:rsid w:val="5480380C"/>
    <w:rsid w:val="54A12006"/>
    <w:rsid w:val="54A95628"/>
    <w:rsid w:val="54DE61E6"/>
    <w:rsid w:val="54E62062"/>
    <w:rsid w:val="54F326AE"/>
    <w:rsid w:val="54FE2E33"/>
    <w:rsid w:val="553F5408"/>
    <w:rsid w:val="55E65ACC"/>
    <w:rsid w:val="567C5415"/>
    <w:rsid w:val="57257B56"/>
    <w:rsid w:val="574E2079"/>
    <w:rsid w:val="57C2639A"/>
    <w:rsid w:val="580E7831"/>
    <w:rsid w:val="586048F0"/>
    <w:rsid w:val="5920684D"/>
    <w:rsid w:val="593119BC"/>
    <w:rsid w:val="593A20E3"/>
    <w:rsid w:val="59811D30"/>
    <w:rsid w:val="598633F7"/>
    <w:rsid w:val="59FB5D7D"/>
    <w:rsid w:val="5AC4067B"/>
    <w:rsid w:val="5B4A5024"/>
    <w:rsid w:val="5BD4291D"/>
    <w:rsid w:val="5BF94355"/>
    <w:rsid w:val="5D032373"/>
    <w:rsid w:val="5D281140"/>
    <w:rsid w:val="5D543F38"/>
    <w:rsid w:val="5E6D7CD2"/>
    <w:rsid w:val="5EE80859"/>
    <w:rsid w:val="5F226978"/>
    <w:rsid w:val="5F6A132F"/>
    <w:rsid w:val="60636240"/>
    <w:rsid w:val="6096330C"/>
    <w:rsid w:val="616F6815"/>
    <w:rsid w:val="61905149"/>
    <w:rsid w:val="61970898"/>
    <w:rsid w:val="6339634B"/>
    <w:rsid w:val="63764A9A"/>
    <w:rsid w:val="63E71B4D"/>
    <w:rsid w:val="64305F0E"/>
    <w:rsid w:val="64706F48"/>
    <w:rsid w:val="64B2067E"/>
    <w:rsid w:val="65A90252"/>
    <w:rsid w:val="66291CDA"/>
    <w:rsid w:val="664C39B6"/>
    <w:rsid w:val="66687C94"/>
    <w:rsid w:val="66AD619A"/>
    <w:rsid w:val="68A81261"/>
    <w:rsid w:val="68F41FBA"/>
    <w:rsid w:val="699878A2"/>
    <w:rsid w:val="69D16911"/>
    <w:rsid w:val="6A4109BC"/>
    <w:rsid w:val="6AC94E5D"/>
    <w:rsid w:val="6B017F8D"/>
    <w:rsid w:val="6B3A4F9D"/>
    <w:rsid w:val="6B9B25A4"/>
    <w:rsid w:val="6C0F6F8C"/>
    <w:rsid w:val="6C474C68"/>
    <w:rsid w:val="6D0A63C2"/>
    <w:rsid w:val="6D6F41AC"/>
    <w:rsid w:val="6E056B89"/>
    <w:rsid w:val="6E0752BE"/>
    <w:rsid w:val="6E514357"/>
    <w:rsid w:val="6EBC56E5"/>
    <w:rsid w:val="6FAF14A2"/>
    <w:rsid w:val="701A018C"/>
    <w:rsid w:val="701F378A"/>
    <w:rsid w:val="7157633A"/>
    <w:rsid w:val="71EC078C"/>
    <w:rsid w:val="72286BF0"/>
    <w:rsid w:val="72A746B3"/>
    <w:rsid w:val="73837B03"/>
    <w:rsid w:val="73B21AE2"/>
    <w:rsid w:val="73EB38D1"/>
    <w:rsid w:val="741509A0"/>
    <w:rsid w:val="74657FA9"/>
    <w:rsid w:val="746A4C4E"/>
    <w:rsid w:val="74F841D7"/>
    <w:rsid w:val="750C7DAF"/>
    <w:rsid w:val="751D608B"/>
    <w:rsid w:val="756D7387"/>
    <w:rsid w:val="77207B6B"/>
    <w:rsid w:val="77C17FC5"/>
    <w:rsid w:val="78AA32B4"/>
    <w:rsid w:val="78B611AB"/>
    <w:rsid w:val="793D367B"/>
    <w:rsid w:val="7947179A"/>
    <w:rsid w:val="7A423121"/>
    <w:rsid w:val="7A4A0FEC"/>
    <w:rsid w:val="7ACF4FD8"/>
    <w:rsid w:val="7AF10738"/>
    <w:rsid w:val="7B2218F4"/>
    <w:rsid w:val="7BA4737C"/>
    <w:rsid w:val="7BA61B26"/>
    <w:rsid w:val="7BBF481B"/>
    <w:rsid w:val="7BF35DED"/>
    <w:rsid w:val="7BF546E1"/>
    <w:rsid w:val="7C9E260A"/>
    <w:rsid w:val="7CBC0D5A"/>
    <w:rsid w:val="7CDE2024"/>
    <w:rsid w:val="7D8D5EE7"/>
    <w:rsid w:val="7E5A082B"/>
    <w:rsid w:val="7E866505"/>
    <w:rsid w:val="7E9E696A"/>
    <w:rsid w:val="7FCB4E58"/>
    <w:rsid w:val="7FCF3E49"/>
    <w:rsid w:val="7FE75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widowControl/>
      <w:spacing w:before="480" w:line="276" w:lineRule="auto"/>
      <w:contextualSpacing/>
      <w:jc w:val="left"/>
      <w:outlineLvl w:val="0"/>
    </w:pPr>
    <w:rPr>
      <w:rFonts w:asciiTheme="majorHAnsi" w:hAnsiTheme="majorHAnsi" w:eastAsiaTheme="majorEastAsia" w:cstheme="majorBidi"/>
      <w:b/>
      <w:bCs/>
      <w:kern w:val="0"/>
      <w:sz w:val="28"/>
      <w:szCs w:val="28"/>
      <w:lang w:eastAsia="en-US" w:bidi="en-US"/>
    </w:rPr>
  </w:style>
  <w:style w:type="paragraph" w:styleId="3">
    <w:name w:val="heading 2"/>
    <w:basedOn w:val="1"/>
    <w:next w:val="1"/>
    <w:link w:val="22"/>
    <w:semiHidden/>
    <w:unhideWhenUsed/>
    <w:qFormat/>
    <w:uiPriority w:val="9"/>
    <w:pPr>
      <w:widowControl/>
      <w:spacing w:before="200" w:line="276" w:lineRule="auto"/>
      <w:jc w:val="left"/>
      <w:outlineLvl w:val="1"/>
    </w:pPr>
    <w:rPr>
      <w:rFonts w:asciiTheme="majorHAnsi" w:hAnsiTheme="majorHAnsi" w:eastAsiaTheme="majorEastAsia" w:cstheme="majorBidi"/>
      <w:b/>
      <w:bCs/>
      <w:kern w:val="0"/>
      <w:sz w:val="26"/>
      <w:szCs w:val="26"/>
      <w:lang w:eastAsia="en-US" w:bidi="en-US"/>
    </w:rPr>
  </w:style>
  <w:style w:type="paragraph" w:styleId="4">
    <w:name w:val="heading 3"/>
    <w:basedOn w:val="1"/>
    <w:next w:val="1"/>
    <w:link w:val="23"/>
    <w:semiHidden/>
    <w:unhideWhenUsed/>
    <w:qFormat/>
    <w:uiPriority w:val="9"/>
    <w:pPr>
      <w:widowControl/>
      <w:spacing w:before="200" w:line="271" w:lineRule="auto"/>
      <w:jc w:val="left"/>
      <w:outlineLvl w:val="2"/>
    </w:pPr>
    <w:rPr>
      <w:rFonts w:asciiTheme="majorHAnsi" w:hAnsiTheme="majorHAnsi" w:eastAsiaTheme="majorEastAsia" w:cstheme="majorBidi"/>
      <w:b/>
      <w:bCs/>
      <w:kern w:val="0"/>
      <w:sz w:val="22"/>
      <w:szCs w:val="22"/>
      <w:lang w:eastAsia="en-US" w:bidi="en-US"/>
    </w:rPr>
  </w:style>
  <w:style w:type="paragraph" w:styleId="5">
    <w:name w:val="heading 4"/>
    <w:basedOn w:val="1"/>
    <w:next w:val="1"/>
    <w:link w:val="24"/>
    <w:semiHidden/>
    <w:unhideWhenUsed/>
    <w:qFormat/>
    <w:uiPriority w:val="9"/>
    <w:pPr>
      <w:widowControl/>
      <w:spacing w:before="200" w:line="276" w:lineRule="auto"/>
      <w:jc w:val="left"/>
      <w:outlineLvl w:val="3"/>
    </w:pPr>
    <w:rPr>
      <w:rFonts w:asciiTheme="majorHAnsi" w:hAnsiTheme="majorHAnsi" w:eastAsiaTheme="majorEastAsia" w:cstheme="majorBidi"/>
      <w:b/>
      <w:bCs/>
      <w:i/>
      <w:iCs/>
      <w:kern w:val="0"/>
      <w:sz w:val="22"/>
      <w:szCs w:val="22"/>
      <w:lang w:eastAsia="en-US" w:bidi="en-US"/>
    </w:rPr>
  </w:style>
  <w:style w:type="paragraph" w:styleId="6">
    <w:name w:val="heading 5"/>
    <w:basedOn w:val="1"/>
    <w:next w:val="1"/>
    <w:link w:val="25"/>
    <w:semiHidden/>
    <w:unhideWhenUsed/>
    <w:qFormat/>
    <w:uiPriority w:val="9"/>
    <w:pPr>
      <w:widowControl/>
      <w:spacing w:before="200" w:line="276" w:lineRule="auto"/>
      <w:jc w:val="left"/>
      <w:outlineLvl w:val="4"/>
    </w:pPr>
    <w:rPr>
      <w:rFonts w:asciiTheme="majorHAnsi" w:hAnsiTheme="majorHAnsi" w:eastAsiaTheme="majorEastAsia" w:cstheme="majorBidi"/>
      <w:b/>
      <w:bCs/>
      <w:color w:val="808080" w:themeColor="text1" w:themeTint="80"/>
      <w:kern w:val="0"/>
      <w:sz w:val="22"/>
      <w:szCs w:val="22"/>
      <w:lang w:eastAsia="en-US" w:bidi="en-US"/>
      <w14:textFill>
        <w14:solidFill>
          <w14:schemeClr w14:val="tx1">
            <w14:lumMod w14:val="50000"/>
            <w14:lumOff w14:val="50000"/>
          </w14:schemeClr>
        </w14:solidFill>
      </w14:textFill>
    </w:rPr>
  </w:style>
  <w:style w:type="paragraph" w:styleId="7">
    <w:name w:val="heading 6"/>
    <w:basedOn w:val="1"/>
    <w:next w:val="1"/>
    <w:link w:val="26"/>
    <w:semiHidden/>
    <w:unhideWhenUsed/>
    <w:qFormat/>
    <w:uiPriority w:val="9"/>
    <w:pPr>
      <w:widowControl/>
      <w:spacing w:line="271" w:lineRule="auto"/>
      <w:jc w:val="left"/>
      <w:outlineLvl w:val="5"/>
    </w:pPr>
    <w:rPr>
      <w:rFonts w:asciiTheme="majorHAnsi" w:hAnsiTheme="majorHAnsi" w:eastAsiaTheme="majorEastAsia" w:cstheme="majorBidi"/>
      <w:b/>
      <w:bCs/>
      <w:i/>
      <w:iCs/>
      <w:color w:val="808080" w:themeColor="text1" w:themeTint="80"/>
      <w:kern w:val="0"/>
      <w:sz w:val="22"/>
      <w:szCs w:val="22"/>
      <w:lang w:eastAsia="en-US" w:bidi="en-US"/>
      <w14:textFill>
        <w14:solidFill>
          <w14:schemeClr w14:val="tx1">
            <w14:lumMod w14:val="50000"/>
            <w14:lumOff w14:val="50000"/>
          </w14:schemeClr>
        </w14:solidFill>
      </w14:textFill>
    </w:rPr>
  </w:style>
  <w:style w:type="paragraph" w:styleId="8">
    <w:name w:val="heading 7"/>
    <w:basedOn w:val="1"/>
    <w:next w:val="1"/>
    <w:link w:val="27"/>
    <w:semiHidden/>
    <w:unhideWhenUsed/>
    <w:qFormat/>
    <w:uiPriority w:val="9"/>
    <w:pPr>
      <w:widowControl/>
      <w:spacing w:line="276" w:lineRule="auto"/>
      <w:jc w:val="left"/>
      <w:outlineLvl w:val="6"/>
    </w:pPr>
    <w:rPr>
      <w:rFonts w:asciiTheme="majorHAnsi" w:hAnsiTheme="majorHAnsi" w:eastAsiaTheme="majorEastAsia" w:cstheme="majorBidi"/>
      <w:i/>
      <w:iCs/>
      <w:kern w:val="0"/>
      <w:sz w:val="22"/>
      <w:szCs w:val="22"/>
      <w:lang w:eastAsia="en-US" w:bidi="en-US"/>
    </w:rPr>
  </w:style>
  <w:style w:type="paragraph" w:styleId="9">
    <w:name w:val="heading 8"/>
    <w:basedOn w:val="1"/>
    <w:next w:val="1"/>
    <w:link w:val="28"/>
    <w:semiHidden/>
    <w:unhideWhenUsed/>
    <w:qFormat/>
    <w:uiPriority w:val="9"/>
    <w:pPr>
      <w:widowControl/>
      <w:spacing w:line="276" w:lineRule="auto"/>
      <w:jc w:val="left"/>
      <w:outlineLvl w:val="7"/>
    </w:pPr>
    <w:rPr>
      <w:rFonts w:asciiTheme="majorHAnsi" w:hAnsiTheme="majorHAnsi" w:eastAsiaTheme="majorEastAsia" w:cstheme="majorBidi"/>
      <w:kern w:val="0"/>
      <w:sz w:val="20"/>
      <w:szCs w:val="20"/>
      <w:lang w:eastAsia="en-US" w:bidi="en-US"/>
    </w:rPr>
  </w:style>
  <w:style w:type="paragraph" w:styleId="10">
    <w:name w:val="heading 9"/>
    <w:basedOn w:val="1"/>
    <w:next w:val="1"/>
    <w:link w:val="29"/>
    <w:semiHidden/>
    <w:unhideWhenUsed/>
    <w:qFormat/>
    <w:uiPriority w:val="9"/>
    <w:pPr>
      <w:widowControl/>
      <w:spacing w:line="276" w:lineRule="auto"/>
      <w:jc w:val="left"/>
      <w:outlineLvl w:val="8"/>
    </w:pPr>
    <w:rPr>
      <w:rFonts w:asciiTheme="majorHAnsi" w:hAnsiTheme="majorHAnsi" w:eastAsiaTheme="majorEastAsia" w:cstheme="majorBidi"/>
      <w:i/>
      <w:iCs/>
      <w:spacing w:val="5"/>
      <w:kern w:val="0"/>
      <w:sz w:val="20"/>
      <w:szCs w:val="20"/>
      <w:lang w:eastAsia="en-US" w:bidi="en-US"/>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7"/>
    <w:semiHidden/>
    <w:unhideWhenUsed/>
    <w:qFormat/>
    <w:uiPriority w:val="99"/>
    <w:rPr>
      <w:sz w:val="18"/>
      <w:szCs w:val="18"/>
    </w:rPr>
  </w:style>
  <w:style w:type="paragraph" w:styleId="12">
    <w:name w:val="footer"/>
    <w:basedOn w:val="1"/>
    <w:link w:val="46"/>
    <w:unhideWhenUsed/>
    <w:qFormat/>
    <w:uiPriority w:val="99"/>
    <w:pPr>
      <w:tabs>
        <w:tab w:val="center" w:pos="4153"/>
        <w:tab w:val="right" w:pos="8306"/>
      </w:tabs>
      <w:snapToGrid w:val="0"/>
      <w:jc w:val="left"/>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widowControl/>
      <w:spacing w:after="600" w:line="276" w:lineRule="auto"/>
      <w:jc w:val="left"/>
    </w:pPr>
    <w:rPr>
      <w:rFonts w:asciiTheme="majorHAnsi" w:hAnsiTheme="majorHAnsi" w:eastAsiaTheme="majorEastAsia" w:cstheme="majorBidi"/>
      <w:i/>
      <w:iCs/>
      <w:spacing w:val="13"/>
      <w:kern w:val="0"/>
      <w:sz w:val="24"/>
      <w:szCs w:val="24"/>
      <w:lang w:eastAsia="en-US" w:bidi="en-US"/>
    </w:rPr>
  </w:style>
  <w:style w:type="paragraph" w:styleId="15">
    <w:name w:val="Normal (Web)"/>
    <w:basedOn w:val="1"/>
    <w:qFormat/>
    <w:uiPriority w:val="0"/>
    <w:pPr>
      <w:jc w:val="left"/>
    </w:pPr>
    <w:rPr>
      <w:kern w:val="0"/>
      <w:sz w:val="24"/>
    </w:rPr>
  </w:style>
  <w:style w:type="paragraph" w:styleId="16">
    <w:name w:val="Title"/>
    <w:basedOn w:val="1"/>
    <w:next w:val="1"/>
    <w:link w:val="30"/>
    <w:qFormat/>
    <w:uiPriority w:val="10"/>
    <w:pPr>
      <w:widowControl/>
      <w:pBdr>
        <w:bottom w:val="single" w:color="auto" w:sz="4" w:space="1"/>
      </w:pBdr>
      <w:spacing w:after="200"/>
      <w:contextualSpacing/>
      <w:jc w:val="left"/>
    </w:pPr>
    <w:rPr>
      <w:rFonts w:asciiTheme="majorHAnsi" w:hAnsiTheme="majorHAnsi" w:eastAsiaTheme="majorEastAsia" w:cstheme="majorBidi"/>
      <w:spacing w:val="5"/>
      <w:kern w:val="0"/>
      <w:sz w:val="52"/>
      <w:szCs w:val="52"/>
      <w:lang w:eastAsia="en-US" w:bidi="en-US"/>
    </w:rPr>
  </w:style>
  <w:style w:type="character" w:styleId="19">
    <w:name w:val="Strong"/>
    <w:qFormat/>
    <w:uiPriority w:val="22"/>
    <w:rPr>
      <w:b/>
      <w:bCs/>
    </w:rPr>
  </w:style>
  <w:style w:type="character" w:styleId="20">
    <w:name w:val="Emphasis"/>
    <w:qFormat/>
    <w:uiPriority w:val="20"/>
    <w:rPr>
      <w:b/>
      <w:bCs/>
      <w:i/>
      <w:iCs/>
      <w:spacing w:val="10"/>
      <w:shd w:val="clear" w:color="auto" w:fill="auto"/>
    </w:rPr>
  </w:style>
  <w:style w:type="character" w:customStyle="1" w:styleId="21">
    <w:name w:val="标题 1 Char"/>
    <w:basedOn w:val="18"/>
    <w:link w:val="2"/>
    <w:qFormat/>
    <w:uiPriority w:val="9"/>
    <w:rPr>
      <w:rFonts w:asciiTheme="majorHAnsi" w:hAnsiTheme="majorHAnsi" w:eastAsiaTheme="majorEastAsia" w:cstheme="majorBidi"/>
      <w:b/>
      <w:bCs/>
      <w:sz w:val="28"/>
      <w:szCs w:val="28"/>
    </w:rPr>
  </w:style>
  <w:style w:type="character" w:customStyle="1" w:styleId="22">
    <w:name w:val="标题 2 Char"/>
    <w:basedOn w:val="18"/>
    <w:link w:val="3"/>
    <w:semiHidden/>
    <w:qFormat/>
    <w:uiPriority w:val="9"/>
    <w:rPr>
      <w:rFonts w:asciiTheme="majorHAnsi" w:hAnsiTheme="majorHAnsi" w:eastAsiaTheme="majorEastAsia" w:cstheme="majorBidi"/>
      <w:b/>
      <w:bCs/>
      <w:sz w:val="26"/>
      <w:szCs w:val="26"/>
    </w:rPr>
  </w:style>
  <w:style w:type="character" w:customStyle="1" w:styleId="23">
    <w:name w:val="标题 3 Char"/>
    <w:basedOn w:val="18"/>
    <w:link w:val="4"/>
    <w:qFormat/>
    <w:uiPriority w:val="9"/>
    <w:rPr>
      <w:rFonts w:asciiTheme="majorHAnsi" w:hAnsiTheme="majorHAnsi" w:eastAsiaTheme="majorEastAsia" w:cstheme="majorBidi"/>
      <w:b/>
      <w:bCs/>
    </w:rPr>
  </w:style>
  <w:style w:type="character" w:customStyle="1" w:styleId="24">
    <w:name w:val="标题 4 Char"/>
    <w:basedOn w:val="18"/>
    <w:link w:val="5"/>
    <w:semiHidden/>
    <w:qFormat/>
    <w:uiPriority w:val="9"/>
    <w:rPr>
      <w:rFonts w:asciiTheme="majorHAnsi" w:hAnsiTheme="majorHAnsi" w:eastAsiaTheme="majorEastAsia" w:cstheme="majorBidi"/>
      <w:b/>
      <w:bCs/>
      <w:i/>
      <w:iCs/>
    </w:rPr>
  </w:style>
  <w:style w:type="character" w:customStyle="1" w:styleId="25">
    <w:name w:val="标题 5 Char"/>
    <w:basedOn w:val="18"/>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26">
    <w:name w:val="标题 6 Char"/>
    <w:basedOn w:val="18"/>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27">
    <w:name w:val="标题 7 Char"/>
    <w:basedOn w:val="18"/>
    <w:link w:val="8"/>
    <w:semiHidden/>
    <w:qFormat/>
    <w:uiPriority w:val="9"/>
    <w:rPr>
      <w:rFonts w:asciiTheme="majorHAnsi" w:hAnsiTheme="majorHAnsi" w:eastAsiaTheme="majorEastAsia" w:cstheme="majorBidi"/>
      <w:i/>
      <w:iCs/>
    </w:rPr>
  </w:style>
  <w:style w:type="character" w:customStyle="1" w:styleId="28">
    <w:name w:val="标题 8 Char"/>
    <w:basedOn w:val="18"/>
    <w:link w:val="9"/>
    <w:semiHidden/>
    <w:qFormat/>
    <w:uiPriority w:val="9"/>
    <w:rPr>
      <w:rFonts w:asciiTheme="majorHAnsi" w:hAnsiTheme="majorHAnsi" w:eastAsiaTheme="majorEastAsia" w:cstheme="majorBidi"/>
      <w:sz w:val="20"/>
      <w:szCs w:val="20"/>
    </w:rPr>
  </w:style>
  <w:style w:type="character" w:customStyle="1" w:styleId="29">
    <w:name w:val="标题 9 Char"/>
    <w:basedOn w:val="18"/>
    <w:link w:val="10"/>
    <w:semiHidden/>
    <w:qFormat/>
    <w:uiPriority w:val="9"/>
    <w:rPr>
      <w:rFonts w:asciiTheme="majorHAnsi" w:hAnsiTheme="majorHAnsi" w:eastAsiaTheme="majorEastAsia" w:cstheme="majorBidi"/>
      <w:i/>
      <w:iCs/>
      <w:spacing w:val="5"/>
      <w:sz w:val="20"/>
      <w:szCs w:val="20"/>
    </w:rPr>
  </w:style>
  <w:style w:type="character" w:customStyle="1" w:styleId="30">
    <w:name w:val="标题 Char"/>
    <w:basedOn w:val="18"/>
    <w:link w:val="16"/>
    <w:qFormat/>
    <w:uiPriority w:val="10"/>
    <w:rPr>
      <w:rFonts w:asciiTheme="majorHAnsi" w:hAnsiTheme="majorHAnsi" w:eastAsiaTheme="majorEastAsia" w:cstheme="majorBidi"/>
      <w:spacing w:val="5"/>
      <w:sz w:val="52"/>
      <w:szCs w:val="52"/>
    </w:rPr>
  </w:style>
  <w:style w:type="character" w:customStyle="1" w:styleId="31">
    <w:name w:val="副标题 Char"/>
    <w:basedOn w:val="18"/>
    <w:link w:val="14"/>
    <w:qFormat/>
    <w:uiPriority w:val="11"/>
    <w:rPr>
      <w:rFonts w:asciiTheme="majorHAnsi" w:hAnsiTheme="majorHAnsi" w:eastAsiaTheme="majorEastAsia" w:cstheme="majorBidi"/>
      <w:i/>
      <w:iCs/>
      <w:spacing w:val="13"/>
      <w:sz w:val="24"/>
      <w:szCs w:val="24"/>
    </w:rPr>
  </w:style>
  <w:style w:type="paragraph" w:styleId="32">
    <w:name w:val="No Spacing"/>
    <w:basedOn w:val="1"/>
    <w:link w:val="33"/>
    <w:qFormat/>
    <w:uiPriority w:val="1"/>
    <w:pPr>
      <w:widowControl/>
      <w:jc w:val="left"/>
    </w:pPr>
    <w:rPr>
      <w:rFonts w:asciiTheme="minorHAnsi" w:hAnsiTheme="minorHAnsi" w:eastAsiaTheme="minorEastAsia" w:cstheme="minorBidi"/>
      <w:kern w:val="0"/>
      <w:sz w:val="22"/>
      <w:szCs w:val="22"/>
      <w:lang w:eastAsia="en-US" w:bidi="en-US"/>
    </w:rPr>
  </w:style>
  <w:style w:type="character" w:customStyle="1" w:styleId="33">
    <w:name w:val="无间隔 Char"/>
    <w:basedOn w:val="18"/>
    <w:link w:val="32"/>
    <w:qFormat/>
    <w:uiPriority w:val="1"/>
  </w:style>
  <w:style w:type="paragraph" w:styleId="34">
    <w:name w:val="List Paragraph"/>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eastAsia="en-US" w:bidi="en-US"/>
    </w:rPr>
  </w:style>
  <w:style w:type="paragraph" w:styleId="35">
    <w:name w:val="Quote"/>
    <w:basedOn w:val="1"/>
    <w:next w:val="1"/>
    <w:link w:val="36"/>
    <w:qFormat/>
    <w:uiPriority w:val="29"/>
    <w:pPr>
      <w:widowControl/>
      <w:spacing w:before="200" w:line="276" w:lineRule="auto"/>
      <w:ind w:left="360" w:right="360"/>
      <w:jc w:val="left"/>
    </w:pPr>
    <w:rPr>
      <w:rFonts w:asciiTheme="minorHAnsi" w:hAnsiTheme="minorHAnsi" w:eastAsiaTheme="minorEastAsia" w:cstheme="minorBidi"/>
      <w:i/>
      <w:iCs/>
      <w:kern w:val="0"/>
      <w:sz w:val="22"/>
      <w:szCs w:val="22"/>
      <w:lang w:eastAsia="en-US" w:bidi="en-US"/>
    </w:rPr>
  </w:style>
  <w:style w:type="character" w:customStyle="1" w:styleId="36">
    <w:name w:val="引用 Char"/>
    <w:basedOn w:val="18"/>
    <w:link w:val="35"/>
    <w:qFormat/>
    <w:uiPriority w:val="29"/>
    <w:rPr>
      <w:i/>
      <w:iCs/>
    </w:rPr>
  </w:style>
  <w:style w:type="paragraph" w:styleId="37">
    <w:name w:val="Intense Quote"/>
    <w:basedOn w:val="1"/>
    <w:next w:val="1"/>
    <w:link w:val="38"/>
    <w:qFormat/>
    <w:uiPriority w:val="30"/>
    <w:pPr>
      <w:widowControl/>
      <w:pBdr>
        <w:bottom w:val="single" w:color="auto" w:sz="4" w:space="1"/>
      </w:pBdr>
      <w:spacing w:before="200" w:after="280" w:line="276" w:lineRule="auto"/>
      <w:ind w:left="1008" w:right="1152"/>
    </w:pPr>
    <w:rPr>
      <w:rFonts w:asciiTheme="minorHAnsi" w:hAnsiTheme="minorHAnsi" w:eastAsiaTheme="minorEastAsia" w:cstheme="minorBidi"/>
      <w:b/>
      <w:bCs/>
      <w:i/>
      <w:iCs/>
      <w:kern w:val="0"/>
      <w:sz w:val="22"/>
      <w:szCs w:val="22"/>
      <w:lang w:eastAsia="en-US" w:bidi="en-US"/>
    </w:rPr>
  </w:style>
  <w:style w:type="character" w:customStyle="1" w:styleId="38">
    <w:name w:val="明显引用 Char"/>
    <w:basedOn w:val="18"/>
    <w:link w:val="37"/>
    <w:qFormat/>
    <w:uiPriority w:val="30"/>
    <w:rPr>
      <w:b/>
      <w:bCs/>
      <w:i/>
      <w:iCs/>
    </w:rPr>
  </w:style>
  <w:style w:type="character" w:customStyle="1" w:styleId="39">
    <w:name w:val="不明显强调1"/>
    <w:qFormat/>
    <w:uiPriority w:val="19"/>
    <w:rPr>
      <w:i/>
      <w:iCs/>
    </w:rPr>
  </w:style>
  <w:style w:type="character" w:customStyle="1" w:styleId="40">
    <w:name w:val="明显强调1"/>
    <w:qFormat/>
    <w:uiPriority w:val="21"/>
    <w:rPr>
      <w:b/>
      <w:bCs/>
    </w:rPr>
  </w:style>
  <w:style w:type="character" w:customStyle="1" w:styleId="41">
    <w:name w:val="不明显参考1"/>
    <w:qFormat/>
    <w:uiPriority w:val="31"/>
    <w:rPr>
      <w:smallCaps/>
    </w:rPr>
  </w:style>
  <w:style w:type="character" w:customStyle="1" w:styleId="42">
    <w:name w:val="明显参考1"/>
    <w:qFormat/>
    <w:uiPriority w:val="32"/>
    <w:rPr>
      <w:smallCaps/>
      <w:spacing w:val="5"/>
      <w:u w:val="single"/>
    </w:rPr>
  </w:style>
  <w:style w:type="character" w:customStyle="1" w:styleId="43">
    <w:name w:val="书籍标题1"/>
    <w:qFormat/>
    <w:uiPriority w:val="33"/>
    <w:rPr>
      <w:i/>
      <w:iCs/>
      <w:smallCaps/>
      <w:spacing w:val="5"/>
    </w:rPr>
  </w:style>
  <w:style w:type="paragraph" w:customStyle="1" w:styleId="44">
    <w:name w:val="TOC 标题1"/>
    <w:basedOn w:val="2"/>
    <w:next w:val="1"/>
    <w:semiHidden/>
    <w:unhideWhenUsed/>
    <w:qFormat/>
    <w:uiPriority w:val="39"/>
    <w:pPr>
      <w:outlineLvl w:val="9"/>
    </w:pPr>
  </w:style>
  <w:style w:type="character" w:customStyle="1" w:styleId="45">
    <w:name w:val="页眉 Char"/>
    <w:basedOn w:val="18"/>
    <w:link w:val="13"/>
    <w:qFormat/>
    <w:uiPriority w:val="99"/>
    <w:rPr>
      <w:rFonts w:ascii="Times New Roman" w:hAnsi="Times New Roman" w:eastAsia="宋体" w:cs="Times New Roman"/>
      <w:kern w:val="2"/>
      <w:sz w:val="18"/>
      <w:szCs w:val="18"/>
    </w:rPr>
  </w:style>
  <w:style w:type="character" w:customStyle="1" w:styleId="46">
    <w:name w:val="页脚 Char"/>
    <w:basedOn w:val="18"/>
    <w:link w:val="12"/>
    <w:qFormat/>
    <w:uiPriority w:val="99"/>
    <w:rPr>
      <w:rFonts w:ascii="Times New Roman" w:hAnsi="Times New Roman" w:eastAsia="宋体" w:cs="Times New Roman"/>
      <w:kern w:val="2"/>
      <w:sz w:val="18"/>
      <w:szCs w:val="18"/>
    </w:rPr>
  </w:style>
  <w:style w:type="character" w:customStyle="1" w:styleId="47">
    <w:name w:val="批注框文本 Char"/>
    <w:basedOn w:val="18"/>
    <w:link w:val="11"/>
    <w:semiHidden/>
    <w:qFormat/>
    <w:uiPriority w:val="99"/>
    <w:rPr>
      <w:rFonts w:ascii="Times New Roman" w:hAnsi="Times New Roman" w:eastAsia="宋体" w:cs="Times New Roman"/>
      <w:kern w:val="2"/>
      <w:sz w:val="18"/>
      <w:szCs w:val="18"/>
    </w:rPr>
  </w:style>
  <w:style w:type="paragraph" w:customStyle="1" w:styleId="48">
    <w:name w:val="普通(网站) Char"/>
    <w:basedOn w:val="1"/>
    <w:qFormat/>
    <w:uiPriority w:val="0"/>
    <w:pPr>
      <w:spacing w:beforeAutospacing="1" w:afterAutospacing="1"/>
      <w:jc w:val="left"/>
    </w:pPr>
    <w:rPr>
      <w:rFonts w:hint="eastAsia" w:ascii="宋体" w:hAnsi="宋体"/>
      <w:kern w:val="0"/>
      <w:sz w:val="24"/>
      <w:szCs w:val="24"/>
    </w:rPr>
  </w:style>
  <w:style w:type="character" w:customStyle="1" w:styleId="49">
    <w:name w:val="16"/>
    <w:basedOn w:val="1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626</Words>
  <Characters>3573</Characters>
  <Lines>29</Lines>
  <Paragraphs>8</Paragraphs>
  <TotalTime>11</TotalTime>
  <ScaleCrop>false</ScaleCrop>
  <LinksUpToDate>false</LinksUpToDate>
  <CharactersWithSpaces>4191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2022-06-27T10:39:00Z</dcterms:created>
  <dc:creator>Administrator</dc:creator>
  <cp:lastModifiedBy>ckuos</cp:lastModifiedBy>
  <cp:lastPrinted>2022-06-27T15:19:00Z</cp:lastPrinted>
  <dcterms:modified xsi:type="dcterms:W3CDTF">2023-11-22T13:34:29Z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31B80B2B77224099BE058999B9263AEB</vt:lpwstr>
  </property>
  <property fmtid="{D5CDD505-2E9C-101B-9397-08002B2CF9AE}" pid="4" name="KSOSaveFontToCloudKey">
    <vt:lpwstr>300157628_embed</vt:lpwstr>
  </property>
</Properties>
</file>