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ascii="方正小标宋_GBK" w:hAnsi="Calibri" w:eastAsia="方正小标宋_GBK"/>
          <w:sz w:val="44"/>
          <w:szCs w:val="44"/>
        </w:rPr>
      </w:pPr>
      <w:r>
        <w:rPr>
          <w:rFonts w:hint="eastAsia" w:ascii="方正小标宋_GBK" w:hAnsi="Calibri" w:eastAsia="方正小标宋_GBK"/>
          <w:sz w:val="44"/>
          <w:szCs w:val="44"/>
        </w:rPr>
        <w:t>城口县明中乡中心小学</w:t>
      </w:r>
    </w:p>
    <w:p>
      <w:pPr>
        <w:widowControl w:val="0"/>
        <w:spacing w:line="600" w:lineRule="exact"/>
        <w:jc w:val="center"/>
        <w:rPr>
          <w:rFonts w:ascii="方正小标宋_GBK" w:hAnsi="Calibri" w:eastAsia="方正小标宋_GBK"/>
          <w:sz w:val="44"/>
          <w:szCs w:val="44"/>
        </w:rPr>
      </w:pPr>
      <w:r>
        <w:rPr>
          <w:rFonts w:hint="eastAsia" w:ascii="方正小标宋_GBK" w:hAnsi="Calibri" w:eastAsia="方正小标宋_GBK"/>
          <w:sz w:val="44"/>
          <w:szCs w:val="44"/>
        </w:rPr>
        <w:t>关于</w:t>
      </w:r>
      <w:r>
        <w:rPr>
          <w:rFonts w:eastAsia="方正小标宋_GBK"/>
          <w:sz w:val="44"/>
          <w:szCs w:val="44"/>
        </w:rPr>
        <w:t>2022</w:t>
      </w:r>
      <w:r>
        <w:rPr>
          <w:rFonts w:hint="eastAsia" w:ascii="方正小标宋_GBK" w:hAnsi="Calibri" w:eastAsia="方正小标宋_GBK"/>
          <w:sz w:val="44"/>
          <w:szCs w:val="44"/>
        </w:rPr>
        <w:t>年度部门决算情况说明</w:t>
      </w:r>
    </w:p>
    <w:p>
      <w:pPr>
        <w:widowControl w:val="0"/>
        <w:spacing w:line="600" w:lineRule="exact"/>
        <w:jc w:val="center"/>
        <w:rPr>
          <w:rFonts w:ascii="方正小标宋_GBK" w:hAnsi="Calibri" w:eastAsia="方正小标宋_GBK"/>
          <w:sz w:val="44"/>
          <w:szCs w:val="44"/>
        </w:rPr>
      </w:pP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一、部门基本情况</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（一）职能职责</w:t>
      </w:r>
    </w:p>
    <w:p>
      <w:pPr>
        <w:ind w:firstLine="632" w:firstLineChars="200"/>
        <w:rPr>
          <w:rFonts w:ascii="方正仿宋_GBK"/>
        </w:rPr>
      </w:pPr>
      <w:r>
        <w:rPr>
          <w:rFonts w:hint="eastAsia" w:ascii="方正仿宋_GBK"/>
        </w:rPr>
        <w:t>从事义务教育及学前教育教学工作,组织教育教学、科学研究活动，保证教育教学质量。维护教职工利益，保障教职工合法权益，以教职工和学生的人生幸福和生命质量作为重点。</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（二）机构设置</w:t>
      </w:r>
    </w:p>
    <w:p>
      <w:pPr>
        <w:ind w:firstLine="632" w:firstLineChars="200"/>
        <w:rPr>
          <w:rFonts w:ascii="方正仿宋_GBK"/>
        </w:rPr>
      </w:pPr>
      <w:r>
        <w:rPr>
          <w:rFonts w:hint="eastAsia" w:ascii="方正仿宋_GBK"/>
        </w:rPr>
        <w:t>为独立的事业单位，下设教务处、工会、少先队大队部等职能办公室。</w:t>
      </w: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二、部门决算情况说明</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（一）收入支出决算总体情况说明</w:t>
      </w:r>
    </w:p>
    <w:p>
      <w:pPr>
        <w:ind w:firstLine="632" w:firstLineChars="200"/>
        <w:rPr>
          <w:rFonts w:ascii="方正仿宋_GBK"/>
        </w:rPr>
      </w:pPr>
      <w:r>
        <w:t>1.</w:t>
      </w:r>
      <w:r>
        <w:rPr>
          <w:rFonts w:hint="eastAsia" w:ascii="方正仿宋_GBK"/>
        </w:rPr>
        <w:t>总体情况。</w:t>
      </w:r>
      <w:r>
        <w:t>2022</w:t>
      </w:r>
      <w:r>
        <w:rPr>
          <w:rFonts w:hint="eastAsia" w:ascii="方正仿宋_GBK"/>
        </w:rPr>
        <w:t>年度收入总计</w:t>
      </w:r>
      <w:r>
        <w:t>743.76</w:t>
      </w:r>
      <w:r>
        <w:rPr>
          <w:rFonts w:hint="eastAsia" w:ascii="方正仿宋_GBK"/>
        </w:rPr>
        <w:t>万元，支出总计</w:t>
      </w:r>
      <w:r>
        <w:t>743.76</w:t>
      </w:r>
      <w:r>
        <w:rPr>
          <w:rFonts w:hint="eastAsia" w:ascii="方正仿宋_GBK"/>
        </w:rPr>
        <w:t>万元。收支较上年决算数减少</w:t>
      </w:r>
      <w:r>
        <w:rPr>
          <w:rFonts w:hint="eastAsia"/>
        </w:rPr>
        <w:t>231.66</w:t>
      </w:r>
      <w:r>
        <w:rPr>
          <w:rFonts w:hint="eastAsia" w:ascii="方正仿宋_GBK"/>
        </w:rPr>
        <w:t>万元,下降</w:t>
      </w:r>
      <w:r>
        <w:rPr>
          <w:rFonts w:hint="eastAsia"/>
        </w:rPr>
        <w:t>23.7%</w:t>
      </w:r>
      <w:r>
        <w:rPr>
          <w:rFonts w:hint="eastAsia" w:ascii="方正仿宋_GBK"/>
        </w:rPr>
        <w:t>，主要原因是本年度在建工程费用减少。</w:t>
      </w:r>
    </w:p>
    <w:p>
      <w:pPr>
        <w:ind w:firstLine="632" w:firstLineChars="200"/>
      </w:pPr>
      <w:r>
        <w:t>2.收入情况。2022年度收入合计654.48万元，较上年决算数减少113.72万元，下降14.8%，主要原因是本年度在建工程费用减少。其中：财政拨款收入637.05万元，占97.3%；事业收入7.33万元，占1.1%；经营收入0.00万元，占0%；其他收入10.11万元，占1.5%。此外，使用非财政拨款结余0.00万元，年初结转和结余89.27万元。</w:t>
      </w:r>
    </w:p>
    <w:p>
      <w:pPr>
        <w:ind w:firstLine="632" w:firstLineChars="200"/>
      </w:pPr>
      <w:r>
        <w:t>3.支出情况。2022年度支出合计648.55万元，较上年决算减少237.60万元，下降26.8%，主要原因是本年度在建工程费用减少。其中：基本支出525.69万元，占81.1%；项目支出122.86万元，占18.9%；经营支出0.00万元，占0%。此外，结余分配0.00万元。</w:t>
      </w:r>
    </w:p>
    <w:p>
      <w:pPr>
        <w:ind w:firstLine="632" w:firstLineChars="200"/>
      </w:pPr>
      <w:r>
        <w:t>4.结转结余情况。2022年度年末结转和结余95.21万元，较上年决算数增加5.94万元，增长6.7%，主要原因是本年度相关费用没有及时实现支出。</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（二）财政拨款收入支出决算总体情况说明</w:t>
      </w:r>
    </w:p>
    <w:p>
      <w:pPr>
        <w:ind w:firstLine="632" w:firstLineChars="200"/>
      </w:pPr>
      <w:r>
        <w:t>2022年度财政拨款收、支总计637.05万元。与2021年相比，财政拨款收、支总计各减少128.06万元，下降16.7%。主要原因是本年度在建工程费用减少。</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（三）一般公共预算财政拨款收入支出决算情况说明</w:t>
      </w:r>
    </w:p>
    <w:p>
      <w:pPr>
        <w:ind w:firstLine="632" w:firstLineChars="200"/>
      </w:pPr>
      <w:r>
        <w:t>1.收入情况。2022年度一般公共预算财政拨款收入636.16万元，较上年决算数减少119.77万元，下降15.8%。主要原因是本年度在建工程费用减少。较年初预算数增加142.64万元，增长28.9%。主要原因是人员经费、项目经费追加预算。此外，年初财政拨款结转和结余0.00万元。</w:t>
      </w:r>
    </w:p>
    <w:p>
      <w:pPr>
        <w:ind w:firstLine="632" w:firstLineChars="200"/>
      </w:pPr>
      <w:r>
        <w:t>2.支出情况。2022年度一般公共预算财政拨款支出636.16万元，较上年决算数减少123.03万元，下降16.2%。主要原因是本年度在建工程费用减少。较年初预算数增加142.64万元，增长28.9%。主要原因是人员经费、项目经费追加预算。</w:t>
      </w:r>
    </w:p>
    <w:p>
      <w:pPr>
        <w:ind w:firstLine="632" w:firstLineChars="200"/>
      </w:pPr>
      <w:r>
        <w:t>3.结转结余情况。2022年度年末一般公共预算财政拨款结转和结余0.00万元，较上年决算数增加0.00万元，增长%，主要原因是预算执行到位，无结余。</w:t>
      </w:r>
    </w:p>
    <w:p>
      <w:pPr>
        <w:ind w:firstLine="632" w:firstLineChars="200"/>
      </w:pPr>
      <w:r>
        <w:t>4.比较情况。本部门2022年度一般公共预算财政拨款支出主要用于以下几个方面：</w:t>
      </w:r>
    </w:p>
    <w:p>
      <w:pPr>
        <w:ind w:firstLine="632" w:firstLineChars="200"/>
      </w:pPr>
      <w:r>
        <w:t>（1）一般公共服务支出0.54万元，占0.1%，较年初预算数减少1.50万元，下降73.5%，主要原因是预算调整减少。</w:t>
      </w:r>
    </w:p>
    <w:p>
      <w:pPr>
        <w:ind w:firstLine="632" w:firstLineChars="200"/>
      </w:pPr>
      <w:r>
        <w:t>（2）教育支出537.50万元，占84.5%，较年初预算数增加174.03，增长47.9%，主要原因是人员经费、项目经费追加预算。</w:t>
      </w:r>
    </w:p>
    <w:p>
      <w:pPr>
        <w:ind w:firstLine="632" w:firstLineChars="200"/>
      </w:pPr>
      <w:r>
        <w:t>（3）社会保障与就业支出50.86万元，占8%，较年初预算数减少29.90万元，下降37%，主要原因是年中人员减少。</w:t>
      </w:r>
    </w:p>
    <w:p>
      <w:pPr>
        <w:ind w:firstLine="632" w:firstLineChars="200"/>
      </w:pPr>
      <w:r>
        <w:t>（4）卫生健康支出21.83万元，占3.4%，较年初预算数增加0.00万元，增长0%，主要原因是未作预算调整。</w:t>
      </w:r>
    </w:p>
    <w:p>
      <w:pPr>
        <w:ind w:firstLine="632" w:firstLineChars="200"/>
        <w:rPr>
          <w:rFonts w:ascii="方正仿宋_GBK"/>
        </w:rPr>
      </w:pPr>
      <w:r>
        <w:t>（5）住房保障支出25.43万元，占4%，较年初预算数增加0.00万元，增长0%，主要原因是未作预算调整。</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（四）一般公共预算财政拨款基本支出决算情况说明</w:t>
      </w:r>
    </w:p>
    <w:p>
      <w:pPr>
        <w:ind w:firstLine="632" w:firstLineChars="200"/>
      </w:pPr>
      <w:r>
        <w:t>2022年度一般公共预算财政拨款基本支出524.85万元。其中：人员经费486.80万元，较上年决算数减少1.89万元，下降0.4%，主要原因是人员减少。人员经费用途主要包括基本工资、津贴补贴、绩效工资、社会保障缴费等。公用经费38.05万元，较上年决算数减少44.80万元，下降54.1%，主要原因是学生人数减少。公用经费用途主要包括办公费、水费、电费、邮电费、差旅费、维修费、培训费、工会费等。</w:t>
      </w:r>
    </w:p>
    <w:p>
      <w:pPr>
        <w:ind w:firstLine="632" w:firstLineChars="200"/>
        <w:rPr>
          <w:rFonts w:eastAsia="方正楷体_GBK"/>
        </w:rPr>
      </w:pPr>
      <w:r>
        <w:rPr>
          <w:rFonts w:eastAsia="方正楷体_GBK"/>
        </w:rPr>
        <w:t>（五）政府性基金预算收支决算情况说明</w:t>
      </w:r>
    </w:p>
    <w:p>
      <w:pPr>
        <w:ind w:firstLine="632" w:firstLineChars="200"/>
      </w:pPr>
      <w:r>
        <w:t>2022年度政府性基金预算财政拨款年初结转结余0.00万元，年末结转结余0.00万元。本年收入0.89万元，较上年决算数减少5.02万元，下降84.9%，主要原因是乡村少年宫运行经费减少。本年支出0.89万元，较上年决算数减少5.02万元，下降84.9%，主要原因是乡村少年宫运行经费减少。</w:t>
      </w:r>
    </w:p>
    <w:p>
      <w:pPr>
        <w:ind w:firstLine="632" w:firstLineChars="200"/>
        <w:rPr>
          <w:rFonts w:eastAsia="方正楷体_GBK"/>
        </w:rPr>
      </w:pPr>
      <w:r>
        <w:rPr>
          <w:rFonts w:eastAsia="方正楷体_GBK"/>
        </w:rPr>
        <w:t>（六）国有资本经营预算财政拨款支出决算情况说明</w:t>
      </w:r>
    </w:p>
    <w:p>
      <w:pPr>
        <w:ind w:firstLine="632" w:firstLineChars="200"/>
        <w:rPr>
          <w:rFonts w:ascii="方正仿宋_GBK"/>
        </w:rPr>
      </w:pPr>
      <w:r>
        <w:t>本部门2022年度无国有资本经营预算财政拨款支出。</w:t>
      </w: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三、“三公”经费情况说明</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（一）“三公”经费支出总体情况说明</w:t>
      </w:r>
    </w:p>
    <w:p>
      <w:pPr>
        <w:ind w:firstLine="632" w:firstLineChars="200"/>
      </w:pPr>
      <w:r>
        <w:t>2022年度“三公”经费支出共计0.21万元，较年初预算数减少0.89万元，下降80.9%，主要原因是在年初预算的基础上减少了一些不必要的接待。较上年支出数减少0.97万元，下降82.2%，主要原因是严格执行中央八项</w:t>
      </w:r>
      <w:r>
        <w:rPr>
          <w:rFonts w:hint="eastAsia"/>
        </w:rPr>
        <w:t>规定</w:t>
      </w:r>
      <w:r>
        <w:t>，力争“三公”经费只减不增。</w:t>
      </w:r>
    </w:p>
    <w:p>
      <w:pPr>
        <w:ind w:firstLine="632" w:firstLineChars="200"/>
        <w:rPr>
          <w:rFonts w:eastAsia="方正楷体_GBK"/>
        </w:rPr>
      </w:pPr>
      <w:r>
        <w:rPr>
          <w:rFonts w:eastAsia="方正楷体_GBK"/>
        </w:rPr>
        <w:t>（二）“三公”经费分项支出情况</w:t>
      </w:r>
    </w:p>
    <w:p>
      <w:pPr>
        <w:pStyle w:val="6"/>
        <w:autoSpaceDE w:val="0"/>
        <w:spacing w:beforeAutospacing="0" w:afterAutospacing="0" w:line="579" w:lineRule="exact"/>
        <w:ind w:firstLine="632" w:firstLineChars="200"/>
        <w:rPr>
          <w:rFonts w:hint="default" w:ascii="方正仿宋_GBK" w:hAnsi="方正仿宋_GBK" w:eastAsia="方正仿宋_GBK" w:cs="方正仿宋_GBK"/>
          <w:sz w:val="32"/>
          <w:szCs w:val="32"/>
        </w:rPr>
      </w:pPr>
      <w:r>
        <w:rPr>
          <w:rFonts w:ascii="Times New Roman" w:hAnsi="Times New Roman" w:eastAsia="方正仿宋_GBK"/>
          <w:sz w:val="32"/>
          <w:szCs w:val="32"/>
          <w:lang w:bidi="ar"/>
        </w:rPr>
        <w:t>2022年度本部门因公出国（境）费用0.00万元</w:t>
      </w:r>
      <w:r>
        <w:rPr>
          <w:rFonts w:ascii="方正仿宋_GBK" w:hAnsi="方正仿宋_GBK" w:eastAsia="方正仿宋_GBK" w:cs="方正仿宋_GBK"/>
          <w:sz w:val="32"/>
          <w:szCs w:val="32"/>
        </w:rPr>
        <w:t>。</w:t>
      </w:r>
    </w:p>
    <w:p>
      <w:pPr>
        <w:pStyle w:val="6"/>
        <w:autoSpaceDE w:val="0"/>
        <w:spacing w:beforeAutospacing="0" w:afterAutospacing="0" w:line="579" w:lineRule="exact"/>
        <w:ind w:firstLine="632" w:firstLineChars="200"/>
        <w:rPr>
          <w:rFonts w:hint="default" w:ascii="Times New Roman" w:hAnsi="Times New Roman" w:eastAsia="方正仿宋_GBK"/>
          <w:sz w:val="32"/>
          <w:szCs w:val="32"/>
          <w:lang w:bidi="ar"/>
        </w:rPr>
      </w:pPr>
      <w:r>
        <w:rPr>
          <w:rFonts w:ascii="Times New Roman" w:hAnsi="Times New Roman" w:eastAsia="方正仿宋_GBK"/>
          <w:sz w:val="32"/>
          <w:szCs w:val="32"/>
          <w:lang w:bidi="ar"/>
        </w:rPr>
        <w:t>公务车购置费0.00万元。</w:t>
      </w:r>
    </w:p>
    <w:p>
      <w:pPr>
        <w:pStyle w:val="6"/>
        <w:autoSpaceDE w:val="0"/>
        <w:spacing w:beforeAutospacing="0" w:afterAutospacing="0" w:line="579" w:lineRule="exact"/>
        <w:ind w:firstLine="632" w:firstLineChars="200"/>
        <w:rPr>
          <w:rFonts w:hint="default" w:ascii="Times New Roman" w:hAnsi="Times New Roman" w:eastAsia="方正仿宋_GBK"/>
          <w:sz w:val="32"/>
          <w:szCs w:val="32"/>
          <w:lang w:bidi="ar"/>
        </w:rPr>
      </w:pPr>
      <w:r>
        <w:rPr>
          <w:rFonts w:ascii="Times New Roman" w:hAnsi="Times New Roman" w:eastAsia="方正仿宋_GBK"/>
          <w:sz w:val="32"/>
          <w:szCs w:val="32"/>
          <w:lang w:bidi="ar"/>
        </w:rPr>
        <w:t>公务车运行维护费0.00万元。</w:t>
      </w:r>
    </w:p>
    <w:p>
      <w:pPr>
        <w:ind w:firstLine="632" w:firstLineChars="200"/>
      </w:pPr>
      <w:r>
        <w:t>公务接待费0.21万元，主要用于接待到我校联系工作的人员发生的费用。费用支出较年初预算数减少0.89万元，下降80.9%，主要原因是在年初预算的基础上减少了一些不必要的接待。较上年支出数减少0.97万元，下降82.2%，主要原因是严格执行中央八项</w:t>
      </w:r>
      <w:r>
        <w:rPr>
          <w:rFonts w:hint="eastAsia"/>
        </w:rPr>
        <w:t>规定</w:t>
      </w:r>
      <w:r>
        <w:t>，力争“三公”经费只减不增。</w:t>
      </w:r>
    </w:p>
    <w:p>
      <w:pPr>
        <w:ind w:firstLine="632" w:firstLineChars="200"/>
        <w:rPr>
          <w:rFonts w:eastAsia="方正楷体_GBK"/>
        </w:rPr>
      </w:pPr>
      <w:r>
        <w:rPr>
          <w:rFonts w:eastAsia="方正楷体_GBK"/>
        </w:rPr>
        <w:t>（三）“三公”经费实物量情况</w:t>
      </w:r>
    </w:p>
    <w:p>
      <w:pPr>
        <w:ind w:firstLine="632" w:firstLineChars="200"/>
      </w:pPr>
      <w:r>
        <w:t>2022年度本部门因公出国（境）共计0个团组，0</w:t>
      </w:r>
      <w:bookmarkStart w:id="0" w:name="_GoBack"/>
      <w:r>
        <w:t>人</w:t>
      </w:r>
      <w:bookmarkEnd w:id="0"/>
      <w:r>
        <w:t>；公务用车购置0辆，公务车保有量为0辆；国内公务接待5批次30人，其中：国内外事接待0批次，0人；国（境）外公务接待0批次，0人。2022年本部门人均接待费70.70元，车均购置费0.00万元，车均维护费0.00万元。</w:t>
      </w: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四、其他需要说明的事项</w:t>
      </w:r>
    </w:p>
    <w:p>
      <w:pPr>
        <w:ind w:firstLine="632" w:firstLineChars="200"/>
        <w:rPr>
          <w:rFonts w:ascii="方正楷体_GBK" w:hAnsi="方正楷体_GBK" w:eastAsia="方正楷体_GBK" w:cs="方正楷体_GBK"/>
        </w:rPr>
      </w:pPr>
      <w:r>
        <w:rPr>
          <w:rFonts w:hint="eastAsia" w:ascii="方正楷体_GBK" w:hAnsi="方正楷体_GBK" w:eastAsia="方正楷体_GBK" w:cs="方正楷体_GBK"/>
        </w:rPr>
        <w:t>（一）财政拨款会议费和培训费情况说明</w:t>
      </w:r>
    </w:p>
    <w:p>
      <w:pPr>
        <w:ind w:firstLine="632" w:firstLineChars="200"/>
      </w:pPr>
      <w:r>
        <w:t>本年度会议费支出1.00万元，较上年决算数减少0.16万元，下降13.8%，主要原因是活动减少。本年度培训费支出1.11万元，较上年决算数减少2.65万元，下降70.5%，主要原因是本年度培训减少。</w:t>
      </w:r>
    </w:p>
    <w:p>
      <w:pPr>
        <w:ind w:firstLine="632" w:firstLineChars="200"/>
        <w:rPr>
          <w:rFonts w:eastAsia="方正楷体_GBK"/>
        </w:rPr>
      </w:pPr>
      <w:r>
        <w:rPr>
          <w:rFonts w:eastAsia="方正楷体_GBK"/>
        </w:rPr>
        <w:t>（二）机关运行经费支出情况说明</w:t>
      </w:r>
    </w:p>
    <w:p>
      <w:pPr>
        <w:ind w:firstLine="632" w:firstLineChars="200"/>
      </w:pPr>
      <w:r>
        <w:t>按照部门决算列报口径，我单位不在机关运行经费统计范围之内。</w:t>
      </w:r>
    </w:p>
    <w:p>
      <w:pPr>
        <w:ind w:firstLine="632" w:firstLineChars="200"/>
        <w:rPr>
          <w:rFonts w:eastAsia="方正楷体_GBK"/>
        </w:rPr>
      </w:pPr>
      <w:r>
        <w:rPr>
          <w:rFonts w:eastAsia="方正楷体_GBK"/>
        </w:rPr>
        <w:t>（三）国有资产占用情况说明</w:t>
      </w:r>
    </w:p>
    <w:p>
      <w:pPr>
        <w:ind w:firstLine="632" w:firstLineChars="200"/>
      </w:pPr>
      <w: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ind w:firstLine="632" w:firstLineChars="200"/>
        <w:rPr>
          <w:rFonts w:eastAsia="方正楷体_GBK"/>
        </w:rPr>
      </w:pPr>
      <w:r>
        <w:rPr>
          <w:rFonts w:eastAsia="方正楷体_GBK"/>
        </w:rPr>
        <w:t>（四）政府采购支出说明</w:t>
      </w:r>
    </w:p>
    <w:p>
      <w:pPr>
        <w:ind w:firstLine="632" w:firstLineChars="200"/>
      </w:pPr>
      <w:r>
        <w:t>2022年度本部门政府采购支出总额17.96万元，其中：政府采购货物支出16.27万元、政府采购工程支出0.00万元、政府采购服务支出1.69万元。授予中小企业合同金额17.96万元，占政府采购支出总额的100%，其中：授予小微企业合同金额17.96万元，占政府采购支出总额的100%。主要用于采购食堂器具的采购及打印机的采购。</w:t>
      </w: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五、预算绩效管理情况说明</w:t>
      </w:r>
    </w:p>
    <w:p>
      <w:pPr>
        <w:spacing w:line="596" w:lineRule="exact"/>
        <w:ind w:firstLine="632" w:firstLineChars="200"/>
        <w:rPr>
          <w:rFonts w:hint="eastAsia" w:ascii="方正仿宋_GBK" w:hAnsi="宋体" w:cs="宋体"/>
          <w:kern w:val="0"/>
        </w:rPr>
      </w:pPr>
      <w:r>
        <w:rPr>
          <w:rFonts w:hint="eastAsia" w:ascii="方正仿宋_GBK" w:hAnsi="宋体" w:cs="宋体"/>
          <w:kern w:val="0"/>
        </w:rPr>
        <w:t>预算绩效管理情况只针对一级预算单位，本单位为二级预算单位，故预算绩效管理情况在此不反映。</w:t>
      </w: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六、专业名词解释</w:t>
      </w:r>
    </w:p>
    <w:p>
      <w:pPr>
        <w:ind w:firstLine="632" w:firstLineChars="200"/>
        <w:rPr>
          <w:rFonts w:ascii="方正仿宋_GBK"/>
        </w:rPr>
      </w:pPr>
      <w:r>
        <w:rPr>
          <w:rFonts w:hint="eastAsia" w:ascii="方正楷体_GBK" w:hAnsi="方正楷体_GBK" w:eastAsia="方正楷体_GBK" w:cs="方正楷体_GBK"/>
        </w:rPr>
        <w:t>（一）财政拨款收入</w:t>
      </w:r>
      <w:r>
        <w:rPr>
          <w:rFonts w:hint="eastAsia" w:ascii="方正仿宋_GBK"/>
        </w:rPr>
        <w:t>：指本年度从本级财政部门取得的财政拨款，包括一般公共预算财政拨款和政府性基金预算财政拨款。</w:t>
      </w:r>
    </w:p>
    <w:p>
      <w:pPr>
        <w:ind w:firstLine="632" w:firstLineChars="200"/>
        <w:rPr>
          <w:rFonts w:ascii="方正仿宋_GBK"/>
        </w:rPr>
      </w:pPr>
      <w:r>
        <w:rPr>
          <w:rFonts w:hint="eastAsia" w:ascii="方正楷体_GBK" w:hAnsi="方正楷体_GBK" w:eastAsia="方正楷体_GBK" w:cs="方正楷体_GBK"/>
        </w:rPr>
        <w:t>（二）事业收入：</w:t>
      </w:r>
      <w:r>
        <w:rPr>
          <w:rFonts w:hint="eastAsia" w:ascii="方正仿宋_GBK"/>
        </w:rPr>
        <w:t>指事业单位开展专业业务活动及其辅助活动取得的现金流入；事业单位收到的财政专户实际核拨的教育收费等资金在此反映。</w:t>
      </w:r>
    </w:p>
    <w:p>
      <w:pPr>
        <w:ind w:firstLine="632" w:firstLineChars="200"/>
        <w:rPr>
          <w:rFonts w:ascii="方正仿宋_GBK"/>
        </w:rPr>
      </w:pPr>
      <w:r>
        <w:rPr>
          <w:rFonts w:hint="eastAsia" w:ascii="方正楷体_GBK" w:hAnsi="方正楷体_GBK" w:eastAsia="方正楷体_GBK" w:cs="方正楷体_GBK"/>
        </w:rPr>
        <w:t>（三）经营收入：</w:t>
      </w:r>
      <w:r>
        <w:rPr>
          <w:rFonts w:hint="eastAsia" w:ascii="方正仿宋_GBK"/>
        </w:rPr>
        <w:t>指事业单位在专业业务活动及其辅助活动之外开展非独立核算经营活动取得的现金流入。</w:t>
      </w:r>
    </w:p>
    <w:p>
      <w:pPr>
        <w:ind w:firstLine="632" w:firstLineChars="200"/>
        <w:rPr>
          <w:rFonts w:ascii="方正仿宋_GBK"/>
        </w:rPr>
      </w:pPr>
      <w:r>
        <w:rPr>
          <w:rFonts w:hint="eastAsia" w:ascii="方正楷体_GBK" w:hAnsi="方正楷体_GBK" w:eastAsia="方正楷体_GBK" w:cs="方正楷体_GBK"/>
        </w:rPr>
        <w:t>（四）其他收入：</w:t>
      </w:r>
      <w:r>
        <w:rPr>
          <w:rFonts w:hint="eastAsia" w:ascii="方正仿宋_GBK"/>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632" w:firstLineChars="200"/>
        <w:rPr>
          <w:rFonts w:ascii="方正仿宋_GBK"/>
        </w:rPr>
      </w:pPr>
      <w:r>
        <w:rPr>
          <w:rFonts w:hint="eastAsia" w:ascii="方正楷体_GBK" w:hAnsi="方正楷体_GBK" w:eastAsia="方正楷体_GBK" w:cs="方正楷体_GBK"/>
        </w:rPr>
        <w:t>（五）使用非财政拨款结余：</w:t>
      </w:r>
      <w:r>
        <w:rPr>
          <w:rFonts w:hint="eastAsia" w:ascii="方正仿宋_GBK"/>
        </w:rPr>
        <w:t>指单位在当年的“财政拨款收入”、“事业收入”、“经营收入”、“其他收入”等不足以安排当年支出的情况下，使用以前年度积累的非财政拨款结余弥补本年度收支缺口的资金。</w:t>
      </w:r>
    </w:p>
    <w:p>
      <w:pPr>
        <w:ind w:firstLine="632" w:firstLineChars="200"/>
        <w:rPr>
          <w:rFonts w:ascii="方正仿宋_GBK"/>
        </w:rPr>
      </w:pPr>
      <w:r>
        <w:rPr>
          <w:rFonts w:hint="eastAsia" w:ascii="方正楷体_GBK" w:hAnsi="方正楷体_GBK" w:eastAsia="方正楷体_GBK" w:cs="方正楷体_GBK"/>
        </w:rPr>
        <w:t>（六）年初结转和结余：</w:t>
      </w:r>
      <w:r>
        <w:rPr>
          <w:rFonts w:hint="eastAsia" w:ascii="方正仿宋_GBK"/>
        </w:rPr>
        <w:t>指单位上年结转本年使用的基本支出结转、项目支出结转和结余、经营结余。</w:t>
      </w:r>
    </w:p>
    <w:p>
      <w:pPr>
        <w:ind w:firstLine="632" w:firstLineChars="200"/>
        <w:rPr>
          <w:rFonts w:ascii="方正仿宋_GBK"/>
        </w:rPr>
      </w:pPr>
      <w:r>
        <w:rPr>
          <w:rFonts w:hint="eastAsia" w:ascii="方正楷体_GBK" w:hAnsi="方正楷体_GBK" w:eastAsia="方正楷体_GBK" w:cs="方正楷体_GBK"/>
        </w:rPr>
        <w:t>（七）结余分配：</w:t>
      </w:r>
      <w:r>
        <w:rPr>
          <w:rFonts w:hint="eastAsia" w:ascii="方正仿宋_GBK"/>
        </w:rPr>
        <w:t>指单位按照国家有关规定，缴纳所得税、提取专用基金、转入非财政拨款结余等当年结余的分配情况。</w:t>
      </w:r>
    </w:p>
    <w:p>
      <w:pPr>
        <w:ind w:firstLine="632" w:firstLineChars="200"/>
        <w:rPr>
          <w:rFonts w:ascii="方正仿宋_GBK"/>
        </w:rPr>
      </w:pPr>
      <w:r>
        <w:rPr>
          <w:rFonts w:hint="eastAsia" w:ascii="方正楷体_GBK" w:hAnsi="方正楷体_GBK" w:eastAsia="方正楷体_GBK" w:cs="方正楷体_GBK"/>
        </w:rPr>
        <w:t>（八）年末结转和结余：</w:t>
      </w:r>
      <w:r>
        <w:rPr>
          <w:rFonts w:hint="eastAsia" w:ascii="方正仿宋_GBK"/>
        </w:rPr>
        <w:t>指单位结转下年的基本支出结转、项目支出结转和结余、经营结余。</w:t>
      </w:r>
    </w:p>
    <w:p>
      <w:pPr>
        <w:ind w:firstLine="632" w:firstLineChars="200"/>
        <w:rPr>
          <w:rFonts w:ascii="方正仿宋_GBK"/>
        </w:rPr>
      </w:pPr>
      <w:r>
        <w:rPr>
          <w:rFonts w:hint="eastAsia" w:ascii="方正楷体_GBK" w:hAnsi="方正楷体_GBK" w:eastAsia="方正楷体_GBK" w:cs="方正楷体_GBK"/>
        </w:rPr>
        <w:t>（九）基本支出：</w:t>
      </w:r>
      <w:r>
        <w:rPr>
          <w:rFonts w:hint="eastAsia" w:ascii="方正仿宋_GBK"/>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32" w:firstLineChars="200"/>
        <w:rPr>
          <w:rFonts w:ascii="方正仿宋_GBK"/>
        </w:rPr>
      </w:pPr>
      <w:r>
        <w:rPr>
          <w:rFonts w:hint="eastAsia" w:ascii="方正楷体_GBK" w:hAnsi="方正楷体_GBK" w:eastAsia="方正楷体_GBK" w:cs="方正楷体_GBK"/>
        </w:rPr>
        <w:t>（十）项目支出：</w:t>
      </w:r>
      <w:r>
        <w:rPr>
          <w:rFonts w:hint="eastAsia" w:ascii="方正仿宋_GBK"/>
        </w:rPr>
        <w:t>指在基本支出之外为完成特定行政任务和事业发展目标所发生的支出。</w:t>
      </w:r>
    </w:p>
    <w:p>
      <w:pPr>
        <w:ind w:firstLine="632" w:firstLineChars="200"/>
        <w:rPr>
          <w:rFonts w:ascii="方正仿宋_GBK"/>
        </w:rPr>
      </w:pPr>
      <w:r>
        <w:rPr>
          <w:rFonts w:hint="eastAsia" w:ascii="方正楷体_GBK" w:hAnsi="方正楷体_GBK" w:eastAsia="方正楷体_GBK" w:cs="方正楷体_GBK"/>
        </w:rPr>
        <w:t>（十一）经营支出：</w:t>
      </w:r>
      <w:r>
        <w:rPr>
          <w:rFonts w:hint="eastAsia" w:ascii="方正仿宋_GBK"/>
        </w:rPr>
        <w:t>指事业单位在专业业务活动及其辅助活动之外开展非独立核算经营活动发生的支出。</w:t>
      </w:r>
    </w:p>
    <w:p>
      <w:pPr>
        <w:ind w:firstLine="632" w:firstLineChars="200"/>
        <w:rPr>
          <w:rFonts w:ascii="方正仿宋_GBK"/>
        </w:rPr>
      </w:pPr>
      <w:r>
        <w:rPr>
          <w:rFonts w:hint="eastAsia" w:ascii="方正楷体_GBK" w:hAnsi="方正楷体_GBK" w:eastAsia="方正楷体_GBK" w:cs="方正楷体_GBK"/>
        </w:rPr>
        <w:t>（十二）“三公”经费：</w:t>
      </w:r>
      <w:r>
        <w:rPr>
          <w:rFonts w:hint="eastAsia" w:ascii="方正仿宋_GBK"/>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32" w:firstLineChars="200"/>
        <w:rPr>
          <w:rFonts w:ascii="方正仿宋_GBK"/>
        </w:rPr>
      </w:pPr>
      <w:r>
        <w:rPr>
          <w:rFonts w:hint="eastAsia" w:ascii="方正楷体_GBK" w:hAnsi="方正楷体_GBK" w:eastAsia="方正楷体_GBK" w:cs="方正楷体_GBK"/>
        </w:rPr>
        <w:t>（十三）机关运行经费：</w:t>
      </w:r>
      <w:r>
        <w:rPr>
          <w:rFonts w:hint="eastAsia" w:ascii="方正仿宋_GBK"/>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32" w:firstLineChars="200"/>
        <w:rPr>
          <w:rFonts w:ascii="方正仿宋_GBK"/>
        </w:rPr>
      </w:pPr>
      <w:r>
        <w:rPr>
          <w:rFonts w:hint="eastAsia" w:ascii="方正楷体_GBK" w:hAnsi="方正楷体_GBK" w:eastAsia="方正楷体_GBK" w:cs="方正楷体_GBK"/>
        </w:rPr>
        <w:t>（十四）工资福利支出（支出经济分类科目类级）</w:t>
      </w:r>
      <w:r>
        <w:rPr>
          <w:rFonts w:hint="eastAsia" w:ascii="方正仿宋_GBK"/>
        </w:rPr>
        <w:t>：反映单位开支的在职职工和编制外长期聘用人员的各类劳动报酬，以及为上述人员缴纳的各项社会保险费等。</w:t>
      </w:r>
    </w:p>
    <w:p>
      <w:pPr>
        <w:ind w:firstLine="632" w:firstLineChars="200"/>
        <w:rPr>
          <w:rFonts w:ascii="方正仿宋_GBK"/>
        </w:rPr>
      </w:pPr>
      <w:r>
        <w:rPr>
          <w:rFonts w:hint="eastAsia" w:ascii="方正楷体_GBK" w:hAnsi="方正楷体_GBK" w:eastAsia="方正楷体_GBK" w:cs="方正楷体_GBK"/>
        </w:rPr>
        <w:t>（十五）商品和服务支出（支出经济分类科目类级）：</w:t>
      </w:r>
      <w:r>
        <w:rPr>
          <w:rFonts w:hint="eastAsia" w:ascii="方正仿宋_GBK"/>
        </w:rPr>
        <w:t>反映单位购买商品和服务的支出（不包括用于购置固定资产的支出、战略性和应急储备支出）。</w:t>
      </w:r>
    </w:p>
    <w:p>
      <w:pPr>
        <w:ind w:firstLine="632" w:firstLineChars="200"/>
        <w:rPr>
          <w:rFonts w:ascii="方正仿宋_GBK"/>
        </w:rPr>
      </w:pPr>
      <w:r>
        <w:rPr>
          <w:rFonts w:hint="eastAsia" w:ascii="方正楷体_GBK" w:hAnsi="方正楷体_GBK" w:eastAsia="方正楷体_GBK" w:cs="方正楷体_GBK"/>
        </w:rPr>
        <w:t>（十六）对个人和家庭的补助（支出经济分类科目类级）：</w:t>
      </w:r>
      <w:r>
        <w:rPr>
          <w:rFonts w:hint="eastAsia" w:ascii="方正仿宋_GBK"/>
        </w:rPr>
        <w:t>反映用于对个人和家庭的补助支出。</w:t>
      </w:r>
    </w:p>
    <w:p>
      <w:pPr>
        <w:ind w:firstLine="632" w:firstLineChars="200"/>
        <w:rPr>
          <w:rFonts w:ascii="方正仿宋_GBK"/>
        </w:rPr>
      </w:pPr>
      <w:r>
        <w:rPr>
          <w:rFonts w:hint="eastAsia" w:ascii="方正楷体_GBK" w:hAnsi="方正楷体_GBK" w:eastAsia="方正楷体_GBK" w:cs="方正楷体_GBK"/>
        </w:rPr>
        <w:t>（十七）其他资本性支出（支出经济分类科目类级）：</w:t>
      </w:r>
      <w:r>
        <w:rPr>
          <w:rFonts w:hint="eastAsia" w:ascii="方正仿宋_GBK"/>
        </w:rPr>
        <w:t>反映非各级发展与改革部门集中安排的用于购置固定资产、战略性和应急性储备、土地和无形资产，以及构建基础设施、大型修缮和财政支持企业更新改造所发生的支出。</w:t>
      </w:r>
    </w:p>
    <w:p>
      <w:pPr>
        <w:ind w:firstLine="632" w:firstLineChars="200"/>
        <w:rPr>
          <w:rFonts w:ascii="方正黑体_GBK" w:hAnsi="方正黑体_GBK" w:eastAsia="方正黑体_GBK" w:cs="方正黑体_GBK"/>
        </w:rPr>
      </w:pPr>
      <w:r>
        <w:rPr>
          <w:rFonts w:hint="eastAsia" w:ascii="方正黑体_GBK" w:hAnsi="方正黑体_GBK" w:eastAsia="方正黑体_GBK" w:cs="方正黑体_GBK"/>
        </w:rPr>
        <w:t>七、决算公开联系方式及信息反馈渠道</w:t>
      </w:r>
    </w:p>
    <w:p>
      <w:pPr>
        <w:ind w:firstLine="632" w:firstLineChars="200"/>
      </w:pPr>
      <w:r>
        <w:t>本单位决算公开信息反馈和联系方式：17783534593</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rtlGutter w:val="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r>
      <w:rPr>
        <w:rFonts w:ascii="宋体" w:hAnsi="宋体" w:eastAsia="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MTBjMTAxNjNkYWNjYTQ1NGY3ZDk2MTM2ZjUzMDYifQ=="/>
  </w:docVars>
  <w:rsids>
    <w:rsidRoot w:val="4A8E4563"/>
    <w:rsid w:val="00553530"/>
    <w:rsid w:val="00553892"/>
    <w:rsid w:val="00EC63AD"/>
    <w:rsid w:val="04550101"/>
    <w:rsid w:val="13D57C19"/>
    <w:rsid w:val="24094FAF"/>
    <w:rsid w:val="3FC45BA6"/>
    <w:rsid w:val="4A8E4563"/>
    <w:rsid w:val="6E564C52"/>
    <w:rsid w:val="7F166E48"/>
    <w:rsid w:val="BCF7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6">
    <w:name w:val="普通(网站)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676</Words>
  <Characters>3856</Characters>
  <Lines>32</Lines>
  <Paragraphs>9</Paragraphs>
  <TotalTime>0</TotalTime>
  <ScaleCrop>false</ScaleCrop>
  <LinksUpToDate>false</LinksUpToDate>
  <CharactersWithSpaces>4523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2023-10-25T13:44:00Z</dcterms:created>
  <dc:creator>忽闪的鱼尾巴</dc:creator>
  <cp:lastModifiedBy>ckuos</cp:lastModifiedBy>
  <dcterms:modified xsi:type="dcterms:W3CDTF">2023-11-22T13:31:19Z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B55094AB0D6D48AEAD61A058B7068ECB_11</vt:lpwstr>
  </property>
  <property fmtid="{D5CDD505-2E9C-101B-9397-08002B2CF9AE}" pid="4" name="KSOSaveFontToCloudKey">
    <vt:lpwstr>300157628_embed</vt:lpwstr>
  </property>
</Properties>
</file>